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05A13">
      <w:pPr>
        <w:spacing w:line="360" w:lineRule="auto"/>
        <w:jc w:val="center"/>
        <w:outlineLvl w:val="9"/>
        <w:rPr>
          <w:rFonts w:hint="eastAsia" w:ascii="方正仿宋_GB2312" w:hAnsi="方正仿宋_GB2312" w:eastAsia="方正仿宋_GB2312" w:cs="方正仿宋_GB2312"/>
          <w:color w:val="auto"/>
          <w:sz w:val="32"/>
          <w:szCs w:val="40"/>
          <w:highlight w:val="none"/>
        </w:rPr>
      </w:pPr>
      <w:r>
        <w:rPr>
          <w:rFonts w:hint="eastAsia" w:ascii="方正仿宋_GB2312" w:hAnsi="方正仿宋_GB2312" w:eastAsia="方正仿宋_GB2312" w:cs="方正仿宋_GB2312"/>
          <w:color w:val="auto"/>
          <w:sz w:val="32"/>
          <w:szCs w:val="40"/>
          <w:highlight w:val="none"/>
        </w:rPr>
        <w:t>合同条款及格式</w:t>
      </w:r>
    </w:p>
    <w:p w14:paraId="1A4F506E">
      <w:pPr>
        <w:keepNext w:val="0"/>
        <w:keepLines w:val="0"/>
        <w:pageBreakBefore w:val="0"/>
        <w:widowControl w:val="0"/>
        <w:kinsoku w:val="0"/>
        <w:wordWrap/>
        <w:overflowPunct/>
        <w:topLinePunct w:val="0"/>
        <w:autoSpaceDE/>
        <w:bidi w:val="0"/>
        <w:spacing w:line="360" w:lineRule="auto"/>
        <w:ind w:firstLine="420" w:firstLineChars="200"/>
        <w:rPr>
          <w:rFonts w:hint="eastAsia" w:ascii="方正仿宋_GB2312" w:hAnsi="方正仿宋_GB2312" w:eastAsia="方正仿宋_GB2312" w:cs="方正仿宋_GB2312"/>
          <w:color w:val="auto"/>
          <w:sz w:val="21"/>
          <w:szCs w:val="21"/>
          <w:highlight w:val="none"/>
        </w:rPr>
      </w:pPr>
    </w:p>
    <w:p w14:paraId="0C9B3BC7">
      <w:pPr>
        <w:keepNext w:val="0"/>
        <w:keepLines w:val="0"/>
        <w:pageBreakBefore w:val="0"/>
        <w:widowControl w:val="0"/>
        <w:kinsoku w:val="0"/>
        <w:wordWrap/>
        <w:overflowPunct/>
        <w:topLinePunct w:val="0"/>
        <w:autoSpaceDE/>
        <w:bidi w:val="0"/>
        <w:spacing w:line="360" w:lineRule="auto"/>
        <w:ind w:firstLine="480" w:firstLineChars="200"/>
        <w:rPr>
          <w:rFonts w:hint="eastAsia" w:ascii="方正仿宋_GB2312" w:hAnsi="方正仿宋_GB2312" w:eastAsia="方正仿宋_GB2312" w:cs="方正仿宋_GB2312"/>
          <w:color w:val="auto"/>
          <w:sz w:val="24"/>
          <w:szCs w:val="24"/>
          <w:highlight w:val="none"/>
          <w:u w:val="none"/>
          <w:lang w:val="en-US" w:eastAsia="zh-CN"/>
        </w:rPr>
      </w:pPr>
      <w:r>
        <w:rPr>
          <w:rFonts w:hint="eastAsia" w:ascii="方正仿宋_GB2312" w:hAnsi="方正仿宋_GB2312" w:eastAsia="方正仿宋_GB2312" w:cs="方正仿宋_GB2312"/>
          <w:color w:val="auto"/>
          <w:sz w:val="24"/>
          <w:szCs w:val="24"/>
          <w:highlight w:val="none"/>
        </w:rPr>
        <w:t>甲方：</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u w:val="none"/>
          <w:lang w:val="en-US" w:eastAsia="zh-CN"/>
        </w:rPr>
        <w:t>（采购人）</w:t>
      </w:r>
    </w:p>
    <w:p w14:paraId="141E6D7A">
      <w:pPr>
        <w:keepNext w:val="0"/>
        <w:keepLines w:val="0"/>
        <w:pageBreakBefore w:val="0"/>
        <w:widowControl w:val="0"/>
        <w:kinsoku w:val="0"/>
        <w:wordWrap/>
        <w:overflowPunct/>
        <w:topLinePunct w:val="0"/>
        <w:autoSpaceDE/>
        <w:bidi w:val="0"/>
        <w:spacing w:line="360" w:lineRule="auto"/>
        <w:ind w:firstLine="480" w:firstLineChars="200"/>
        <w:rPr>
          <w:rFonts w:hint="eastAsia" w:ascii="方正仿宋_GB2312" w:hAnsi="方正仿宋_GB2312" w:eastAsia="方正仿宋_GB2312" w:cs="方正仿宋_GB2312"/>
          <w:color w:val="auto"/>
          <w:sz w:val="24"/>
          <w:szCs w:val="24"/>
          <w:highlight w:val="none"/>
          <w:u w:val="single"/>
          <w:lang w:val="en-US" w:eastAsia="zh-CN"/>
        </w:rPr>
      </w:pPr>
      <w:r>
        <w:rPr>
          <w:rFonts w:hint="eastAsia" w:ascii="方正仿宋_GB2312" w:hAnsi="方正仿宋_GB2312" w:eastAsia="方正仿宋_GB2312" w:cs="方正仿宋_GB2312"/>
          <w:color w:val="auto"/>
          <w:sz w:val="24"/>
          <w:szCs w:val="24"/>
          <w:highlight w:val="none"/>
        </w:rPr>
        <w:t>乙方：</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u w:val="none"/>
          <w:lang w:val="en-US" w:eastAsia="zh-CN"/>
        </w:rPr>
        <w:t>（中标供应商）</w:t>
      </w:r>
    </w:p>
    <w:p w14:paraId="16BF9C88">
      <w:pPr>
        <w:keepNext w:val="0"/>
        <w:keepLines w:val="0"/>
        <w:pageBreakBefore w:val="0"/>
        <w:widowControl w:val="0"/>
        <w:kinsoku w:val="0"/>
        <w:wordWrap/>
        <w:overflowPunct/>
        <w:topLinePunct w:val="0"/>
        <w:autoSpaceDE/>
        <w:bidi w:val="0"/>
        <w:spacing w:line="360" w:lineRule="auto"/>
        <w:ind w:right="0" w:firstLine="480" w:firstLineChars="200"/>
        <w:jc w:val="left"/>
        <w:rPr>
          <w:rFonts w:hint="eastAsia" w:ascii="方正仿宋_GB2312" w:hAnsi="方正仿宋_GB2312" w:eastAsia="方正仿宋_GB2312" w:cs="方正仿宋_GB2312"/>
          <w:color w:val="auto"/>
          <w:sz w:val="24"/>
          <w:szCs w:val="24"/>
          <w:highlight w:val="none"/>
        </w:rPr>
      </w:pPr>
    </w:p>
    <w:p w14:paraId="0E68A9AD">
      <w:pPr>
        <w:keepNext w:val="0"/>
        <w:keepLines w:val="0"/>
        <w:pageBreakBefore w:val="0"/>
        <w:widowControl w:val="0"/>
        <w:kinsoku w:val="0"/>
        <w:wordWrap/>
        <w:overflowPunct/>
        <w:topLinePunct w:val="0"/>
        <w:autoSpaceDE/>
        <w:bidi w:val="0"/>
        <w:spacing w:line="360" w:lineRule="auto"/>
        <w:ind w:right="0" w:firstLine="480" w:firstLineChars="200"/>
        <w:jc w:val="lef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根据《中华人民共和国政府采购法》、《中华人民共和国</w:t>
      </w:r>
      <w:r>
        <w:rPr>
          <w:rFonts w:hint="eastAsia" w:ascii="方正仿宋_GB2312" w:hAnsi="方正仿宋_GB2312" w:eastAsia="方正仿宋_GB2312" w:cs="方正仿宋_GB2312"/>
          <w:color w:val="auto"/>
          <w:sz w:val="24"/>
          <w:szCs w:val="24"/>
          <w:highlight w:val="none"/>
          <w:lang w:val="en-US" w:eastAsia="zh-CN"/>
        </w:rPr>
        <w:t>民法典</w:t>
      </w:r>
      <w:r>
        <w:rPr>
          <w:rFonts w:hint="eastAsia" w:ascii="方正仿宋_GB2312" w:hAnsi="方正仿宋_GB2312" w:eastAsia="方正仿宋_GB2312" w:cs="方正仿宋_GB2312"/>
          <w:color w:val="auto"/>
          <w:sz w:val="24"/>
          <w:szCs w:val="24"/>
          <w:highlight w:val="none"/>
        </w:rPr>
        <w:t>》等法律法规，甲方通过</w:t>
      </w:r>
      <w:r>
        <w:rPr>
          <w:rFonts w:hint="eastAsia" w:ascii="方正仿宋_GB2312" w:hAnsi="方正仿宋_GB2312" w:eastAsia="方正仿宋_GB2312" w:cs="方正仿宋_GB2312"/>
          <w:color w:val="auto"/>
          <w:sz w:val="24"/>
          <w:szCs w:val="24"/>
          <w:highlight w:val="none"/>
          <w:u w:val="single"/>
          <w:lang w:val="en-US" w:eastAsia="zh-CN"/>
        </w:rPr>
        <w:t xml:space="preserve"> 公开招标</w:t>
      </w:r>
      <w:r>
        <w:rPr>
          <w:rFonts w:hint="eastAsia" w:ascii="方正仿宋_GB2312" w:hAnsi="方正仿宋_GB2312" w:eastAsia="方正仿宋_GB2312" w:cs="方正仿宋_GB2312"/>
          <w:color w:val="auto"/>
          <w:sz w:val="24"/>
          <w:szCs w:val="24"/>
          <w:highlight w:val="none"/>
        </w:rPr>
        <w:t>，选定乙方为</w:t>
      </w:r>
      <w:r>
        <w:rPr>
          <w:rFonts w:hint="eastAsia" w:ascii="方正仿宋_GB2312" w:hAnsi="方正仿宋_GB2312" w:eastAsia="方正仿宋_GB2312" w:cs="方正仿宋_GB2312"/>
          <w:color w:val="auto"/>
          <w:sz w:val="24"/>
          <w:szCs w:val="24"/>
          <w:highlight w:val="none"/>
          <w:lang w:eastAsia="zh-CN"/>
        </w:rPr>
        <w:t>中标供应商</w:t>
      </w:r>
      <w:r>
        <w:rPr>
          <w:rFonts w:hint="eastAsia" w:ascii="方正仿宋_GB2312" w:hAnsi="方正仿宋_GB2312" w:eastAsia="方正仿宋_GB2312" w:cs="方正仿宋_GB2312"/>
          <w:color w:val="auto"/>
          <w:sz w:val="24"/>
          <w:szCs w:val="24"/>
          <w:highlight w:val="none"/>
        </w:rPr>
        <w:t>。甲、乙双方在平等基础上协商一致，达成如下协议，供双方遵照执行。</w:t>
      </w:r>
    </w:p>
    <w:p w14:paraId="4BF47800">
      <w:pPr>
        <w:keepNext w:val="0"/>
        <w:keepLines w:val="0"/>
        <w:pageBreakBefore w:val="0"/>
        <w:widowControl/>
        <w:kinsoku/>
        <w:wordWrap/>
        <w:overflowPunct/>
        <w:topLinePunct w:val="0"/>
        <w:autoSpaceDE/>
        <w:autoSpaceDN/>
        <w:bidi w:val="0"/>
        <w:adjustRightInd/>
        <w:snapToGrid w:val="0"/>
        <w:spacing w:line="360" w:lineRule="auto"/>
        <w:ind w:right="0"/>
        <w:jc w:val="left"/>
        <w:textAlignment w:val="auto"/>
        <w:rPr>
          <w:rFonts w:hint="eastAsia" w:ascii="方正仿宋_GB2312" w:hAnsi="方正仿宋_GB2312" w:eastAsia="方正仿宋_GB2312" w:cs="方正仿宋_GB2312"/>
          <w:b/>
          <w:color w:val="auto"/>
          <w:sz w:val="24"/>
          <w:szCs w:val="24"/>
          <w:highlight w:val="none"/>
        </w:rPr>
      </w:pPr>
      <w:bookmarkStart w:id="0" w:name="_Toc13753"/>
      <w:bookmarkStart w:id="1" w:name="_Toc16955"/>
      <w:r>
        <w:rPr>
          <w:rFonts w:hint="eastAsia" w:ascii="方正仿宋_GB2312" w:hAnsi="方正仿宋_GB2312" w:eastAsia="方正仿宋_GB2312" w:cs="方正仿宋_GB2312"/>
          <w:b/>
          <w:bCs w:val="0"/>
          <w:color w:val="auto"/>
          <w:sz w:val="24"/>
          <w:szCs w:val="24"/>
          <w:highlight w:val="none"/>
        </w:rPr>
        <w:t>★</w:t>
      </w:r>
      <w:r>
        <w:rPr>
          <w:rFonts w:hint="eastAsia" w:ascii="方正仿宋_GB2312" w:hAnsi="方正仿宋_GB2312" w:eastAsia="方正仿宋_GB2312" w:cs="方正仿宋_GB2312"/>
          <w:b/>
          <w:color w:val="auto"/>
          <w:sz w:val="24"/>
          <w:szCs w:val="24"/>
          <w:highlight w:val="none"/>
        </w:rPr>
        <w:t>一、</w:t>
      </w:r>
      <w:r>
        <w:rPr>
          <w:rFonts w:hint="eastAsia" w:ascii="方正仿宋_GB2312" w:hAnsi="方正仿宋_GB2312" w:eastAsia="方正仿宋_GB2312" w:cs="方正仿宋_GB2312"/>
          <w:b/>
          <w:color w:val="auto"/>
          <w:sz w:val="24"/>
          <w:szCs w:val="24"/>
          <w:highlight w:val="none"/>
          <w:lang w:val="en-US" w:eastAsia="zh-CN"/>
        </w:rPr>
        <w:t>项目</w:t>
      </w:r>
      <w:r>
        <w:rPr>
          <w:rFonts w:hint="eastAsia" w:ascii="方正仿宋_GB2312" w:hAnsi="方正仿宋_GB2312" w:eastAsia="方正仿宋_GB2312" w:cs="方正仿宋_GB2312"/>
          <w:b/>
          <w:color w:val="auto"/>
          <w:sz w:val="24"/>
          <w:szCs w:val="24"/>
          <w:highlight w:val="none"/>
        </w:rPr>
        <w:t>概况</w:t>
      </w:r>
    </w:p>
    <w:p w14:paraId="2FB8552C">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本项目位于西安市灞桥区欧亚大道辅路西安市体育训练中心，西安体育训练中心足球训练馆及配套设施采购内容包含：可拆装足球训练馆一座，采用装配式铝合金主型材多拱结构，具备反复便捷拆装的模块化结构设计（宽33m，长75m，边高6m，总高15.8m）、人造草足球场地（宽33m，长75m）及其他配套设施。</w:t>
      </w:r>
    </w:p>
    <w:p w14:paraId="27B195D7">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lang w:val="en-US" w:eastAsia="zh-CN"/>
        </w:rPr>
      </w:pPr>
    </w:p>
    <w:p w14:paraId="224DDF43">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1、</w:t>
      </w:r>
      <w:r>
        <w:rPr>
          <w:rFonts w:hint="eastAsia" w:ascii="方正仿宋_GB2312" w:hAnsi="方正仿宋_GB2312" w:eastAsia="方正仿宋_GB2312" w:cs="方正仿宋_GB2312"/>
          <w:color w:val="auto"/>
          <w:sz w:val="24"/>
          <w:szCs w:val="24"/>
          <w:highlight w:val="none"/>
        </w:rPr>
        <w:t>项目名称：</w:t>
      </w:r>
      <w:r>
        <w:rPr>
          <w:rFonts w:hint="eastAsia" w:ascii="方正仿宋_GB2312" w:hAnsi="方正仿宋_GB2312" w:eastAsia="方正仿宋_GB2312" w:cs="方正仿宋_GB2312"/>
          <w:color w:val="auto"/>
          <w:sz w:val="24"/>
          <w:szCs w:val="24"/>
          <w:highlight w:val="none"/>
          <w:u w:val="single"/>
          <w:lang w:eastAsia="zh-CN"/>
        </w:rPr>
        <w:t>西安体育训练中心足球训练馆及配套设施采购</w:t>
      </w:r>
      <w:r>
        <w:rPr>
          <w:rFonts w:hint="eastAsia" w:ascii="方正仿宋_GB2312" w:hAnsi="方正仿宋_GB2312" w:eastAsia="方正仿宋_GB2312" w:cs="方正仿宋_GB2312"/>
          <w:color w:val="auto"/>
          <w:sz w:val="24"/>
          <w:szCs w:val="24"/>
          <w:highlight w:val="none"/>
          <w:u w:val="single"/>
          <w:lang w:val="en-US" w:eastAsia="zh-CN"/>
        </w:rPr>
        <w:t xml:space="preserve"> </w:t>
      </w:r>
      <w:r>
        <w:rPr>
          <w:rFonts w:hint="eastAsia" w:ascii="方正仿宋_GB2312" w:hAnsi="方正仿宋_GB2312" w:eastAsia="方正仿宋_GB2312" w:cs="方正仿宋_GB2312"/>
          <w:color w:val="auto"/>
          <w:sz w:val="24"/>
          <w:szCs w:val="24"/>
          <w:highlight w:val="none"/>
          <w:u w:val="single"/>
        </w:rPr>
        <w:t xml:space="preserve"> </w:t>
      </w:r>
    </w:p>
    <w:p w14:paraId="39D5EEA5">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2、</w:t>
      </w:r>
      <w:r>
        <w:rPr>
          <w:rFonts w:hint="eastAsia" w:ascii="方正仿宋_GB2312" w:hAnsi="方正仿宋_GB2312" w:eastAsia="方正仿宋_GB2312" w:cs="方正仿宋_GB2312"/>
          <w:color w:val="auto"/>
          <w:sz w:val="24"/>
          <w:szCs w:val="24"/>
          <w:highlight w:val="none"/>
        </w:rPr>
        <w:t>项目地点：</w:t>
      </w:r>
      <w:r>
        <w:rPr>
          <w:rFonts w:hint="eastAsia" w:ascii="方正仿宋_GB2312" w:hAnsi="方正仿宋_GB2312" w:eastAsia="方正仿宋_GB2312" w:cs="方正仿宋_GB2312"/>
          <w:color w:val="auto"/>
          <w:sz w:val="24"/>
          <w:szCs w:val="24"/>
          <w:highlight w:val="none"/>
          <w:u w:val="single"/>
          <w:lang w:val="en-US" w:eastAsia="zh-CN"/>
        </w:rPr>
        <w:t>西安市灞桥区欧亚大道辅路西安市体育训练中心</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 xml:space="preserve"> </w:t>
      </w:r>
    </w:p>
    <w:p w14:paraId="21133156">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u w:val="single"/>
          <w:lang w:val="en-US" w:eastAsia="zh-CN"/>
        </w:rPr>
      </w:pPr>
      <w:r>
        <w:rPr>
          <w:rFonts w:hint="eastAsia" w:ascii="方正仿宋_GB2312" w:hAnsi="方正仿宋_GB2312" w:eastAsia="方正仿宋_GB2312" w:cs="方正仿宋_GB2312"/>
          <w:color w:val="auto"/>
          <w:sz w:val="24"/>
          <w:szCs w:val="24"/>
          <w:highlight w:val="none"/>
          <w:lang w:val="en-US" w:eastAsia="zh-CN"/>
        </w:rPr>
        <w:t>3、项目概况：</w:t>
      </w:r>
      <w:r>
        <w:rPr>
          <w:rFonts w:hint="eastAsia" w:ascii="方正仿宋_GB2312" w:hAnsi="方正仿宋_GB2312" w:eastAsia="方正仿宋_GB2312" w:cs="方正仿宋_GB2312"/>
          <w:color w:val="auto"/>
          <w:sz w:val="24"/>
          <w:szCs w:val="24"/>
          <w:highlight w:val="none"/>
          <w:u w:val="single"/>
          <w:lang w:val="en-US" w:eastAsia="zh-CN"/>
        </w:rPr>
        <w:t>本项目位于西安市灞桥区欧亚大道辅路西安市体育训练中心，西安体育训练中心足球训练馆及配套设施采购内容包含：可拆装足球训练馆一座，采用装配式铝合金主型材多拱结构，具备反复便捷拆装的模块化结构设计（宽33m，长75m，边高6m，总高15.8m）、人造草足球场地（宽33m，长75m）及其他配套设施。</w:t>
      </w:r>
    </w:p>
    <w:p w14:paraId="19365955">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000000"/>
          <w:sz w:val="24"/>
          <w:szCs w:val="24"/>
          <w:highlight w:val="none"/>
          <w:lang w:val="en-US" w:eastAsia="zh-CN"/>
        </w:rPr>
      </w:pPr>
      <w:r>
        <w:rPr>
          <w:rFonts w:hint="eastAsia" w:ascii="方正仿宋_GB2312" w:hAnsi="方正仿宋_GB2312" w:eastAsia="方正仿宋_GB2312" w:cs="方正仿宋_GB2312"/>
          <w:color w:val="auto"/>
          <w:sz w:val="24"/>
          <w:szCs w:val="24"/>
          <w:highlight w:val="none"/>
          <w:u w:val="none"/>
          <w:lang w:val="en-US" w:eastAsia="zh-CN"/>
        </w:rPr>
        <w:t>4、</w:t>
      </w:r>
      <w:r>
        <w:rPr>
          <w:rFonts w:hint="eastAsia" w:ascii="方正仿宋_GB2312" w:hAnsi="方正仿宋_GB2312" w:eastAsia="方正仿宋_GB2312" w:cs="方正仿宋_GB2312"/>
          <w:color w:val="auto"/>
          <w:sz w:val="24"/>
          <w:szCs w:val="24"/>
          <w:highlight w:val="none"/>
          <w:lang w:val="en-US" w:eastAsia="zh-CN"/>
        </w:rPr>
        <w:t>合同履行期限</w:t>
      </w:r>
      <w:r>
        <w:rPr>
          <w:rFonts w:hint="eastAsia" w:ascii="方正仿宋_GB2312" w:hAnsi="方正仿宋_GB2312" w:eastAsia="方正仿宋_GB2312" w:cs="方正仿宋_GB2312"/>
          <w:color w:val="auto"/>
          <w:sz w:val="24"/>
          <w:szCs w:val="24"/>
          <w:highlight w:val="none"/>
          <w:lang w:val="zh-CN"/>
        </w:rPr>
        <w:t>：</w:t>
      </w:r>
      <w:r>
        <w:rPr>
          <w:rFonts w:hint="eastAsia" w:ascii="方正仿宋_GB2312" w:hAnsi="方正仿宋_GB2312" w:eastAsia="方正仿宋_GB2312" w:cs="方正仿宋_GB2312"/>
          <w:color w:val="000000"/>
          <w:sz w:val="24"/>
          <w:szCs w:val="24"/>
          <w:highlight w:val="none"/>
          <w:lang w:val="en-US" w:eastAsia="zh-CN"/>
        </w:rPr>
        <w:t>合同签订后</w:t>
      </w:r>
      <w:r>
        <w:rPr>
          <w:rFonts w:hint="eastAsia" w:ascii="方正仿宋_GB2312" w:hAnsi="方正仿宋_GB2312" w:eastAsia="方正仿宋_GB2312" w:cs="方正仿宋_GB2312"/>
          <w:color w:val="000000"/>
          <w:sz w:val="24"/>
          <w:szCs w:val="24"/>
          <w:highlight w:val="none"/>
          <w:u w:val="single"/>
          <w:lang w:val="en-US" w:eastAsia="zh-CN"/>
        </w:rPr>
        <w:t xml:space="preserve">50 </w:t>
      </w:r>
      <w:r>
        <w:rPr>
          <w:rFonts w:hint="eastAsia" w:ascii="方正仿宋_GB2312" w:hAnsi="方正仿宋_GB2312" w:eastAsia="方正仿宋_GB2312" w:cs="方正仿宋_GB2312"/>
          <w:color w:val="000000"/>
          <w:sz w:val="24"/>
          <w:szCs w:val="24"/>
          <w:highlight w:val="none"/>
          <w:lang w:val="en-US" w:eastAsia="zh-CN"/>
        </w:rPr>
        <w:t>个日历天</w:t>
      </w:r>
    </w:p>
    <w:p w14:paraId="2750C403">
      <w:pPr>
        <w:bidi w:val="0"/>
        <w:spacing w:line="360" w:lineRule="auto"/>
        <w:rPr>
          <w:rFonts w:hint="eastAsia" w:ascii="方正仿宋_GB2312" w:hAnsi="方正仿宋_GB2312" w:eastAsia="方正仿宋_GB2312" w:cs="方正仿宋_GB2312"/>
          <w:b/>
          <w:bCs w:val="0"/>
          <w:color w:val="auto"/>
          <w:sz w:val="24"/>
          <w:szCs w:val="24"/>
          <w:highlight w:val="none"/>
          <w:lang w:val="zh-CN"/>
        </w:rPr>
      </w:pPr>
      <w:bookmarkStart w:id="2" w:name="_Toc17467"/>
      <w:r>
        <w:rPr>
          <w:rFonts w:hint="eastAsia" w:ascii="方正仿宋_GB2312" w:hAnsi="方正仿宋_GB2312" w:eastAsia="方正仿宋_GB2312" w:cs="方正仿宋_GB2312"/>
          <w:b/>
          <w:bCs w:val="0"/>
          <w:color w:val="auto"/>
          <w:sz w:val="24"/>
          <w:szCs w:val="24"/>
          <w:highlight w:val="none"/>
        </w:rPr>
        <w:t>★</w:t>
      </w:r>
      <w:r>
        <w:rPr>
          <w:rFonts w:hint="eastAsia" w:ascii="方正仿宋_GB2312" w:hAnsi="方正仿宋_GB2312" w:eastAsia="方正仿宋_GB2312" w:cs="方正仿宋_GB2312"/>
          <w:b/>
          <w:bCs w:val="0"/>
          <w:color w:val="auto"/>
          <w:sz w:val="24"/>
          <w:szCs w:val="24"/>
          <w:highlight w:val="none"/>
          <w:lang w:val="en-US" w:eastAsia="zh-CN"/>
        </w:rPr>
        <w:t>二</w:t>
      </w:r>
      <w:r>
        <w:rPr>
          <w:rFonts w:hint="eastAsia" w:ascii="方正仿宋_GB2312" w:hAnsi="方正仿宋_GB2312" w:eastAsia="方正仿宋_GB2312" w:cs="方正仿宋_GB2312"/>
          <w:b/>
          <w:bCs w:val="0"/>
          <w:color w:val="auto"/>
          <w:sz w:val="24"/>
          <w:szCs w:val="24"/>
          <w:highlight w:val="none"/>
        </w:rPr>
        <w:t>、</w:t>
      </w:r>
      <w:r>
        <w:rPr>
          <w:rFonts w:hint="eastAsia" w:ascii="方正仿宋_GB2312" w:hAnsi="方正仿宋_GB2312" w:eastAsia="方正仿宋_GB2312" w:cs="方正仿宋_GB2312"/>
          <w:b/>
          <w:bCs w:val="0"/>
          <w:color w:val="auto"/>
          <w:sz w:val="24"/>
          <w:szCs w:val="24"/>
          <w:highlight w:val="none"/>
          <w:lang w:val="zh-CN"/>
        </w:rPr>
        <w:t>合同价款</w:t>
      </w:r>
      <w:bookmarkEnd w:id="0"/>
      <w:bookmarkEnd w:id="1"/>
      <w:bookmarkEnd w:id="2"/>
    </w:p>
    <w:p w14:paraId="20F54F5E">
      <w:pPr>
        <w:keepNext w:val="0"/>
        <w:keepLines w:val="0"/>
        <w:pageBreakBefore w:val="0"/>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1、合同总价：</w:t>
      </w:r>
      <w:r>
        <w:rPr>
          <w:rFonts w:hint="eastAsia" w:ascii="方正仿宋_GB2312" w:hAnsi="方正仿宋_GB2312" w:eastAsia="方正仿宋_GB2312" w:cs="方正仿宋_GB2312"/>
          <w:sz w:val="24"/>
          <w:szCs w:val="24"/>
          <w:highlight w:val="none"/>
          <w:lang w:val="en-US" w:eastAsia="zh-CN"/>
        </w:rPr>
        <w:t>人民币大写：</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lang w:val="en-US" w:eastAsia="zh-CN"/>
        </w:rPr>
        <w:t>元整；￥</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lang w:val="en-US" w:eastAsia="zh-CN"/>
        </w:rPr>
        <w:t xml:space="preserve">元。 </w:t>
      </w:r>
    </w:p>
    <w:p w14:paraId="28E6FA68">
      <w:pPr>
        <w:keepNext w:val="0"/>
        <w:keepLines w:val="0"/>
        <w:pageBreakBefore w:val="0"/>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2、合同总价：包括设备制造费、保管费、运杂费、装卸费、保险费、</w:t>
      </w:r>
      <w:r>
        <w:rPr>
          <w:rFonts w:hint="eastAsia" w:ascii="方正仿宋_GB2312" w:hAnsi="方正仿宋_GB2312" w:eastAsia="方正仿宋_GB2312" w:cs="方正仿宋_GB2312"/>
          <w:sz w:val="24"/>
          <w:szCs w:val="24"/>
          <w:highlight w:val="none"/>
          <w:lang w:val="en-US" w:eastAsia="zh-CN"/>
        </w:rPr>
        <w:t>人工费、材料费、机械设备使用费、措施费、</w:t>
      </w:r>
      <w:r>
        <w:rPr>
          <w:rFonts w:hint="eastAsia" w:ascii="方正仿宋_GB2312" w:hAnsi="方正仿宋_GB2312" w:eastAsia="方正仿宋_GB2312" w:cs="方正仿宋_GB2312"/>
          <w:sz w:val="24"/>
          <w:szCs w:val="24"/>
          <w:highlight w:val="none"/>
        </w:rPr>
        <w:t>管理费、</w:t>
      </w:r>
      <w:r>
        <w:rPr>
          <w:rFonts w:hint="eastAsia" w:ascii="方正仿宋_GB2312" w:hAnsi="方正仿宋_GB2312" w:eastAsia="方正仿宋_GB2312" w:cs="方正仿宋_GB2312"/>
          <w:sz w:val="24"/>
          <w:szCs w:val="24"/>
          <w:highlight w:val="none"/>
          <w:lang w:val="en-US" w:eastAsia="zh-CN"/>
        </w:rPr>
        <w:t>规费、</w:t>
      </w:r>
      <w:r>
        <w:rPr>
          <w:rFonts w:hint="eastAsia" w:ascii="方正仿宋_GB2312" w:hAnsi="方正仿宋_GB2312" w:eastAsia="方正仿宋_GB2312" w:cs="方正仿宋_GB2312"/>
          <w:sz w:val="24"/>
          <w:szCs w:val="24"/>
          <w:highlight w:val="none"/>
        </w:rPr>
        <w:t>安装调试费、垃圾清运费</w:t>
      </w:r>
      <w:r>
        <w:rPr>
          <w:rFonts w:hint="eastAsia" w:ascii="方正仿宋_GB2312" w:hAnsi="方正仿宋_GB2312" w:eastAsia="方正仿宋_GB2312" w:cs="方正仿宋_GB2312"/>
          <w:sz w:val="24"/>
          <w:szCs w:val="24"/>
          <w:highlight w:val="none"/>
          <w:lang w:eastAsia="zh-CN"/>
        </w:rPr>
        <w:t>、</w:t>
      </w:r>
      <w:r>
        <w:rPr>
          <w:rFonts w:hint="eastAsia" w:ascii="方正仿宋_GB2312" w:hAnsi="方正仿宋_GB2312" w:eastAsia="方正仿宋_GB2312" w:cs="方正仿宋_GB2312"/>
          <w:sz w:val="24"/>
          <w:szCs w:val="24"/>
          <w:highlight w:val="none"/>
        </w:rPr>
        <w:t>检测验收费、专用工具、备品备件、技术资料、培训费、税金及其它相关的一切费用。</w:t>
      </w:r>
    </w:p>
    <w:p w14:paraId="75971BAE">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lang w:val="en-US" w:eastAsia="zh-CN"/>
        </w:rPr>
      </w:pPr>
      <w:bookmarkStart w:id="3" w:name="_Toc3546"/>
      <w:bookmarkStart w:id="4" w:name="_Toc22900"/>
      <w:r>
        <w:rPr>
          <w:rFonts w:hint="eastAsia" w:ascii="方正仿宋_GB2312" w:hAnsi="方正仿宋_GB2312" w:eastAsia="方正仿宋_GB2312" w:cs="方正仿宋_GB2312"/>
          <w:color w:val="auto"/>
          <w:sz w:val="24"/>
          <w:szCs w:val="24"/>
          <w:highlight w:val="none"/>
          <w:lang w:val="en-US" w:eastAsia="zh-CN"/>
        </w:rPr>
        <w:t>3、付款条件说明：合同签订后7日内支付合同总金额的30%，项目验收合格后支付至合同总金额的70%，审计完成后15日内支付至审计价款的100%。</w:t>
      </w:r>
    </w:p>
    <w:p w14:paraId="1C12AE83">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lang w:eastAsia="zh-CN"/>
        </w:rPr>
      </w:pPr>
      <w:r>
        <w:rPr>
          <w:rFonts w:hint="eastAsia" w:ascii="方正仿宋_GB2312" w:hAnsi="方正仿宋_GB2312" w:eastAsia="方正仿宋_GB2312" w:cs="方正仿宋_GB2312"/>
          <w:color w:val="auto"/>
          <w:sz w:val="24"/>
          <w:szCs w:val="24"/>
          <w:highlight w:val="none"/>
          <w:lang w:val="en-US" w:eastAsia="zh-CN"/>
        </w:rPr>
        <w:t>4、</w:t>
      </w:r>
      <w:r>
        <w:rPr>
          <w:rFonts w:hint="eastAsia" w:ascii="方正仿宋_GB2312" w:hAnsi="方正仿宋_GB2312" w:eastAsia="方正仿宋_GB2312" w:cs="方正仿宋_GB2312"/>
          <w:color w:val="auto"/>
          <w:sz w:val="24"/>
          <w:szCs w:val="24"/>
          <w:highlight w:val="none"/>
        </w:rPr>
        <w:t>履约验收时间：供应商提出验收申请之日起</w:t>
      </w:r>
      <w:r>
        <w:rPr>
          <w:rFonts w:hint="eastAsia" w:ascii="方正仿宋_GB2312" w:hAnsi="方正仿宋_GB2312" w:eastAsia="方正仿宋_GB2312" w:cs="方正仿宋_GB2312"/>
          <w:color w:val="auto"/>
          <w:sz w:val="24"/>
          <w:szCs w:val="24"/>
          <w:highlight w:val="none"/>
          <w:lang w:val="en-US" w:eastAsia="zh-CN"/>
        </w:rPr>
        <w:t>15</w:t>
      </w:r>
      <w:r>
        <w:rPr>
          <w:rFonts w:hint="eastAsia" w:ascii="方正仿宋_GB2312" w:hAnsi="方正仿宋_GB2312" w:eastAsia="方正仿宋_GB2312" w:cs="方正仿宋_GB2312"/>
          <w:color w:val="auto"/>
          <w:sz w:val="24"/>
          <w:szCs w:val="24"/>
          <w:highlight w:val="none"/>
        </w:rPr>
        <w:t>日内组织验收</w:t>
      </w:r>
      <w:r>
        <w:rPr>
          <w:rFonts w:hint="eastAsia" w:ascii="方正仿宋_GB2312" w:hAnsi="方正仿宋_GB2312" w:eastAsia="方正仿宋_GB2312" w:cs="方正仿宋_GB2312"/>
          <w:color w:val="auto"/>
          <w:sz w:val="24"/>
          <w:szCs w:val="24"/>
          <w:highlight w:val="none"/>
          <w:lang w:eastAsia="zh-CN"/>
        </w:rPr>
        <w:t>。</w:t>
      </w:r>
    </w:p>
    <w:p w14:paraId="477F1B3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5、</w:t>
      </w:r>
      <w:r>
        <w:rPr>
          <w:rFonts w:hint="eastAsia" w:ascii="方正仿宋_GB2312" w:hAnsi="方正仿宋_GB2312" w:eastAsia="方正仿宋_GB2312" w:cs="方正仿宋_GB2312"/>
          <w:sz w:val="24"/>
          <w:szCs w:val="24"/>
        </w:rPr>
        <w:t>甲方付款前，乙方应提供以甲方为抬头的符合法律规定的并经甲方认可的增值税发票。否则，甲方有权暂停支付相应款项，由此造成的损失由乙方自行承担。</w:t>
      </w:r>
    </w:p>
    <w:bookmarkEnd w:id="3"/>
    <w:bookmarkEnd w:id="4"/>
    <w:p w14:paraId="253EE464">
      <w:pPr>
        <w:bidi w:val="0"/>
        <w:spacing w:line="360" w:lineRule="auto"/>
        <w:rPr>
          <w:rFonts w:hint="eastAsia" w:ascii="方正仿宋_GB2312" w:hAnsi="方正仿宋_GB2312" w:eastAsia="方正仿宋_GB2312" w:cs="方正仿宋_GB2312"/>
          <w:b/>
          <w:bCs w:val="0"/>
          <w:color w:val="auto"/>
          <w:sz w:val="24"/>
          <w:szCs w:val="24"/>
          <w:highlight w:val="none"/>
          <w:lang w:val="zh-CN" w:eastAsia="zh-CN"/>
        </w:rPr>
      </w:pPr>
      <w:bookmarkStart w:id="5" w:name="_Toc9437"/>
      <w:bookmarkStart w:id="6" w:name="_Toc22982"/>
      <w:bookmarkStart w:id="7" w:name="_Toc1926"/>
      <w:r>
        <w:rPr>
          <w:rFonts w:hint="eastAsia" w:ascii="方正仿宋_GB2312" w:hAnsi="方正仿宋_GB2312" w:eastAsia="方正仿宋_GB2312" w:cs="方正仿宋_GB2312"/>
          <w:b/>
          <w:bCs w:val="0"/>
          <w:color w:val="auto"/>
          <w:sz w:val="24"/>
          <w:szCs w:val="24"/>
          <w:highlight w:val="none"/>
          <w:lang w:val="en-US" w:eastAsia="zh-CN"/>
        </w:rPr>
        <w:t>三</w:t>
      </w:r>
      <w:r>
        <w:rPr>
          <w:rFonts w:hint="eastAsia" w:ascii="方正仿宋_GB2312" w:hAnsi="方正仿宋_GB2312" w:eastAsia="方正仿宋_GB2312" w:cs="方正仿宋_GB2312"/>
          <w:b/>
          <w:bCs w:val="0"/>
          <w:color w:val="auto"/>
          <w:sz w:val="24"/>
          <w:szCs w:val="24"/>
          <w:highlight w:val="none"/>
          <w:lang w:val="zh-CN"/>
        </w:rPr>
        <w:t>、运输</w:t>
      </w:r>
      <w:bookmarkEnd w:id="5"/>
      <w:bookmarkEnd w:id="6"/>
      <w:bookmarkEnd w:id="7"/>
    </w:p>
    <w:p w14:paraId="52B58D7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1、乙方负责所有货物的运输。确保货物安全、完整到达使用地点，运杂费用包含在总价内，包括货物从供货地点到使用地点的运输费、保险费、搬运费等。</w:t>
      </w:r>
    </w:p>
    <w:p w14:paraId="5A0D160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2、所有货物在运输、搬运、安装、拆除、改造的过程中，造成甲方损失的，由乙方为甲方修复或更新。</w:t>
      </w:r>
    </w:p>
    <w:p w14:paraId="2B1A82F2">
      <w:pPr>
        <w:bidi w:val="0"/>
        <w:spacing w:line="360" w:lineRule="auto"/>
        <w:rPr>
          <w:rFonts w:hint="eastAsia" w:ascii="方正仿宋_GB2312" w:hAnsi="方正仿宋_GB2312" w:eastAsia="方正仿宋_GB2312" w:cs="方正仿宋_GB2312"/>
          <w:b/>
          <w:bCs w:val="0"/>
          <w:color w:val="auto"/>
          <w:sz w:val="24"/>
          <w:szCs w:val="24"/>
          <w:highlight w:val="none"/>
          <w:lang w:val="zh-CN"/>
        </w:rPr>
      </w:pPr>
      <w:bookmarkStart w:id="8" w:name="_Toc7164"/>
      <w:bookmarkStart w:id="9" w:name="_Toc20165"/>
      <w:bookmarkStart w:id="10" w:name="_Toc25630"/>
      <w:r>
        <w:rPr>
          <w:rFonts w:hint="eastAsia" w:ascii="方正仿宋_GB2312" w:hAnsi="方正仿宋_GB2312" w:eastAsia="方正仿宋_GB2312" w:cs="方正仿宋_GB2312"/>
          <w:b/>
          <w:bCs w:val="0"/>
          <w:color w:val="auto"/>
          <w:sz w:val="24"/>
          <w:szCs w:val="24"/>
          <w:highlight w:val="none"/>
        </w:rPr>
        <w:t>★</w:t>
      </w:r>
      <w:r>
        <w:rPr>
          <w:rFonts w:hint="eastAsia" w:ascii="方正仿宋_GB2312" w:hAnsi="方正仿宋_GB2312" w:eastAsia="方正仿宋_GB2312" w:cs="方正仿宋_GB2312"/>
          <w:b/>
          <w:bCs w:val="0"/>
          <w:color w:val="auto"/>
          <w:sz w:val="24"/>
          <w:szCs w:val="24"/>
          <w:highlight w:val="none"/>
          <w:lang w:val="en-US" w:eastAsia="zh-CN"/>
        </w:rPr>
        <w:t>四</w:t>
      </w:r>
      <w:r>
        <w:rPr>
          <w:rFonts w:hint="eastAsia" w:ascii="方正仿宋_GB2312" w:hAnsi="方正仿宋_GB2312" w:eastAsia="方正仿宋_GB2312" w:cs="方正仿宋_GB2312"/>
          <w:b/>
          <w:bCs w:val="0"/>
          <w:color w:val="auto"/>
          <w:sz w:val="24"/>
          <w:szCs w:val="24"/>
          <w:highlight w:val="none"/>
          <w:lang w:val="zh-CN"/>
        </w:rPr>
        <w:t>、质量保证</w:t>
      </w:r>
      <w:bookmarkEnd w:id="8"/>
      <w:bookmarkEnd w:id="9"/>
      <w:bookmarkEnd w:id="10"/>
    </w:p>
    <w:p w14:paraId="36F0F72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highlight w:val="none"/>
          <w:u w:val="none"/>
        </w:rPr>
        <w:t>1、</w:t>
      </w:r>
      <w:r>
        <w:rPr>
          <w:rFonts w:hint="eastAsia" w:ascii="方正仿宋_GB2312" w:hAnsi="方正仿宋_GB2312" w:eastAsia="方正仿宋_GB2312" w:cs="方正仿宋_GB2312"/>
          <w:sz w:val="24"/>
          <w:szCs w:val="24"/>
          <w:lang w:val="en-US" w:eastAsia="zh-CN"/>
        </w:rPr>
        <w:t>质量目标：</w:t>
      </w:r>
      <w:r>
        <w:rPr>
          <w:rFonts w:hint="eastAsia" w:ascii="方正仿宋_GB2312" w:hAnsi="方正仿宋_GB2312" w:eastAsia="方正仿宋_GB2312" w:cs="方正仿宋_GB2312"/>
          <w:sz w:val="24"/>
          <w:szCs w:val="24"/>
        </w:rPr>
        <w:t>严格按照国家颁发的施工技术验收规范进行施工，质量应达到国家质量检验评定的合格标准。</w:t>
      </w:r>
    </w:p>
    <w:p w14:paraId="3FFF149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2、</w:t>
      </w:r>
      <w:r>
        <w:rPr>
          <w:rFonts w:hint="eastAsia" w:ascii="方正仿宋_GB2312" w:hAnsi="方正仿宋_GB2312" w:eastAsia="方正仿宋_GB2312" w:cs="方正仿宋_GB2312"/>
          <w:sz w:val="24"/>
          <w:szCs w:val="24"/>
        </w:rPr>
        <w:t>乙方负责采购、供应的材料、设备应是合格产品，符合设计及国家规范要求，具有国家相关部门颁发的生产许可证，产品合格证。</w:t>
      </w:r>
    </w:p>
    <w:p w14:paraId="195151A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3</w:t>
      </w:r>
      <w:r>
        <w:rPr>
          <w:rFonts w:hint="eastAsia" w:ascii="方正仿宋_GB2312" w:hAnsi="方正仿宋_GB2312" w:eastAsia="方正仿宋_GB2312" w:cs="方正仿宋_GB2312"/>
          <w:sz w:val="24"/>
          <w:szCs w:val="24"/>
        </w:rPr>
        <w:t>、所供货物必须是经过办理正常手续的全新产品。</w:t>
      </w:r>
    </w:p>
    <w:p w14:paraId="101C919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4</w:t>
      </w:r>
      <w:r>
        <w:rPr>
          <w:rFonts w:hint="eastAsia" w:ascii="方正仿宋_GB2312" w:hAnsi="方正仿宋_GB2312" w:eastAsia="方正仿宋_GB2312" w:cs="方正仿宋_GB2312"/>
          <w:sz w:val="24"/>
          <w:szCs w:val="24"/>
        </w:rPr>
        <w:t>、所供货物是经过国家法定检验、注册、准许市场销售的合法产品。</w:t>
      </w:r>
    </w:p>
    <w:p w14:paraId="7C94D9B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val="en-US" w:eastAsia="zh-CN"/>
        </w:rPr>
        <w:t>5</w:t>
      </w:r>
      <w:r>
        <w:rPr>
          <w:rFonts w:hint="eastAsia" w:ascii="方正仿宋_GB2312" w:hAnsi="方正仿宋_GB2312" w:eastAsia="方正仿宋_GB2312" w:cs="方正仿宋_GB2312"/>
          <w:sz w:val="24"/>
          <w:szCs w:val="24"/>
        </w:rPr>
        <w:t>、货物性能稳定、具有较好的使用效果，质量保证措施完善，符合国家相关标准</w:t>
      </w:r>
      <w:r>
        <w:rPr>
          <w:rFonts w:hint="eastAsia" w:ascii="方正仿宋_GB2312" w:hAnsi="方正仿宋_GB2312" w:eastAsia="方正仿宋_GB2312" w:cs="方正仿宋_GB2312"/>
          <w:sz w:val="24"/>
          <w:szCs w:val="24"/>
          <w:lang w:eastAsia="zh-CN"/>
        </w:rPr>
        <w:t>。</w:t>
      </w:r>
    </w:p>
    <w:p w14:paraId="5271658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6、项目验收时，必须提供第三方机构出具的项目整体质量安全检测报告。</w:t>
      </w:r>
    </w:p>
    <w:p w14:paraId="0C845E62">
      <w:pPr>
        <w:keepNext w:val="0"/>
        <w:keepLines w:val="0"/>
        <w:pageBreakBefore w:val="0"/>
        <w:widowControl/>
        <w:kinsoku/>
        <w:wordWrap/>
        <w:overflowPunct/>
        <w:topLinePunct w:val="0"/>
        <w:autoSpaceDE/>
        <w:autoSpaceDN/>
        <w:bidi w:val="0"/>
        <w:adjustRightInd/>
        <w:snapToGrid w:val="0"/>
        <w:spacing w:line="360" w:lineRule="auto"/>
        <w:ind w:right="0"/>
        <w:jc w:val="left"/>
        <w:textAlignment w:val="auto"/>
        <w:rPr>
          <w:rFonts w:hint="eastAsia" w:ascii="方正仿宋_GB2312" w:hAnsi="方正仿宋_GB2312" w:eastAsia="方正仿宋_GB2312" w:cs="方正仿宋_GB2312"/>
          <w:b/>
          <w:color w:val="auto"/>
          <w:sz w:val="24"/>
          <w:szCs w:val="24"/>
          <w:highlight w:val="none"/>
          <w:lang w:val="en-US" w:eastAsia="zh-CN"/>
        </w:rPr>
      </w:pPr>
      <w:r>
        <w:rPr>
          <w:rFonts w:hint="eastAsia" w:ascii="方正仿宋_GB2312" w:hAnsi="方正仿宋_GB2312" w:eastAsia="方正仿宋_GB2312" w:cs="方正仿宋_GB2312"/>
          <w:bCs/>
          <w:color w:val="auto"/>
          <w:sz w:val="24"/>
          <w:szCs w:val="24"/>
          <w:highlight w:val="none"/>
        </w:rPr>
        <w:t>★</w:t>
      </w:r>
      <w:r>
        <w:rPr>
          <w:rFonts w:hint="eastAsia" w:ascii="方正仿宋_GB2312" w:hAnsi="方正仿宋_GB2312" w:eastAsia="方正仿宋_GB2312" w:cs="方正仿宋_GB2312"/>
          <w:b/>
          <w:color w:val="auto"/>
          <w:sz w:val="24"/>
          <w:szCs w:val="24"/>
          <w:highlight w:val="none"/>
          <w:lang w:val="en-US" w:eastAsia="zh-CN"/>
        </w:rPr>
        <w:t>五、</w:t>
      </w:r>
      <w:r>
        <w:rPr>
          <w:rFonts w:hint="eastAsia" w:ascii="方正仿宋_GB2312" w:hAnsi="方正仿宋_GB2312" w:eastAsia="方正仿宋_GB2312" w:cs="方正仿宋_GB2312"/>
          <w:b/>
          <w:color w:val="auto"/>
          <w:sz w:val="24"/>
          <w:szCs w:val="24"/>
          <w:highlight w:val="none"/>
        </w:rPr>
        <w:t>合同的变更</w:t>
      </w:r>
    </w:p>
    <w:p w14:paraId="3EC75314">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1、</w:t>
      </w:r>
      <w:r>
        <w:rPr>
          <w:rFonts w:hint="eastAsia" w:ascii="方正仿宋_GB2312" w:hAnsi="方正仿宋_GB2312" w:eastAsia="方正仿宋_GB2312" w:cs="方正仿宋_GB2312"/>
          <w:color w:val="auto"/>
          <w:sz w:val="24"/>
          <w:szCs w:val="24"/>
          <w:highlight w:val="none"/>
        </w:rPr>
        <w:t>除《中华人民共和国政府采购法》第49条、第50条第二款规定的情形外，本合同一经签订，甲乙双方不得擅自变更、中止或终止合同。</w:t>
      </w:r>
    </w:p>
    <w:p w14:paraId="2B5D14D8">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2、</w:t>
      </w:r>
      <w:r>
        <w:rPr>
          <w:rFonts w:hint="eastAsia" w:ascii="方正仿宋_GB2312" w:hAnsi="方正仿宋_GB2312" w:eastAsia="方正仿宋_GB2312" w:cs="方正仿宋_GB2312"/>
          <w:color w:val="auto"/>
          <w:sz w:val="24"/>
          <w:szCs w:val="24"/>
          <w:highlight w:val="none"/>
        </w:rPr>
        <w:t>在</w:t>
      </w:r>
      <w:r>
        <w:rPr>
          <w:rFonts w:hint="eastAsia" w:ascii="方正仿宋_GB2312" w:hAnsi="方正仿宋_GB2312" w:eastAsia="方正仿宋_GB2312" w:cs="方正仿宋_GB2312"/>
          <w:color w:val="auto"/>
          <w:sz w:val="24"/>
          <w:szCs w:val="24"/>
          <w:highlight w:val="none"/>
          <w:lang w:val="en-US" w:eastAsia="zh-CN"/>
        </w:rPr>
        <w:t>项目实施</w:t>
      </w:r>
      <w:r>
        <w:rPr>
          <w:rFonts w:hint="eastAsia" w:ascii="方正仿宋_GB2312" w:hAnsi="方正仿宋_GB2312" w:eastAsia="方正仿宋_GB2312" w:cs="方正仿宋_GB2312"/>
          <w:color w:val="auto"/>
          <w:sz w:val="24"/>
          <w:szCs w:val="24"/>
          <w:highlight w:val="none"/>
        </w:rPr>
        <w:t>过程中如遇国家法律法规或政策性调整，双方应依照执行。</w:t>
      </w:r>
    </w:p>
    <w:p w14:paraId="548D38B9">
      <w:pPr>
        <w:keepNext w:val="0"/>
        <w:keepLines w:val="0"/>
        <w:pageBreakBefore w:val="0"/>
        <w:widowControl/>
        <w:kinsoku/>
        <w:wordWrap/>
        <w:overflowPunct/>
        <w:topLinePunct w:val="0"/>
        <w:autoSpaceDE/>
        <w:autoSpaceDN/>
        <w:bidi w:val="0"/>
        <w:adjustRightInd/>
        <w:snapToGrid w:val="0"/>
        <w:spacing w:line="360" w:lineRule="auto"/>
        <w:ind w:right="0"/>
        <w:jc w:val="left"/>
        <w:textAlignment w:val="auto"/>
        <w:rPr>
          <w:rFonts w:hint="eastAsia" w:ascii="方正仿宋_GB2312" w:hAnsi="方正仿宋_GB2312" w:eastAsia="方正仿宋_GB2312" w:cs="方正仿宋_GB2312"/>
          <w:b/>
          <w:bCs w:val="0"/>
          <w:color w:val="auto"/>
          <w:sz w:val="24"/>
          <w:szCs w:val="24"/>
          <w:highlight w:val="none"/>
        </w:rPr>
      </w:pPr>
      <w:r>
        <w:rPr>
          <w:rFonts w:hint="eastAsia" w:ascii="方正仿宋_GB2312" w:hAnsi="方正仿宋_GB2312" w:eastAsia="方正仿宋_GB2312" w:cs="方正仿宋_GB2312"/>
          <w:b/>
          <w:bCs w:val="0"/>
          <w:color w:val="auto"/>
          <w:sz w:val="24"/>
          <w:szCs w:val="24"/>
          <w:highlight w:val="none"/>
        </w:rPr>
        <w:t>★</w:t>
      </w:r>
      <w:r>
        <w:rPr>
          <w:rFonts w:hint="eastAsia" w:ascii="方正仿宋_GB2312" w:hAnsi="方正仿宋_GB2312" w:eastAsia="方正仿宋_GB2312" w:cs="方正仿宋_GB2312"/>
          <w:b/>
          <w:bCs w:val="0"/>
          <w:color w:val="auto"/>
          <w:sz w:val="24"/>
          <w:szCs w:val="24"/>
          <w:highlight w:val="none"/>
          <w:lang w:val="en-US" w:eastAsia="zh-CN"/>
        </w:rPr>
        <w:t>六、</w:t>
      </w:r>
      <w:r>
        <w:rPr>
          <w:rFonts w:hint="eastAsia" w:ascii="方正仿宋_GB2312" w:hAnsi="方正仿宋_GB2312" w:eastAsia="方正仿宋_GB2312" w:cs="方正仿宋_GB2312"/>
          <w:b/>
          <w:bCs w:val="0"/>
          <w:color w:val="auto"/>
          <w:sz w:val="24"/>
          <w:szCs w:val="24"/>
          <w:highlight w:val="none"/>
        </w:rPr>
        <w:t>质量保修期</w:t>
      </w:r>
    </w:p>
    <w:p w14:paraId="27B0294D">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1、篷房主体质量保修期为</w:t>
      </w:r>
      <w:r>
        <w:rPr>
          <w:rFonts w:hint="eastAsia" w:ascii="方正仿宋_GB2312" w:hAnsi="方正仿宋_GB2312" w:eastAsia="方正仿宋_GB2312" w:cs="方正仿宋_GB2312"/>
          <w:color w:val="auto"/>
          <w:sz w:val="24"/>
          <w:szCs w:val="24"/>
          <w:highlight w:val="none"/>
          <w:u w:val="single"/>
          <w:lang w:val="en-US" w:eastAsia="zh-CN"/>
        </w:rPr>
        <w:t>10</w:t>
      </w:r>
      <w:r>
        <w:rPr>
          <w:rFonts w:hint="eastAsia" w:ascii="方正仿宋_GB2312" w:hAnsi="方正仿宋_GB2312" w:eastAsia="方正仿宋_GB2312" w:cs="方正仿宋_GB2312"/>
          <w:color w:val="auto"/>
          <w:sz w:val="24"/>
          <w:szCs w:val="24"/>
          <w:highlight w:val="none"/>
          <w:u w:val="none"/>
          <w:lang w:val="en-US" w:eastAsia="zh-CN"/>
        </w:rPr>
        <w:t>年，人造草坪</w:t>
      </w:r>
      <w:r>
        <w:rPr>
          <w:rFonts w:hint="eastAsia" w:ascii="方正仿宋_GB2312" w:hAnsi="方正仿宋_GB2312" w:eastAsia="方正仿宋_GB2312" w:cs="方正仿宋_GB2312"/>
          <w:color w:val="auto"/>
          <w:sz w:val="24"/>
          <w:szCs w:val="24"/>
          <w:highlight w:val="none"/>
          <w:lang w:val="en-US" w:eastAsia="zh-CN"/>
        </w:rPr>
        <w:t>质量保修期</w:t>
      </w:r>
      <w:r>
        <w:rPr>
          <w:rFonts w:hint="eastAsia" w:ascii="方正仿宋_GB2312" w:hAnsi="方正仿宋_GB2312" w:eastAsia="方正仿宋_GB2312" w:cs="方正仿宋_GB2312"/>
          <w:color w:val="auto"/>
          <w:sz w:val="24"/>
          <w:szCs w:val="24"/>
          <w:highlight w:val="none"/>
          <w:u w:val="none"/>
          <w:lang w:val="en-US" w:eastAsia="zh-CN"/>
        </w:rPr>
        <w:t>为</w:t>
      </w:r>
      <w:r>
        <w:rPr>
          <w:rFonts w:hint="eastAsia" w:ascii="方正仿宋_GB2312" w:hAnsi="方正仿宋_GB2312" w:eastAsia="方正仿宋_GB2312" w:cs="方正仿宋_GB2312"/>
          <w:color w:val="auto"/>
          <w:sz w:val="24"/>
          <w:szCs w:val="24"/>
          <w:highlight w:val="none"/>
          <w:u w:val="single"/>
          <w:lang w:val="en-US" w:eastAsia="zh-CN"/>
        </w:rPr>
        <w:t>8</w:t>
      </w:r>
      <w:r>
        <w:rPr>
          <w:rFonts w:hint="eastAsia" w:ascii="方正仿宋_GB2312" w:hAnsi="方正仿宋_GB2312" w:eastAsia="方正仿宋_GB2312" w:cs="方正仿宋_GB2312"/>
          <w:color w:val="auto"/>
          <w:sz w:val="24"/>
          <w:szCs w:val="24"/>
          <w:highlight w:val="none"/>
          <w:u w:val="none"/>
          <w:lang w:val="en-US" w:eastAsia="zh-CN"/>
        </w:rPr>
        <w:t>年，其他产品执行国家“三包”</w:t>
      </w:r>
      <w:r>
        <w:rPr>
          <w:rFonts w:hint="eastAsia" w:ascii="方正仿宋_GB2312" w:hAnsi="方正仿宋_GB2312" w:eastAsia="方正仿宋_GB2312" w:cs="方正仿宋_GB2312"/>
          <w:color w:val="auto"/>
          <w:sz w:val="24"/>
          <w:szCs w:val="24"/>
          <w:highlight w:val="none"/>
          <w:lang w:val="en-US" w:eastAsia="zh-CN"/>
        </w:rPr>
        <w:t>质量保修期</w:t>
      </w:r>
      <w:r>
        <w:rPr>
          <w:rFonts w:hint="eastAsia" w:ascii="方正仿宋_GB2312" w:hAnsi="方正仿宋_GB2312" w:eastAsia="方正仿宋_GB2312" w:cs="方正仿宋_GB2312"/>
          <w:color w:val="auto"/>
          <w:sz w:val="24"/>
          <w:szCs w:val="24"/>
          <w:highlight w:val="none"/>
          <w:u w:val="none"/>
          <w:lang w:val="en-US" w:eastAsia="zh-CN"/>
        </w:rPr>
        <w:t>时限规定。</w:t>
      </w:r>
    </w:p>
    <w:p w14:paraId="2CA685D5">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2、</w:t>
      </w:r>
      <w:r>
        <w:rPr>
          <w:rFonts w:hint="eastAsia" w:ascii="方正仿宋_GB2312" w:hAnsi="方正仿宋_GB2312" w:eastAsia="方正仿宋_GB2312" w:cs="方正仿宋_GB2312"/>
          <w:color w:val="auto"/>
          <w:sz w:val="24"/>
          <w:szCs w:val="24"/>
          <w:highlight w:val="none"/>
        </w:rPr>
        <w:t>保修期内乙方负责免费维修更换。如质保期内出现质量问题乙方未能及时维修时，甲方有权委托第三方进行维修，所产生的费用</w:t>
      </w:r>
      <w:r>
        <w:rPr>
          <w:rFonts w:hint="eastAsia" w:ascii="方正仿宋_GB2312" w:hAnsi="方正仿宋_GB2312" w:eastAsia="方正仿宋_GB2312" w:cs="方正仿宋_GB2312"/>
          <w:color w:val="auto"/>
          <w:sz w:val="24"/>
          <w:szCs w:val="24"/>
          <w:highlight w:val="none"/>
          <w:lang w:val="en-US" w:eastAsia="zh-CN"/>
        </w:rPr>
        <w:t>由乙方负责支付</w:t>
      </w:r>
      <w:r>
        <w:rPr>
          <w:rFonts w:hint="eastAsia" w:ascii="方正仿宋_GB2312" w:hAnsi="方正仿宋_GB2312" w:eastAsia="方正仿宋_GB2312" w:cs="方正仿宋_GB2312"/>
          <w:color w:val="auto"/>
          <w:sz w:val="24"/>
          <w:szCs w:val="24"/>
          <w:highlight w:val="none"/>
        </w:rPr>
        <w:t>。</w:t>
      </w:r>
    </w:p>
    <w:p w14:paraId="6A961D8D">
      <w:pPr>
        <w:keepNext w:val="0"/>
        <w:keepLines w:val="0"/>
        <w:pageBreakBefore w:val="0"/>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3、售后服务</w:t>
      </w:r>
    </w:p>
    <w:p w14:paraId="320DE6BF">
      <w:pPr>
        <w:keepNext w:val="0"/>
        <w:keepLines w:val="0"/>
        <w:pageBreakBefore w:val="0"/>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w:t>
      </w:r>
      <w:r>
        <w:rPr>
          <w:rFonts w:hint="eastAsia" w:ascii="方正仿宋_GB2312" w:hAnsi="方正仿宋_GB2312" w:eastAsia="方正仿宋_GB2312" w:cs="方正仿宋_GB2312"/>
          <w:sz w:val="24"/>
          <w:szCs w:val="24"/>
          <w:lang w:val="en-US" w:eastAsia="zh-CN"/>
        </w:rPr>
        <w:t>.</w:t>
      </w:r>
      <w:r>
        <w:rPr>
          <w:rFonts w:hint="eastAsia" w:ascii="方正仿宋_GB2312" w:hAnsi="方正仿宋_GB2312" w:eastAsia="方正仿宋_GB2312" w:cs="方正仿宋_GB2312"/>
          <w:sz w:val="24"/>
          <w:szCs w:val="24"/>
        </w:rPr>
        <w:t>1质保期内维保标准不得低于国家标准及相关规定。</w:t>
      </w:r>
    </w:p>
    <w:p w14:paraId="38AA0A13">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w:t>
      </w:r>
      <w:r>
        <w:rPr>
          <w:rFonts w:hint="eastAsia" w:ascii="方正仿宋_GB2312" w:hAnsi="方正仿宋_GB2312" w:eastAsia="方正仿宋_GB2312" w:cs="方正仿宋_GB2312"/>
          <w:sz w:val="24"/>
          <w:szCs w:val="24"/>
          <w:lang w:val="en-US" w:eastAsia="zh-CN"/>
        </w:rPr>
        <w:t>.</w:t>
      </w:r>
      <w:r>
        <w:rPr>
          <w:rFonts w:hint="eastAsia" w:ascii="方正仿宋_GB2312" w:hAnsi="方正仿宋_GB2312" w:eastAsia="方正仿宋_GB2312" w:cs="方正仿宋_GB2312"/>
          <w:sz w:val="24"/>
          <w:szCs w:val="24"/>
        </w:rPr>
        <w:t>2如果乙方在收到通知后2天内没有弥补缺陷，甲方可采取必要的补救措施，但其风险和费用将由乙方承担，甲方根据合同规定对乙方行使的其它权力不受影响。甲方亦可从合同价款中扣回索赔金额。</w:t>
      </w:r>
    </w:p>
    <w:p w14:paraId="15B9B10F">
      <w:pPr>
        <w:keepNext w:val="0"/>
        <w:keepLines w:val="0"/>
        <w:pageBreakBefore w:val="0"/>
        <w:kinsoku/>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4</w:t>
      </w:r>
      <w:r>
        <w:rPr>
          <w:rFonts w:hint="eastAsia" w:ascii="方正仿宋_GB2312" w:hAnsi="方正仿宋_GB2312" w:eastAsia="方正仿宋_GB2312" w:cs="方正仿宋_GB2312"/>
          <w:sz w:val="24"/>
          <w:szCs w:val="24"/>
        </w:rPr>
        <w:t>、质保期满后</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rPr>
        <w:t>由乙方出具质保期运行质量报告，若存在质量问题，应按相应规定协商处理。</w:t>
      </w:r>
    </w:p>
    <w:p w14:paraId="29D91F8B">
      <w:pPr>
        <w:bidi w:val="0"/>
        <w:spacing w:line="360" w:lineRule="auto"/>
        <w:rPr>
          <w:rFonts w:hint="eastAsia" w:ascii="方正仿宋_GB2312" w:hAnsi="方正仿宋_GB2312" w:eastAsia="方正仿宋_GB2312" w:cs="方正仿宋_GB2312"/>
          <w:b/>
          <w:bCs w:val="0"/>
          <w:color w:val="auto"/>
          <w:sz w:val="24"/>
          <w:szCs w:val="24"/>
          <w:highlight w:val="none"/>
          <w:lang w:val="zh-CN"/>
        </w:rPr>
      </w:pPr>
      <w:bookmarkStart w:id="11" w:name="_Toc14169"/>
      <w:bookmarkStart w:id="12" w:name="_Toc20761"/>
      <w:bookmarkStart w:id="13" w:name="_Toc26330"/>
      <w:r>
        <w:rPr>
          <w:rFonts w:hint="eastAsia" w:ascii="方正仿宋_GB2312" w:hAnsi="方正仿宋_GB2312" w:eastAsia="方正仿宋_GB2312" w:cs="方正仿宋_GB2312"/>
          <w:b/>
          <w:bCs w:val="0"/>
          <w:color w:val="auto"/>
          <w:sz w:val="24"/>
          <w:szCs w:val="24"/>
          <w:highlight w:val="none"/>
          <w:lang w:val="en-US" w:eastAsia="zh-CN"/>
        </w:rPr>
        <w:t>七</w:t>
      </w:r>
      <w:r>
        <w:rPr>
          <w:rFonts w:hint="eastAsia" w:ascii="方正仿宋_GB2312" w:hAnsi="方正仿宋_GB2312" w:eastAsia="方正仿宋_GB2312" w:cs="方正仿宋_GB2312"/>
          <w:b/>
          <w:bCs w:val="0"/>
          <w:color w:val="auto"/>
          <w:sz w:val="24"/>
          <w:szCs w:val="24"/>
          <w:highlight w:val="none"/>
          <w:lang w:val="zh-CN"/>
        </w:rPr>
        <w:t>、技术服务</w:t>
      </w:r>
      <w:bookmarkEnd w:id="11"/>
      <w:bookmarkEnd w:id="12"/>
      <w:bookmarkEnd w:id="13"/>
    </w:p>
    <w:p w14:paraId="3438F8D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1、对技术服务的要求：乙方应随同货物提供相应的中文技术文件(包括产品合格证、装箱、清单、操作手册、使用说明。检测报告、维护手册、服务指南等资料)，现场安装、调试、试运行技术保障服务。</w:t>
      </w:r>
    </w:p>
    <w:p w14:paraId="4DFD751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2、技术资料：</w:t>
      </w:r>
    </w:p>
    <w:p w14:paraId="3B69D9C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2-1产品合格证及检验报告；</w:t>
      </w:r>
    </w:p>
    <w:p w14:paraId="28F2515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2-2产品使用说明书（中文）；</w:t>
      </w:r>
    </w:p>
    <w:p w14:paraId="0D368B0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2-3其他技术资料。</w:t>
      </w:r>
    </w:p>
    <w:p w14:paraId="7F5FC68B">
      <w:pPr>
        <w:bidi w:val="0"/>
        <w:spacing w:line="360" w:lineRule="auto"/>
        <w:rPr>
          <w:rFonts w:hint="eastAsia" w:ascii="方正仿宋_GB2312" w:hAnsi="方正仿宋_GB2312" w:eastAsia="方正仿宋_GB2312" w:cs="方正仿宋_GB2312"/>
          <w:b/>
          <w:bCs w:val="0"/>
          <w:color w:val="auto"/>
          <w:sz w:val="24"/>
          <w:szCs w:val="24"/>
          <w:highlight w:val="none"/>
          <w:lang w:val="zh-CN"/>
        </w:rPr>
      </w:pPr>
      <w:bookmarkStart w:id="14" w:name="_Toc11669"/>
      <w:bookmarkStart w:id="15" w:name="_Toc28234"/>
      <w:bookmarkStart w:id="16" w:name="_Toc13698"/>
      <w:r>
        <w:rPr>
          <w:rFonts w:hint="eastAsia" w:ascii="方正仿宋_GB2312" w:hAnsi="方正仿宋_GB2312" w:eastAsia="方正仿宋_GB2312" w:cs="方正仿宋_GB2312"/>
          <w:b/>
          <w:bCs w:val="0"/>
          <w:color w:val="auto"/>
          <w:sz w:val="24"/>
          <w:szCs w:val="24"/>
          <w:highlight w:val="none"/>
          <w:lang w:val="en-US" w:eastAsia="zh-CN"/>
        </w:rPr>
        <w:t>八</w:t>
      </w:r>
      <w:r>
        <w:rPr>
          <w:rFonts w:hint="eastAsia" w:ascii="方正仿宋_GB2312" w:hAnsi="方正仿宋_GB2312" w:eastAsia="方正仿宋_GB2312" w:cs="方正仿宋_GB2312"/>
          <w:b/>
          <w:bCs w:val="0"/>
          <w:color w:val="auto"/>
          <w:sz w:val="24"/>
          <w:szCs w:val="24"/>
          <w:highlight w:val="none"/>
          <w:lang w:val="zh-CN"/>
        </w:rPr>
        <w:t>、验收</w:t>
      </w:r>
      <w:bookmarkEnd w:id="14"/>
      <w:bookmarkEnd w:id="15"/>
      <w:bookmarkEnd w:id="16"/>
    </w:p>
    <w:p w14:paraId="295437F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w:t>
      </w:r>
      <w:r>
        <w:rPr>
          <w:rFonts w:hint="eastAsia" w:ascii="方正仿宋_GB2312" w:hAnsi="方正仿宋_GB2312" w:eastAsia="方正仿宋_GB2312" w:cs="方正仿宋_GB2312"/>
          <w:sz w:val="24"/>
          <w:szCs w:val="24"/>
          <w:lang w:eastAsia="zh-CN"/>
        </w:rPr>
        <w:t>本项目</w:t>
      </w:r>
      <w:r>
        <w:rPr>
          <w:rFonts w:hint="eastAsia" w:ascii="方正仿宋_GB2312" w:hAnsi="方正仿宋_GB2312" w:eastAsia="方正仿宋_GB2312" w:cs="方正仿宋_GB2312"/>
          <w:sz w:val="24"/>
          <w:szCs w:val="24"/>
          <w:lang w:val="en-US" w:eastAsia="zh-CN"/>
        </w:rPr>
        <w:t>实施</w:t>
      </w:r>
      <w:r>
        <w:rPr>
          <w:rFonts w:hint="eastAsia" w:ascii="方正仿宋_GB2312" w:hAnsi="方正仿宋_GB2312" w:eastAsia="方正仿宋_GB2312" w:cs="方正仿宋_GB2312"/>
          <w:sz w:val="24"/>
          <w:szCs w:val="24"/>
        </w:rPr>
        <w:t>完成后，乙方应及时办理验收等一切相关手续。</w:t>
      </w:r>
      <w:r>
        <w:rPr>
          <w:rFonts w:hint="eastAsia" w:ascii="方正仿宋_GB2312" w:hAnsi="方正仿宋_GB2312" w:eastAsia="方正仿宋_GB2312" w:cs="方正仿宋_GB2312"/>
          <w:sz w:val="24"/>
          <w:szCs w:val="24"/>
          <w:lang w:eastAsia="zh-CN"/>
        </w:rPr>
        <w:t>本项目</w:t>
      </w:r>
      <w:r>
        <w:rPr>
          <w:rFonts w:hint="eastAsia" w:ascii="方正仿宋_GB2312" w:hAnsi="方正仿宋_GB2312" w:eastAsia="方正仿宋_GB2312" w:cs="方正仿宋_GB2312"/>
          <w:sz w:val="24"/>
          <w:szCs w:val="24"/>
        </w:rPr>
        <w:t>经验收合格后移交给甲方。</w:t>
      </w:r>
    </w:p>
    <w:p w14:paraId="2FFC9F6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2、甲方将</w:t>
      </w:r>
      <w:r>
        <w:rPr>
          <w:rFonts w:hint="eastAsia" w:ascii="方正仿宋_GB2312" w:hAnsi="方正仿宋_GB2312" w:eastAsia="方正仿宋_GB2312" w:cs="方正仿宋_GB2312"/>
          <w:sz w:val="24"/>
          <w:szCs w:val="24"/>
        </w:rPr>
        <w:t>组织</w:t>
      </w:r>
      <w:r>
        <w:rPr>
          <w:rFonts w:hint="eastAsia" w:ascii="方正仿宋_GB2312" w:hAnsi="方正仿宋_GB2312" w:eastAsia="方正仿宋_GB2312" w:cs="方正仿宋_GB2312"/>
          <w:sz w:val="24"/>
          <w:szCs w:val="24"/>
          <w:lang w:val="en-US" w:eastAsia="zh-CN"/>
        </w:rPr>
        <w:t>相关部门</w:t>
      </w:r>
      <w:r>
        <w:rPr>
          <w:rFonts w:hint="eastAsia" w:ascii="方正仿宋_GB2312" w:hAnsi="方正仿宋_GB2312" w:eastAsia="方正仿宋_GB2312" w:cs="方正仿宋_GB2312"/>
          <w:sz w:val="24"/>
          <w:szCs w:val="24"/>
        </w:rPr>
        <w:t>对供应商</w:t>
      </w:r>
      <w:r>
        <w:rPr>
          <w:rFonts w:hint="eastAsia" w:ascii="方正仿宋_GB2312" w:hAnsi="方正仿宋_GB2312" w:eastAsia="方正仿宋_GB2312" w:cs="方正仿宋_GB2312"/>
          <w:sz w:val="24"/>
          <w:szCs w:val="24"/>
          <w:lang w:val="en-US" w:eastAsia="zh-CN"/>
        </w:rPr>
        <w:t>进行</w:t>
      </w:r>
      <w:r>
        <w:rPr>
          <w:rFonts w:hint="eastAsia" w:ascii="方正仿宋_GB2312" w:hAnsi="方正仿宋_GB2312" w:eastAsia="方正仿宋_GB2312" w:cs="方正仿宋_GB2312"/>
          <w:sz w:val="24"/>
          <w:szCs w:val="24"/>
        </w:rPr>
        <w:t>履约的验收，</w:t>
      </w:r>
      <w:r>
        <w:rPr>
          <w:rFonts w:hint="eastAsia" w:ascii="方正仿宋_GB2312" w:hAnsi="方正仿宋_GB2312" w:eastAsia="方正仿宋_GB2312" w:cs="方正仿宋_GB2312"/>
          <w:sz w:val="24"/>
          <w:szCs w:val="24"/>
          <w:lang w:val="en-US" w:eastAsia="zh-CN"/>
        </w:rPr>
        <w:t>并</w:t>
      </w:r>
      <w:r>
        <w:rPr>
          <w:rFonts w:hint="eastAsia" w:ascii="方正仿宋_GB2312" w:hAnsi="方正仿宋_GB2312" w:eastAsia="方正仿宋_GB2312" w:cs="方正仿宋_GB2312"/>
          <w:sz w:val="24"/>
          <w:szCs w:val="24"/>
        </w:rPr>
        <w:t>委托国家认可的质量检测机构检验</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lang w:val="en-US" w:eastAsia="zh-CN"/>
        </w:rPr>
        <w:t>检测费由乙方全额支付</w:t>
      </w:r>
      <w:r>
        <w:rPr>
          <w:rFonts w:hint="eastAsia" w:ascii="方正仿宋_GB2312" w:hAnsi="方正仿宋_GB2312" w:eastAsia="方正仿宋_GB2312" w:cs="方正仿宋_GB2312"/>
          <w:sz w:val="24"/>
          <w:szCs w:val="24"/>
        </w:rPr>
        <w:t>。</w:t>
      </w:r>
    </w:p>
    <w:p w14:paraId="1F45BBA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3、甲方将</w:t>
      </w:r>
      <w:r>
        <w:rPr>
          <w:rFonts w:hint="eastAsia" w:ascii="方正仿宋_GB2312" w:hAnsi="方正仿宋_GB2312" w:eastAsia="方正仿宋_GB2312" w:cs="方正仿宋_GB2312"/>
          <w:sz w:val="24"/>
          <w:szCs w:val="24"/>
        </w:rPr>
        <w:t>按照政府采购内部控制要求制定验收方案、组成验收小组，验收人员与</w:t>
      </w:r>
      <w:r>
        <w:rPr>
          <w:rFonts w:hint="eastAsia" w:ascii="方正仿宋_GB2312" w:hAnsi="方正仿宋_GB2312" w:eastAsia="方正仿宋_GB2312" w:cs="方正仿宋_GB2312"/>
          <w:sz w:val="24"/>
          <w:szCs w:val="24"/>
          <w:lang w:val="en-US" w:eastAsia="zh-CN"/>
        </w:rPr>
        <w:t>采购</w:t>
      </w:r>
      <w:r>
        <w:rPr>
          <w:rFonts w:hint="eastAsia" w:ascii="方正仿宋_GB2312" w:hAnsi="方正仿宋_GB2312" w:eastAsia="方正仿宋_GB2312" w:cs="方正仿宋_GB2312"/>
          <w:sz w:val="24"/>
          <w:szCs w:val="24"/>
        </w:rPr>
        <w:t>人员分开；验收结束后，验收人员出具验收报告并签字，验收报告</w:t>
      </w:r>
      <w:r>
        <w:rPr>
          <w:rFonts w:hint="eastAsia" w:ascii="方正仿宋_GB2312" w:hAnsi="方正仿宋_GB2312" w:eastAsia="方正仿宋_GB2312" w:cs="方正仿宋_GB2312"/>
          <w:sz w:val="24"/>
          <w:szCs w:val="24"/>
          <w:lang w:val="en-US" w:eastAsia="zh-CN"/>
        </w:rPr>
        <w:t>将</w:t>
      </w:r>
      <w:r>
        <w:rPr>
          <w:rFonts w:hint="eastAsia" w:ascii="方正仿宋_GB2312" w:hAnsi="方正仿宋_GB2312" w:eastAsia="方正仿宋_GB2312" w:cs="方正仿宋_GB2312"/>
          <w:sz w:val="24"/>
          <w:szCs w:val="24"/>
        </w:rPr>
        <w:t>列明各项标准的验收情况及项目总体评价；采购项目验收完成后，</w:t>
      </w:r>
      <w:r>
        <w:rPr>
          <w:rFonts w:hint="eastAsia" w:ascii="方正仿宋_GB2312" w:hAnsi="方正仿宋_GB2312" w:eastAsia="方正仿宋_GB2312" w:cs="方正仿宋_GB2312"/>
          <w:sz w:val="24"/>
          <w:szCs w:val="24"/>
          <w:lang w:val="en-US" w:eastAsia="zh-CN"/>
        </w:rPr>
        <w:t>将</w:t>
      </w:r>
      <w:r>
        <w:rPr>
          <w:rFonts w:hint="eastAsia" w:ascii="方正仿宋_GB2312" w:hAnsi="方正仿宋_GB2312" w:eastAsia="方正仿宋_GB2312" w:cs="方正仿宋_GB2312"/>
          <w:sz w:val="24"/>
          <w:szCs w:val="24"/>
        </w:rPr>
        <w:t>在陕西省政府采购网备案登记。</w:t>
      </w:r>
    </w:p>
    <w:p w14:paraId="7A57D8D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4</w:t>
      </w:r>
      <w:r>
        <w:rPr>
          <w:rFonts w:hint="eastAsia" w:ascii="方正仿宋_GB2312" w:hAnsi="方正仿宋_GB2312" w:eastAsia="方正仿宋_GB2312" w:cs="方正仿宋_GB2312"/>
          <w:sz w:val="24"/>
          <w:szCs w:val="24"/>
        </w:rPr>
        <w:t>、验收依据：</w:t>
      </w:r>
    </w:p>
    <w:p w14:paraId="5770498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4.1</w:t>
      </w:r>
      <w:r>
        <w:rPr>
          <w:rFonts w:hint="eastAsia" w:ascii="方正仿宋_GB2312" w:hAnsi="方正仿宋_GB2312" w:eastAsia="方正仿宋_GB2312" w:cs="方正仿宋_GB2312"/>
          <w:sz w:val="24"/>
          <w:szCs w:val="24"/>
        </w:rPr>
        <w:t>合同文本、合同附件、</w:t>
      </w:r>
      <w:r>
        <w:rPr>
          <w:rFonts w:hint="eastAsia" w:ascii="方正仿宋_GB2312" w:hAnsi="方正仿宋_GB2312" w:eastAsia="方正仿宋_GB2312" w:cs="方正仿宋_GB2312"/>
          <w:sz w:val="24"/>
          <w:szCs w:val="24"/>
          <w:lang w:eastAsia="zh-CN"/>
        </w:rPr>
        <w:t>招标</w:t>
      </w:r>
      <w:r>
        <w:rPr>
          <w:rFonts w:hint="eastAsia" w:ascii="方正仿宋_GB2312" w:hAnsi="方正仿宋_GB2312" w:eastAsia="方正仿宋_GB2312" w:cs="方正仿宋_GB2312"/>
          <w:sz w:val="24"/>
          <w:szCs w:val="24"/>
        </w:rPr>
        <w:t>文件、</w:t>
      </w:r>
      <w:r>
        <w:rPr>
          <w:rFonts w:hint="eastAsia" w:ascii="方正仿宋_GB2312" w:hAnsi="方正仿宋_GB2312" w:eastAsia="方正仿宋_GB2312" w:cs="方正仿宋_GB2312"/>
          <w:sz w:val="24"/>
          <w:szCs w:val="24"/>
          <w:lang w:eastAsia="zh-CN"/>
        </w:rPr>
        <w:t>投标</w:t>
      </w:r>
      <w:r>
        <w:rPr>
          <w:rFonts w:hint="eastAsia" w:ascii="方正仿宋_GB2312" w:hAnsi="方正仿宋_GB2312" w:eastAsia="方正仿宋_GB2312" w:cs="方正仿宋_GB2312"/>
          <w:sz w:val="24"/>
          <w:szCs w:val="24"/>
        </w:rPr>
        <w:t>文件。</w:t>
      </w:r>
    </w:p>
    <w:p w14:paraId="65E5267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4.2</w:t>
      </w:r>
      <w:r>
        <w:rPr>
          <w:rFonts w:hint="eastAsia" w:ascii="方正仿宋_GB2312" w:hAnsi="方正仿宋_GB2312" w:eastAsia="方正仿宋_GB2312" w:cs="方正仿宋_GB2312"/>
          <w:sz w:val="24"/>
          <w:szCs w:val="24"/>
        </w:rPr>
        <w:t>国内相应的标准、规范。</w:t>
      </w:r>
    </w:p>
    <w:p w14:paraId="7C28957E">
      <w:pPr>
        <w:bidi w:val="0"/>
        <w:spacing w:line="360" w:lineRule="auto"/>
        <w:rPr>
          <w:rFonts w:hint="eastAsia" w:ascii="方正仿宋_GB2312" w:hAnsi="方正仿宋_GB2312" w:eastAsia="方正仿宋_GB2312" w:cs="方正仿宋_GB2312"/>
          <w:b/>
          <w:bCs w:val="0"/>
          <w:color w:val="auto"/>
          <w:sz w:val="24"/>
          <w:szCs w:val="24"/>
          <w:highlight w:val="none"/>
          <w:lang w:val="zh-CN"/>
        </w:rPr>
      </w:pPr>
      <w:bookmarkStart w:id="17" w:name="_Toc23939"/>
      <w:bookmarkStart w:id="18" w:name="_Toc17276"/>
      <w:r>
        <w:rPr>
          <w:rFonts w:hint="eastAsia" w:ascii="方正仿宋_GB2312" w:hAnsi="方正仿宋_GB2312" w:eastAsia="方正仿宋_GB2312" w:cs="方正仿宋_GB2312"/>
          <w:b/>
          <w:bCs w:val="0"/>
          <w:color w:val="auto"/>
          <w:sz w:val="24"/>
          <w:szCs w:val="24"/>
          <w:highlight w:val="none"/>
          <w:lang w:val="en-US" w:eastAsia="zh-CN"/>
        </w:rPr>
        <w:t>九</w:t>
      </w:r>
      <w:r>
        <w:rPr>
          <w:rFonts w:hint="eastAsia" w:ascii="方正仿宋_GB2312" w:hAnsi="方正仿宋_GB2312" w:eastAsia="方正仿宋_GB2312" w:cs="方正仿宋_GB2312"/>
          <w:b/>
          <w:bCs w:val="0"/>
          <w:color w:val="auto"/>
          <w:sz w:val="24"/>
          <w:szCs w:val="24"/>
          <w:highlight w:val="none"/>
        </w:rPr>
        <w:t>、</w:t>
      </w:r>
      <w:bookmarkStart w:id="19" w:name="_Toc26340"/>
      <w:r>
        <w:rPr>
          <w:rFonts w:hint="eastAsia" w:ascii="方正仿宋_GB2312" w:hAnsi="方正仿宋_GB2312" w:eastAsia="方正仿宋_GB2312" w:cs="方正仿宋_GB2312"/>
          <w:b/>
          <w:bCs w:val="0"/>
          <w:color w:val="auto"/>
          <w:sz w:val="24"/>
          <w:szCs w:val="24"/>
          <w:highlight w:val="none"/>
          <w:lang w:val="zh-CN"/>
        </w:rPr>
        <w:t>违约责任</w:t>
      </w:r>
      <w:bookmarkEnd w:id="17"/>
      <w:bookmarkEnd w:id="18"/>
      <w:bookmarkEnd w:id="19"/>
    </w:p>
    <w:p w14:paraId="32DFB83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1、按《</w:t>
      </w:r>
      <w:r>
        <w:rPr>
          <w:rFonts w:hint="eastAsia" w:ascii="方正仿宋_GB2312" w:hAnsi="方正仿宋_GB2312" w:eastAsia="方正仿宋_GB2312" w:cs="方正仿宋_GB2312"/>
          <w:sz w:val="24"/>
          <w:szCs w:val="24"/>
          <w:lang w:val="en-US" w:eastAsia="zh-CN"/>
        </w:rPr>
        <w:t>中华人民共和国民法典</w:t>
      </w:r>
      <w:r>
        <w:rPr>
          <w:rFonts w:hint="eastAsia" w:ascii="方正仿宋_GB2312" w:hAnsi="方正仿宋_GB2312" w:eastAsia="方正仿宋_GB2312" w:cs="方正仿宋_GB2312"/>
          <w:sz w:val="24"/>
          <w:szCs w:val="24"/>
        </w:rPr>
        <w:t>》中的相关条款执行。</w:t>
      </w:r>
    </w:p>
    <w:p w14:paraId="17EEA03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2、本合同履行期间，如乙方未能按照本合同约定完成相应目标成效要求，甲方有权视乙方违约情况决定是否单方解除本合同，并要求乙方赔偿甲方损失。</w:t>
      </w:r>
    </w:p>
    <w:p w14:paraId="20D3938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3、除本合同另有约定或因不可抗力情形之外，任何一方因违反本合同项下的任何义务或保证与承诺不实的，即构成违约，应向对方承担违约责任，赔偿因违反合同而给对方造成的全部实际产生的直接经济损失。</w:t>
      </w:r>
    </w:p>
    <w:p w14:paraId="7660292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4、违约终止合同：未按合同要求提供货物或质量不能满足技术要求，甲方会同监督机构有权终止合同，对乙方违约行为进行追究，同时按政府采购法的有关规定进行相应的处罚。</w:t>
      </w:r>
    </w:p>
    <w:p w14:paraId="33C44BFD">
      <w:pPr>
        <w:keepNext w:val="0"/>
        <w:keepLines w:val="0"/>
        <w:pageBreakBefore w:val="0"/>
        <w:widowControl/>
        <w:kinsoku/>
        <w:wordWrap/>
        <w:overflowPunct/>
        <w:topLinePunct w:val="0"/>
        <w:autoSpaceDE/>
        <w:autoSpaceDN/>
        <w:bidi w:val="0"/>
        <w:adjustRightInd/>
        <w:snapToGrid w:val="0"/>
        <w:spacing w:line="360" w:lineRule="auto"/>
        <w:ind w:right="0"/>
        <w:jc w:val="left"/>
        <w:textAlignment w:val="auto"/>
        <w:rPr>
          <w:rFonts w:hint="eastAsia" w:ascii="方正仿宋_GB2312" w:hAnsi="方正仿宋_GB2312" w:eastAsia="方正仿宋_GB2312" w:cs="方正仿宋_GB2312"/>
          <w:b/>
          <w:color w:val="auto"/>
          <w:sz w:val="24"/>
          <w:szCs w:val="24"/>
          <w:highlight w:val="none"/>
        </w:rPr>
      </w:pPr>
      <w:bookmarkStart w:id="20" w:name="_Toc8686"/>
      <w:bookmarkStart w:id="21" w:name="_Toc21667"/>
      <w:r>
        <w:rPr>
          <w:rFonts w:hint="eastAsia" w:ascii="方正仿宋_GB2312" w:hAnsi="方正仿宋_GB2312" w:eastAsia="方正仿宋_GB2312" w:cs="方正仿宋_GB2312"/>
          <w:b/>
          <w:color w:val="auto"/>
          <w:sz w:val="24"/>
          <w:szCs w:val="24"/>
          <w:highlight w:val="none"/>
        </w:rPr>
        <w:t>十、</w:t>
      </w:r>
      <w:r>
        <w:rPr>
          <w:rFonts w:hint="eastAsia" w:ascii="方正仿宋_GB2312" w:hAnsi="方正仿宋_GB2312" w:eastAsia="方正仿宋_GB2312" w:cs="方正仿宋_GB2312"/>
          <w:b/>
          <w:bCs/>
          <w:color w:val="auto"/>
          <w:kern w:val="0"/>
          <w:sz w:val="24"/>
          <w:szCs w:val="24"/>
          <w:highlight w:val="none"/>
        </w:rPr>
        <w:t>合同争议的解决</w:t>
      </w:r>
    </w:p>
    <w:p w14:paraId="22665D4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1、</w:t>
      </w:r>
      <w:r>
        <w:rPr>
          <w:rFonts w:hint="eastAsia" w:ascii="方正仿宋_GB2312" w:hAnsi="方正仿宋_GB2312" w:eastAsia="方正仿宋_GB2312" w:cs="方正仿宋_GB2312"/>
          <w:sz w:val="24"/>
          <w:szCs w:val="24"/>
        </w:rPr>
        <w:t>在执行本合同中发生的或与本合同有关的争端，双方应通过友好协商解决，经协商在</w:t>
      </w:r>
      <w:r>
        <w:rPr>
          <w:rFonts w:hint="eastAsia" w:ascii="方正仿宋_GB2312" w:hAnsi="方正仿宋_GB2312" w:eastAsia="方正仿宋_GB2312" w:cs="方正仿宋_GB2312"/>
          <w:sz w:val="24"/>
          <w:szCs w:val="24"/>
          <w:u w:val="single"/>
          <w:lang w:val="en-US" w:eastAsia="zh-CN"/>
        </w:rPr>
        <w:t>30</w:t>
      </w:r>
      <w:r>
        <w:rPr>
          <w:rFonts w:hint="eastAsia" w:ascii="方正仿宋_GB2312" w:hAnsi="方正仿宋_GB2312" w:eastAsia="方正仿宋_GB2312" w:cs="方正仿宋_GB2312"/>
          <w:sz w:val="24"/>
          <w:szCs w:val="24"/>
        </w:rPr>
        <w:t>_天内不能达成协议时，则采取以下第</w:t>
      </w:r>
      <w:r>
        <w:rPr>
          <w:rFonts w:hint="eastAsia" w:ascii="方正仿宋_GB2312" w:hAnsi="方正仿宋_GB2312" w:eastAsia="方正仿宋_GB2312" w:cs="方正仿宋_GB2312"/>
          <w:sz w:val="24"/>
          <w:szCs w:val="24"/>
          <w:u w:val="single"/>
          <w:lang w:eastAsia="zh-CN"/>
        </w:rPr>
        <w:t>（</w:t>
      </w:r>
      <w:r>
        <w:rPr>
          <w:rFonts w:hint="eastAsia" w:ascii="方正仿宋_GB2312" w:hAnsi="方正仿宋_GB2312" w:eastAsia="方正仿宋_GB2312" w:cs="方正仿宋_GB2312"/>
          <w:sz w:val="24"/>
          <w:szCs w:val="24"/>
          <w:u w:val="single"/>
          <w:lang w:val="en-US" w:eastAsia="zh-CN"/>
        </w:rPr>
        <w:t>2</w:t>
      </w:r>
      <w:r>
        <w:rPr>
          <w:rFonts w:hint="eastAsia" w:ascii="方正仿宋_GB2312" w:hAnsi="方正仿宋_GB2312" w:eastAsia="方正仿宋_GB2312" w:cs="方正仿宋_GB2312"/>
          <w:sz w:val="24"/>
          <w:szCs w:val="24"/>
          <w:u w:val="single"/>
          <w:lang w:eastAsia="zh-CN"/>
        </w:rPr>
        <w:t>）</w:t>
      </w:r>
      <w:r>
        <w:rPr>
          <w:rFonts w:hint="eastAsia" w:ascii="方正仿宋_GB2312" w:hAnsi="方正仿宋_GB2312" w:eastAsia="方正仿宋_GB2312" w:cs="方正仿宋_GB2312"/>
          <w:sz w:val="24"/>
          <w:szCs w:val="24"/>
        </w:rPr>
        <w:t>种方式解决争议：</w:t>
      </w:r>
    </w:p>
    <w:p w14:paraId="4FEF2E3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（1）向甲方所在地有管辖权的人民法院提起诉讼；</w:t>
      </w:r>
    </w:p>
    <w:p w14:paraId="4DDC6B7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（2）向</w:t>
      </w:r>
      <w:r>
        <w:rPr>
          <w:rFonts w:hint="eastAsia" w:ascii="方正仿宋_GB2312" w:hAnsi="方正仿宋_GB2312" w:eastAsia="方正仿宋_GB2312" w:cs="方正仿宋_GB2312"/>
          <w:sz w:val="24"/>
          <w:szCs w:val="24"/>
          <w:u w:val="single"/>
        </w:rPr>
        <w:t>西安仲裁委员会</w:t>
      </w:r>
      <w:r>
        <w:rPr>
          <w:rFonts w:hint="eastAsia" w:ascii="方正仿宋_GB2312" w:hAnsi="方正仿宋_GB2312" w:eastAsia="方正仿宋_GB2312" w:cs="方正仿宋_GB2312"/>
          <w:sz w:val="24"/>
          <w:szCs w:val="24"/>
        </w:rPr>
        <w:t>按其仲裁规则申请仲裁。</w:t>
      </w:r>
    </w:p>
    <w:p w14:paraId="5111A2E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2、</w:t>
      </w:r>
      <w:r>
        <w:rPr>
          <w:rFonts w:hint="eastAsia" w:ascii="方正仿宋_GB2312" w:hAnsi="方正仿宋_GB2312" w:eastAsia="方正仿宋_GB2312" w:cs="方正仿宋_GB2312"/>
          <w:sz w:val="24"/>
          <w:szCs w:val="24"/>
        </w:rPr>
        <w:t>在仲裁期间，本合同应继续履行。</w:t>
      </w:r>
    </w:p>
    <w:p w14:paraId="566D2F43">
      <w:pPr>
        <w:keepNext w:val="0"/>
        <w:keepLines w:val="0"/>
        <w:pageBreakBefore w:val="0"/>
        <w:widowControl/>
        <w:kinsoku/>
        <w:wordWrap/>
        <w:overflowPunct/>
        <w:topLinePunct w:val="0"/>
        <w:autoSpaceDE/>
        <w:autoSpaceDN/>
        <w:bidi w:val="0"/>
        <w:adjustRightInd/>
        <w:spacing w:line="360" w:lineRule="auto"/>
        <w:ind w:right="0"/>
        <w:jc w:val="left"/>
        <w:textAlignment w:val="auto"/>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sz w:val="24"/>
          <w:szCs w:val="24"/>
          <w:highlight w:val="none"/>
        </w:rPr>
        <w:t>十</w:t>
      </w:r>
      <w:r>
        <w:rPr>
          <w:rFonts w:hint="eastAsia" w:ascii="方正仿宋_GB2312" w:hAnsi="方正仿宋_GB2312" w:eastAsia="方正仿宋_GB2312" w:cs="方正仿宋_GB2312"/>
          <w:b/>
          <w:color w:val="auto"/>
          <w:sz w:val="24"/>
          <w:szCs w:val="24"/>
          <w:highlight w:val="none"/>
          <w:lang w:val="en-US" w:eastAsia="zh-CN"/>
        </w:rPr>
        <w:t>一</w:t>
      </w:r>
      <w:r>
        <w:rPr>
          <w:rFonts w:hint="eastAsia" w:ascii="方正仿宋_GB2312" w:hAnsi="方正仿宋_GB2312" w:eastAsia="方正仿宋_GB2312" w:cs="方正仿宋_GB2312"/>
          <w:b/>
          <w:color w:val="auto"/>
          <w:sz w:val="24"/>
          <w:szCs w:val="24"/>
          <w:highlight w:val="none"/>
        </w:rPr>
        <w:t>、不可抗力事件处理</w:t>
      </w:r>
    </w:p>
    <w:p w14:paraId="1408B965">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kern w:val="0"/>
          <w:sz w:val="24"/>
          <w:szCs w:val="24"/>
          <w:highlight w:val="none"/>
        </w:rPr>
      </w:pPr>
      <w:r>
        <w:rPr>
          <w:rFonts w:hint="eastAsia" w:ascii="方正仿宋_GB2312" w:hAnsi="方正仿宋_GB2312" w:eastAsia="方正仿宋_GB2312" w:cs="方正仿宋_GB2312"/>
          <w:color w:val="auto"/>
          <w:kern w:val="0"/>
          <w:sz w:val="24"/>
          <w:szCs w:val="24"/>
          <w:highlight w:val="none"/>
          <w:lang w:val="en-US" w:eastAsia="zh-CN"/>
        </w:rPr>
        <w:t>1、</w:t>
      </w:r>
      <w:r>
        <w:rPr>
          <w:rFonts w:hint="eastAsia" w:ascii="方正仿宋_GB2312" w:hAnsi="方正仿宋_GB2312" w:eastAsia="方正仿宋_GB2312" w:cs="方正仿宋_GB2312"/>
          <w:color w:val="auto"/>
          <w:kern w:val="0"/>
          <w:sz w:val="24"/>
          <w:szCs w:val="24"/>
          <w:highlight w:val="none"/>
        </w:rPr>
        <w:t>在合同有效期内，任何一方因不可抗力事件导致不能履行合同，则合同履行期可延长，其延长期与不可抗力影响期相同。</w:t>
      </w:r>
    </w:p>
    <w:p w14:paraId="1F7E9A80">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kern w:val="0"/>
          <w:sz w:val="24"/>
          <w:szCs w:val="24"/>
          <w:highlight w:val="none"/>
          <w:lang w:val="en-US" w:eastAsia="zh-CN"/>
        </w:rPr>
      </w:pPr>
      <w:r>
        <w:rPr>
          <w:rFonts w:hint="eastAsia" w:ascii="方正仿宋_GB2312" w:hAnsi="方正仿宋_GB2312" w:eastAsia="方正仿宋_GB2312" w:cs="方正仿宋_GB2312"/>
          <w:color w:val="auto"/>
          <w:kern w:val="0"/>
          <w:sz w:val="24"/>
          <w:szCs w:val="24"/>
          <w:highlight w:val="none"/>
          <w:lang w:val="en-US" w:eastAsia="zh-CN"/>
        </w:rPr>
        <w:t>2、</w:t>
      </w:r>
      <w:r>
        <w:rPr>
          <w:rFonts w:hint="eastAsia" w:ascii="方正仿宋_GB2312" w:hAnsi="方正仿宋_GB2312" w:eastAsia="方正仿宋_GB2312" w:cs="方正仿宋_GB2312"/>
          <w:color w:val="auto"/>
          <w:kern w:val="0"/>
          <w:sz w:val="24"/>
          <w:szCs w:val="24"/>
          <w:highlight w:val="none"/>
        </w:rPr>
        <w:t>不可抗力事件发生后，应立即通知对方，并寄送有关权威机构出具</w:t>
      </w:r>
      <w:r>
        <w:rPr>
          <w:rFonts w:hint="eastAsia" w:ascii="方正仿宋_GB2312" w:hAnsi="方正仿宋_GB2312" w:eastAsia="方正仿宋_GB2312" w:cs="方正仿宋_GB2312"/>
          <w:color w:val="auto"/>
          <w:kern w:val="0"/>
          <w:sz w:val="24"/>
          <w:szCs w:val="24"/>
          <w:highlight w:val="none"/>
          <w:lang w:val="en-US" w:eastAsia="zh-CN"/>
        </w:rPr>
        <w:t>的证明。</w:t>
      </w:r>
    </w:p>
    <w:p w14:paraId="71157061">
      <w:pPr>
        <w:keepNext w:val="0"/>
        <w:keepLines w:val="0"/>
        <w:pageBreakBefore w:val="0"/>
        <w:widowControl/>
        <w:kinsoku/>
        <w:wordWrap/>
        <w:overflowPunct/>
        <w:topLinePunct w:val="0"/>
        <w:autoSpaceDE/>
        <w:autoSpaceDN/>
        <w:bidi w:val="0"/>
        <w:adjustRightInd/>
        <w:snapToGrid w:val="0"/>
        <w:spacing w:line="360" w:lineRule="auto"/>
        <w:ind w:right="0" w:firstLine="480" w:firstLineChars="200"/>
        <w:jc w:val="left"/>
        <w:textAlignment w:val="auto"/>
        <w:rPr>
          <w:rFonts w:hint="eastAsia" w:ascii="方正仿宋_GB2312" w:hAnsi="方正仿宋_GB2312" w:eastAsia="方正仿宋_GB2312" w:cs="方正仿宋_GB2312"/>
          <w:color w:val="auto"/>
          <w:kern w:val="0"/>
          <w:sz w:val="24"/>
          <w:szCs w:val="24"/>
          <w:highlight w:val="none"/>
          <w:lang w:val="zh-CN" w:eastAsia="zh-CN"/>
        </w:rPr>
      </w:pPr>
      <w:r>
        <w:rPr>
          <w:rFonts w:hint="eastAsia" w:ascii="方正仿宋_GB2312" w:hAnsi="方正仿宋_GB2312" w:eastAsia="方正仿宋_GB2312" w:cs="方正仿宋_GB2312"/>
          <w:color w:val="auto"/>
          <w:kern w:val="0"/>
          <w:sz w:val="24"/>
          <w:szCs w:val="24"/>
          <w:highlight w:val="none"/>
          <w:lang w:val="en-US" w:eastAsia="zh-CN"/>
        </w:rPr>
        <w:t>3、不可抗力事件延续15个日历日以上，双方应通过友好协商，确定是否继续履行合同。</w:t>
      </w:r>
    </w:p>
    <w:p w14:paraId="2B15BD88">
      <w:pPr>
        <w:bidi w:val="0"/>
        <w:spacing w:line="360" w:lineRule="auto"/>
        <w:rPr>
          <w:rFonts w:hint="eastAsia" w:ascii="方正仿宋_GB2312" w:hAnsi="方正仿宋_GB2312" w:eastAsia="方正仿宋_GB2312" w:cs="方正仿宋_GB2312"/>
          <w:b/>
          <w:bCs w:val="0"/>
          <w:color w:val="auto"/>
          <w:sz w:val="24"/>
          <w:szCs w:val="24"/>
          <w:highlight w:val="none"/>
          <w:lang w:val="zh-CN"/>
        </w:rPr>
      </w:pPr>
      <w:bookmarkStart w:id="22" w:name="_Toc8996"/>
      <w:r>
        <w:rPr>
          <w:rFonts w:hint="eastAsia" w:ascii="方正仿宋_GB2312" w:hAnsi="方正仿宋_GB2312" w:eastAsia="方正仿宋_GB2312" w:cs="方正仿宋_GB2312"/>
          <w:b/>
          <w:bCs w:val="0"/>
          <w:color w:val="auto"/>
          <w:sz w:val="24"/>
          <w:szCs w:val="24"/>
          <w:highlight w:val="none"/>
          <w:lang w:val="zh-CN"/>
        </w:rPr>
        <w:t>十</w:t>
      </w:r>
      <w:r>
        <w:rPr>
          <w:rFonts w:hint="eastAsia" w:ascii="方正仿宋_GB2312" w:hAnsi="方正仿宋_GB2312" w:eastAsia="方正仿宋_GB2312" w:cs="方正仿宋_GB2312"/>
          <w:b/>
          <w:bCs w:val="0"/>
          <w:color w:val="auto"/>
          <w:sz w:val="24"/>
          <w:szCs w:val="24"/>
          <w:highlight w:val="none"/>
          <w:lang w:val="en-US" w:eastAsia="zh-CN"/>
        </w:rPr>
        <w:t>二</w:t>
      </w:r>
      <w:r>
        <w:rPr>
          <w:rFonts w:hint="eastAsia" w:ascii="方正仿宋_GB2312" w:hAnsi="方正仿宋_GB2312" w:eastAsia="方正仿宋_GB2312" w:cs="方正仿宋_GB2312"/>
          <w:b/>
          <w:bCs w:val="0"/>
          <w:color w:val="auto"/>
          <w:sz w:val="24"/>
          <w:szCs w:val="24"/>
          <w:highlight w:val="none"/>
          <w:lang w:val="zh-CN"/>
        </w:rPr>
        <w:t>、合同组成</w:t>
      </w:r>
      <w:bookmarkEnd w:id="20"/>
      <w:bookmarkEnd w:id="21"/>
      <w:bookmarkEnd w:id="22"/>
    </w:p>
    <w:p w14:paraId="6B6F79D9">
      <w:pPr>
        <w:keepNext w:val="0"/>
        <w:keepLines w:val="0"/>
        <w:pageBreakBefore w:val="0"/>
        <w:kinsoku/>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w:t>
      </w:r>
      <w:r>
        <w:rPr>
          <w:rFonts w:hint="eastAsia" w:ascii="方正仿宋_GB2312" w:hAnsi="方正仿宋_GB2312" w:eastAsia="方正仿宋_GB2312" w:cs="方正仿宋_GB2312"/>
          <w:sz w:val="24"/>
          <w:szCs w:val="24"/>
          <w:lang w:eastAsia="zh-CN"/>
        </w:rPr>
        <w:t>中标</w:t>
      </w:r>
      <w:r>
        <w:rPr>
          <w:rFonts w:hint="eastAsia" w:ascii="方正仿宋_GB2312" w:hAnsi="方正仿宋_GB2312" w:eastAsia="方正仿宋_GB2312" w:cs="方正仿宋_GB2312"/>
          <w:sz w:val="24"/>
          <w:szCs w:val="24"/>
        </w:rPr>
        <w:t>通知书</w:t>
      </w:r>
    </w:p>
    <w:p w14:paraId="0193B622">
      <w:pPr>
        <w:keepNext w:val="0"/>
        <w:keepLines w:val="0"/>
        <w:pageBreakBefore w:val="0"/>
        <w:kinsoku/>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2、合同文件</w:t>
      </w:r>
    </w:p>
    <w:p w14:paraId="4353FA49">
      <w:pPr>
        <w:keepNext w:val="0"/>
        <w:keepLines w:val="0"/>
        <w:pageBreakBefore w:val="0"/>
        <w:kinsoku/>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3、国家相关规范及标准</w:t>
      </w:r>
    </w:p>
    <w:p w14:paraId="6C005899">
      <w:pPr>
        <w:keepNext w:val="0"/>
        <w:keepLines w:val="0"/>
        <w:pageBreakBefore w:val="0"/>
        <w:kinsoku/>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sz w:val="24"/>
          <w:szCs w:val="24"/>
        </w:rPr>
        <w:t>4、</w:t>
      </w:r>
      <w:r>
        <w:rPr>
          <w:rFonts w:hint="eastAsia" w:ascii="方正仿宋_GB2312" w:hAnsi="方正仿宋_GB2312" w:eastAsia="方正仿宋_GB2312" w:cs="方正仿宋_GB2312"/>
          <w:color w:val="auto"/>
          <w:sz w:val="24"/>
          <w:szCs w:val="24"/>
          <w:highlight w:val="none"/>
          <w:lang w:eastAsia="zh-CN"/>
        </w:rPr>
        <w:t>招标</w:t>
      </w:r>
      <w:r>
        <w:rPr>
          <w:rFonts w:hint="eastAsia" w:ascii="方正仿宋_GB2312" w:hAnsi="方正仿宋_GB2312" w:eastAsia="方正仿宋_GB2312" w:cs="方正仿宋_GB2312"/>
          <w:color w:val="auto"/>
          <w:sz w:val="24"/>
          <w:szCs w:val="24"/>
          <w:highlight w:val="none"/>
        </w:rPr>
        <w:t>文件</w:t>
      </w:r>
    </w:p>
    <w:p w14:paraId="4B3B8AE6">
      <w:pPr>
        <w:keepNext w:val="0"/>
        <w:keepLines w:val="0"/>
        <w:pageBreakBefore w:val="0"/>
        <w:kinsoku/>
        <w:wordWrap/>
        <w:overflowPunct/>
        <w:topLinePunct w:val="0"/>
        <w:bidi w:val="0"/>
        <w:adjustRightInd w:val="0"/>
        <w:snapToGrid w:val="0"/>
        <w:spacing w:line="360" w:lineRule="auto"/>
        <w:ind w:right="0" w:firstLine="480" w:firstLineChars="2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w:t>
      </w:r>
      <w:r>
        <w:rPr>
          <w:rFonts w:hint="eastAsia" w:ascii="方正仿宋_GB2312" w:hAnsi="方正仿宋_GB2312" w:eastAsia="方正仿宋_GB2312" w:cs="方正仿宋_GB2312"/>
          <w:color w:val="auto"/>
          <w:sz w:val="24"/>
          <w:szCs w:val="24"/>
          <w:highlight w:val="none"/>
          <w:lang w:eastAsia="zh-CN"/>
        </w:rPr>
        <w:t>投标</w:t>
      </w:r>
      <w:r>
        <w:rPr>
          <w:rFonts w:hint="eastAsia" w:ascii="方正仿宋_GB2312" w:hAnsi="方正仿宋_GB2312" w:eastAsia="方正仿宋_GB2312" w:cs="方正仿宋_GB2312"/>
          <w:color w:val="auto"/>
          <w:sz w:val="24"/>
          <w:szCs w:val="24"/>
          <w:highlight w:val="none"/>
        </w:rPr>
        <w:t>文件</w:t>
      </w:r>
    </w:p>
    <w:p w14:paraId="4E39F85F">
      <w:pPr>
        <w:bidi w:val="0"/>
        <w:spacing w:line="360" w:lineRule="auto"/>
        <w:rPr>
          <w:rFonts w:hint="eastAsia" w:ascii="方正仿宋_GB2312" w:hAnsi="方正仿宋_GB2312" w:eastAsia="方正仿宋_GB2312" w:cs="方正仿宋_GB2312"/>
          <w:b/>
          <w:bCs w:val="0"/>
          <w:color w:val="auto"/>
          <w:sz w:val="24"/>
          <w:szCs w:val="24"/>
          <w:highlight w:val="none"/>
          <w:lang w:val="zh-CN"/>
        </w:rPr>
      </w:pPr>
      <w:bookmarkStart w:id="23" w:name="_Toc16718"/>
      <w:bookmarkStart w:id="24" w:name="_Toc27099"/>
      <w:bookmarkStart w:id="25" w:name="_Toc30300"/>
      <w:r>
        <w:rPr>
          <w:rFonts w:hint="eastAsia" w:ascii="方正仿宋_GB2312" w:hAnsi="方正仿宋_GB2312" w:eastAsia="方正仿宋_GB2312" w:cs="方正仿宋_GB2312"/>
          <w:b/>
          <w:bCs w:val="0"/>
          <w:color w:val="auto"/>
          <w:sz w:val="24"/>
          <w:szCs w:val="24"/>
          <w:highlight w:val="none"/>
          <w:lang w:val="zh-CN"/>
        </w:rPr>
        <w:t>十</w:t>
      </w:r>
      <w:r>
        <w:rPr>
          <w:rFonts w:hint="eastAsia" w:ascii="方正仿宋_GB2312" w:hAnsi="方正仿宋_GB2312" w:eastAsia="方正仿宋_GB2312" w:cs="方正仿宋_GB2312"/>
          <w:b/>
          <w:bCs w:val="0"/>
          <w:color w:val="auto"/>
          <w:sz w:val="24"/>
          <w:szCs w:val="24"/>
          <w:highlight w:val="none"/>
          <w:lang w:val="en-US" w:eastAsia="zh-CN"/>
        </w:rPr>
        <w:t>三</w:t>
      </w:r>
      <w:r>
        <w:rPr>
          <w:rFonts w:hint="eastAsia" w:ascii="方正仿宋_GB2312" w:hAnsi="方正仿宋_GB2312" w:eastAsia="方正仿宋_GB2312" w:cs="方正仿宋_GB2312"/>
          <w:b/>
          <w:bCs w:val="0"/>
          <w:color w:val="auto"/>
          <w:sz w:val="24"/>
          <w:szCs w:val="24"/>
          <w:highlight w:val="none"/>
          <w:lang w:val="zh-CN"/>
        </w:rPr>
        <w:t>、合同生效及其它</w:t>
      </w:r>
      <w:bookmarkEnd w:id="23"/>
      <w:bookmarkEnd w:id="24"/>
      <w:bookmarkEnd w:id="25"/>
    </w:p>
    <w:p w14:paraId="4A0B688D">
      <w:pPr>
        <w:keepNext w:val="0"/>
        <w:keepLines w:val="0"/>
        <w:pageBreakBefore w:val="0"/>
        <w:widowControl/>
        <w:kinsoku/>
        <w:wordWrap/>
        <w:overflowPunct/>
        <w:topLinePunct w:val="0"/>
        <w:autoSpaceDE w:val="0"/>
        <w:autoSpaceDN w:val="0"/>
        <w:bidi w:val="0"/>
        <w:snapToGrid w:val="0"/>
        <w:spacing w:line="360" w:lineRule="auto"/>
        <w:ind w:right="0" w:firstLine="480" w:firstLineChars="200"/>
        <w:jc w:val="left"/>
        <w:textAlignment w:val="bottom"/>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1、合同未尽事宜、由甲、乙双方协商，作为合同补充，与原合同具有同等法律效力。</w:t>
      </w:r>
    </w:p>
    <w:p w14:paraId="2AB7FA33">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jc w:val="left"/>
        <w:textAlignment w:val="bottom"/>
        <w:rPr>
          <w:rFonts w:hint="eastAsia" w:ascii="方正仿宋_GB2312" w:hAnsi="方正仿宋_GB2312" w:eastAsia="方正仿宋_GB2312" w:cs="方正仿宋_GB2312"/>
          <w:kern w:val="0"/>
          <w:sz w:val="24"/>
          <w:szCs w:val="24"/>
        </w:rPr>
      </w:pPr>
      <w:r>
        <w:rPr>
          <w:rFonts w:hint="eastAsia" w:ascii="方正仿宋_GB2312" w:hAnsi="方正仿宋_GB2312" w:eastAsia="方正仿宋_GB2312" w:cs="方正仿宋_GB2312"/>
          <w:kern w:val="0"/>
          <w:sz w:val="24"/>
          <w:szCs w:val="24"/>
        </w:rPr>
        <w:t>2、本合同正本一式</w:t>
      </w:r>
      <w:r>
        <w:rPr>
          <w:rFonts w:hint="eastAsia" w:ascii="方正仿宋_GB2312" w:hAnsi="方正仿宋_GB2312" w:eastAsia="方正仿宋_GB2312" w:cs="方正仿宋_GB2312"/>
          <w:kern w:val="0"/>
          <w:sz w:val="24"/>
          <w:szCs w:val="24"/>
          <w:u w:val="single"/>
        </w:rPr>
        <w:t xml:space="preserve"> </w:t>
      </w:r>
      <w:r>
        <w:rPr>
          <w:rFonts w:hint="eastAsia" w:ascii="方正仿宋_GB2312" w:hAnsi="方正仿宋_GB2312" w:eastAsia="方正仿宋_GB2312" w:cs="方正仿宋_GB2312"/>
          <w:kern w:val="0"/>
          <w:sz w:val="24"/>
          <w:szCs w:val="24"/>
          <w:u w:val="single"/>
          <w:lang w:val="en-US" w:eastAsia="zh-CN"/>
        </w:rPr>
        <w:t xml:space="preserve"> </w:t>
      </w:r>
      <w:r>
        <w:rPr>
          <w:rFonts w:hint="eastAsia" w:ascii="方正仿宋_GB2312" w:hAnsi="方正仿宋_GB2312" w:eastAsia="方正仿宋_GB2312" w:cs="方正仿宋_GB2312"/>
          <w:kern w:val="0"/>
          <w:sz w:val="24"/>
          <w:szCs w:val="24"/>
          <w:u w:val="single"/>
        </w:rPr>
        <w:t xml:space="preserve"> </w:t>
      </w:r>
      <w:r>
        <w:rPr>
          <w:rFonts w:hint="eastAsia" w:ascii="方正仿宋_GB2312" w:hAnsi="方正仿宋_GB2312" w:eastAsia="方正仿宋_GB2312" w:cs="方正仿宋_GB2312"/>
          <w:kern w:val="0"/>
          <w:sz w:val="24"/>
          <w:szCs w:val="24"/>
        </w:rPr>
        <w:t>份，甲方、乙方双方分别执</w:t>
      </w:r>
      <w:r>
        <w:rPr>
          <w:rFonts w:hint="eastAsia" w:ascii="方正仿宋_GB2312" w:hAnsi="方正仿宋_GB2312" w:eastAsia="方正仿宋_GB2312" w:cs="方正仿宋_GB2312"/>
          <w:kern w:val="0"/>
          <w:sz w:val="24"/>
          <w:szCs w:val="24"/>
          <w:u w:val="single"/>
        </w:rPr>
        <w:t xml:space="preserve"> </w:t>
      </w:r>
      <w:r>
        <w:rPr>
          <w:rFonts w:hint="eastAsia" w:ascii="方正仿宋_GB2312" w:hAnsi="方正仿宋_GB2312" w:eastAsia="方正仿宋_GB2312" w:cs="方正仿宋_GB2312"/>
          <w:kern w:val="0"/>
          <w:sz w:val="24"/>
          <w:szCs w:val="24"/>
          <w:u w:val="single"/>
          <w:lang w:val="en-US" w:eastAsia="zh-CN"/>
        </w:rPr>
        <w:t xml:space="preserve"> </w:t>
      </w:r>
      <w:r>
        <w:rPr>
          <w:rFonts w:hint="eastAsia" w:ascii="方正仿宋_GB2312" w:hAnsi="方正仿宋_GB2312" w:eastAsia="方正仿宋_GB2312" w:cs="方正仿宋_GB2312"/>
          <w:kern w:val="0"/>
          <w:sz w:val="24"/>
          <w:szCs w:val="24"/>
          <w:u w:val="single"/>
        </w:rPr>
        <w:t xml:space="preserve"> </w:t>
      </w:r>
      <w:r>
        <w:rPr>
          <w:rFonts w:hint="eastAsia" w:ascii="方正仿宋_GB2312" w:hAnsi="方正仿宋_GB2312" w:eastAsia="方正仿宋_GB2312" w:cs="方正仿宋_GB2312"/>
          <w:kern w:val="0"/>
          <w:sz w:val="24"/>
          <w:szCs w:val="24"/>
        </w:rPr>
        <w:t>份。</w:t>
      </w:r>
    </w:p>
    <w:p w14:paraId="07B83E13">
      <w:pPr>
        <w:keepNext w:val="0"/>
        <w:keepLines w:val="0"/>
        <w:pageBreakBefore w:val="0"/>
        <w:widowControl w:val="0"/>
        <w:kinsoku/>
        <w:wordWrap/>
        <w:overflowPunct/>
        <w:topLinePunct w:val="0"/>
        <w:autoSpaceDE/>
        <w:bidi w:val="0"/>
        <w:adjustRightInd w:val="0"/>
        <w:snapToGrid w:val="0"/>
        <w:spacing w:line="360" w:lineRule="auto"/>
        <w:ind w:right="0" w:firstLine="480" w:firstLineChars="200"/>
        <w:jc w:val="lef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kern w:val="0"/>
          <w:sz w:val="24"/>
          <w:szCs w:val="24"/>
        </w:rPr>
        <w:t>3、合同经甲乙双方盖章、签字后生效，合同签订地点为</w:t>
      </w:r>
      <w:r>
        <w:rPr>
          <w:rFonts w:hint="eastAsia" w:ascii="方正仿宋_GB2312" w:hAnsi="方正仿宋_GB2312" w:eastAsia="方正仿宋_GB2312" w:cs="方正仿宋_GB2312"/>
          <w:kern w:val="0"/>
          <w:sz w:val="24"/>
          <w:szCs w:val="24"/>
          <w:u w:val="single"/>
        </w:rPr>
        <w:t xml:space="preserve">   </w:t>
      </w:r>
      <w:r>
        <w:rPr>
          <w:rFonts w:hint="eastAsia" w:ascii="方正仿宋_GB2312" w:hAnsi="方正仿宋_GB2312" w:eastAsia="方正仿宋_GB2312" w:cs="方正仿宋_GB2312"/>
          <w:kern w:val="0"/>
          <w:sz w:val="24"/>
          <w:szCs w:val="24"/>
          <w:u w:val="single"/>
          <w:lang w:val="en-US" w:eastAsia="zh-CN"/>
        </w:rPr>
        <w:t xml:space="preserve">   </w:t>
      </w:r>
      <w:r>
        <w:rPr>
          <w:rFonts w:hint="eastAsia" w:ascii="方正仿宋_GB2312" w:hAnsi="方正仿宋_GB2312" w:eastAsia="方正仿宋_GB2312" w:cs="方正仿宋_GB2312"/>
          <w:kern w:val="0"/>
          <w:sz w:val="24"/>
          <w:szCs w:val="24"/>
        </w:rPr>
        <w:t>。</w:t>
      </w:r>
      <w:r>
        <w:rPr>
          <w:rFonts w:hint="eastAsia" w:ascii="方正仿宋_GB2312" w:hAnsi="方正仿宋_GB2312" w:eastAsia="方正仿宋_GB2312" w:cs="方正仿宋_GB2312"/>
          <w:color w:val="auto"/>
          <w:sz w:val="24"/>
          <w:szCs w:val="24"/>
          <w:highlight w:val="none"/>
        </w:rPr>
        <w:t>　</w:t>
      </w:r>
    </w:p>
    <w:tbl>
      <w:tblPr>
        <w:tblStyle w:val="7"/>
        <w:tblpPr w:leftFromText="180" w:rightFromText="180" w:vertAnchor="text" w:horzAnchor="page" w:tblpX="1439" w:tblpY="147"/>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59"/>
        <w:gridCol w:w="2780"/>
        <w:gridCol w:w="2780"/>
      </w:tblGrid>
      <w:tr w14:paraId="4A307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36" w:type="pct"/>
            <w:noWrap/>
            <w:vAlign w:val="center"/>
          </w:tcPr>
          <w:p w14:paraId="40B4F653">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甲方（</w:t>
            </w:r>
            <w:r>
              <w:rPr>
                <w:rFonts w:hint="eastAsia" w:ascii="方正仿宋_GB2312" w:hAnsi="方正仿宋_GB2312" w:eastAsia="方正仿宋_GB2312" w:cs="方正仿宋_GB2312"/>
                <w:color w:val="auto"/>
                <w:sz w:val="24"/>
                <w:szCs w:val="24"/>
                <w:highlight w:val="none"/>
                <w:lang w:val="en-US" w:eastAsia="zh-CN"/>
              </w:rPr>
              <w:t>采购人</w:t>
            </w:r>
            <w:r>
              <w:rPr>
                <w:rFonts w:hint="eastAsia" w:ascii="方正仿宋_GB2312" w:hAnsi="方正仿宋_GB2312" w:eastAsia="方正仿宋_GB2312" w:cs="方正仿宋_GB2312"/>
                <w:color w:val="auto"/>
                <w:sz w:val="24"/>
                <w:szCs w:val="24"/>
                <w:highlight w:val="none"/>
              </w:rPr>
              <w:t>）：</w:t>
            </w:r>
          </w:p>
        </w:tc>
        <w:tc>
          <w:tcPr>
            <w:tcW w:w="1631" w:type="pct"/>
            <w:noWrap/>
            <w:vAlign w:val="center"/>
          </w:tcPr>
          <w:p w14:paraId="2226D8C5">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乙方（</w:t>
            </w:r>
            <w:r>
              <w:rPr>
                <w:rFonts w:hint="eastAsia" w:ascii="方正仿宋_GB2312" w:hAnsi="方正仿宋_GB2312" w:eastAsia="方正仿宋_GB2312" w:cs="方正仿宋_GB2312"/>
                <w:color w:val="auto"/>
                <w:sz w:val="24"/>
                <w:szCs w:val="24"/>
                <w:highlight w:val="none"/>
                <w:lang w:val="en-US" w:eastAsia="zh-CN"/>
              </w:rPr>
              <w:t>中标供应商</w:t>
            </w:r>
            <w:r>
              <w:rPr>
                <w:rFonts w:hint="eastAsia" w:ascii="方正仿宋_GB2312" w:hAnsi="方正仿宋_GB2312" w:eastAsia="方正仿宋_GB2312" w:cs="方正仿宋_GB2312"/>
                <w:color w:val="auto"/>
                <w:sz w:val="24"/>
                <w:szCs w:val="24"/>
                <w:highlight w:val="none"/>
              </w:rPr>
              <w:t>）：</w:t>
            </w:r>
          </w:p>
        </w:tc>
        <w:tc>
          <w:tcPr>
            <w:tcW w:w="1631" w:type="pct"/>
            <w:noWrap/>
            <w:vAlign w:val="center"/>
          </w:tcPr>
          <w:p w14:paraId="3C9A6FBC">
            <w:pPr>
              <w:spacing w:line="360" w:lineRule="auto"/>
              <w:rPr>
                <w:rFonts w:hint="eastAsia" w:ascii="方正仿宋_GB2312" w:hAnsi="方正仿宋_GB2312" w:eastAsia="方正仿宋_GB2312" w:cs="方正仿宋_GB2312"/>
                <w:color w:val="auto"/>
                <w:sz w:val="24"/>
                <w:szCs w:val="24"/>
                <w:highlight w:val="none"/>
                <w:lang w:val="en-US" w:eastAsia="zh-CN"/>
              </w:rPr>
            </w:pPr>
            <w:r>
              <w:rPr>
                <w:rFonts w:hint="eastAsia" w:ascii="方正仿宋_GB2312" w:hAnsi="方正仿宋_GB2312" w:eastAsia="方正仿宋_GB2312" w:cs="方正仿宋_GB2312"/>
                <w:color w:val="auto"/>
                <w:sz w:val="24"/>
                <w:szCs w:val="24"/>
                <w:highlight w:val="none"/>
                <w:lang w:val="en-US" w:eastAsia="zh-CN"/>
              </w:rPr>
              <w:t>鉴证人：</w:t>
            </w:r>
          </w:p>
        </w:tc>
      </w:tr>
      <w:tr w14:paraId="2F90A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36" w:type="pct"/>
            <w:noWrap/>
            <w:vAlign w:val="center"/>
          </w:tcPr>
          <w:p w14:paraId="743A9F88">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　址：</w:t>
            </w:r>
          </w:p>
        </w:tc>
        <w:tc>
          <w:tcPr>
            <w:tcW w:w="1631" w:type="pct"/>
            <w:noWrap/>
            <w:vAlign w:val="center"/>
          </w:tcPr>
          <w:p w14:paraId="390C21D9">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　址：</w:t>
            </w:r>
          </w:p>
        </w:tc>
        <w:tc>
          <w:tcPr>
            <w:tcW w:w="1631" w:type="pct"/>
            <w:shd w:val="clear" w:color="auto" w:fill="auto"/>
            <w:noWrap/>
            <w:vAlign w:val="center"/>
          </w:tcPr>
          <w:p w14:paraId="279A083B">
            <w:pPr>
              <w:spacing w:line="360" w:lineRule="auto"/>
              <w:rPr>
                <w:rFonts w:hint="eastAsia" w:ascii="方正仿宋_GB2312" w:hAnsi="方正仿宋_GB2312" w:eastAsia="方正仿宋_GB2312" w:cs="方正仿宋_GB2312"/>
                <w:color w:val="auto"/>
                <w:kern w:val="2"/>
                <w:sz w:val="24"/>
                <w:szCs w:val="24"/>
                <w:highlight w:val="none"/>
                <w:lang w:val="en-US" w:eastAsia="zh-CN" w:bidi="ar-SA"/>
              </w:rPr>
            </w:pPr>
            <w:r>
              <w:rPr>
                <w:rFonts w:hint="eastAsia" w:ascii="方正仿宋_GB2312" w:hAnsi="方正仿宋_GB2312" w:eastAsia="方正仿宋_GB2312" w:cs="方正仿宋_GB2312"/>
                <w:color w:val="auto"/>
                <w:sz w:val="24"/>
                <w:szCs w:val="24"/>
                <w:highlight w:val="none"/>
              </w:rPr>
              <w:t>地　址：</w:t>
            </w:r>
          </w:p>
        </w:tc>
      </w:tr>
      <w:tr w14:paraId="515F8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36" w:type="pct"/>
            <w:noWrap/>
            <w:vAlign w:val="center"/>
          </w:tcPr>
          <w:p w14:paraId="781D2ACF">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授权</w:t>
            </w:r>
            <w:r>
              <w:rPr>
                <w:rFonts w:hint="eastAsia" w:ascii="方正仿宋_GB2312" w:hAnsi="方正仿宋_GB2312" w:eastAsia="方正仿宋_GB2312" w:cs="方正仿宋_GB2312"/>
                <w:color w:val="auto"/>
                <w:sz w:val="24"/>
                <w:szCs w:val="24"/>
                <w:highlight w:val="none"/>
              </w:rPr>
              <w:t>代理人：　</w:t>
            </w:r>
          </w:p>
        </w:tc>
        <w:tc>
          <w:tcPr>
            <w:tcW w:w="1631" w:type="pct"/>
            <w:noWrap/>
            <w:vAlign w:val="center"/>
          </w:tcPr>
          <w:p w14:paraId="6B7A66F9">
            <w:pPr>
              <w:tabs>
                <w:tab w:val="left" w:pos="5355"/>
              </w:tabs>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lang w:val="en-US" w:eastAsia="zh-CN"/>
              </w:rPr>
              <w:t>授权</w:t>
            </w:r>
            <w:r>
              <w:rPr>
                <w:rFonts w:hint="eastAsia" w:ascii="方正仿宋_GB2312" w:hAnsi="方正仿宋_GB2312" w:eastAsia="方正仿宋_GB2312" w:cs="方正仿宋_GB2312"/>
                <w:color w:val="auto"/>
                <w:sz w:val="24"/>
                <w:szCs w:val="24"/>
                <w:highlight w:val="none"/>
              </w:rPr>
              <w:t>代理人</w:t>
            </w:r>
          </w:p>
        </w:tc>
        <w:tc>
          <w:tcPr>
            <w:tcW w:w="1631" w:type="pct"/>
            <w:shd w:val="clear" w:color="auto" w:fill="auto"/>
            <w:noWrap/>
            <w:vAlign w:val="center"/>
          </w:tcPr>
          <w:p w14:paraId="0AD06881">
            <w:pPr>
              <w:tabs>
                <w:tab w:val="left" w:pos="5355"/>
              </w:tabs>
              <w:spacing w:line="360" w:lineRule="auto"/>
              <w:rPr>
                <w:rFonts w:hint="eastAsia" w:ascii="方正仿宋_GB2312" w:hAnsi="方正仿宋_GB2312" w:eastAsia="方正仿宋_GB2312" w:cs="方正仿宋_GB2312"/>
                <w:color w:val="auto"/>
                <w:kern w:val="2"/>
                <w:sz w:val="24"/>
                <w:szCs w:val="24"/>
                <w:highlight w:val="none"/>
                <w:lang w:val="en-US" w:eastAsia="zh-CN" w:bidi="ar-SA"/>
              </w:rPr>
            </w:pPr>
            <w:r>
              <w:rPr>
                <w:rFonts w:hint="eastAsia" w:ascii="方正仿宋_GB2312" w:hAnsi="方正仿宋_GB2312" w:eastAsia="方正仿宋_GB2312" w:cs="方正仿宋_GB2312"/>
                <w:color w:val="auto"/>
                <w:sz w:val="24"/>
                <w:szCs w:val="24"/>
                <w:highlight w:val="none"/>
                <w:lang w:val="en-US" w:eastAsia="zh-CN"/>
              </w:rPr>
              <w:t>授权</w:t>
            </w:r>
            <w:r>
              <w:rPr>
                <w:rFonts w:hint="eastAsia" w:ascii="方正仿宋_GB2312" w:hAnsi="方正仿宋_GB2312" w:eastAsia="方正仿宋_GB2312" w:cs="方正仿宋_GB2312"/>
                <w:color w:val="auto"/>
                <w:sz w:val="24"/>
                <w:szCs w:val="24"/>
                <w:highlight w:val="none"/>
              </w:rPr>
              <w:t>代理人</w:t>
            </w:r>
          </w:p>
        </w:tc>
      </w:tr>
      <w:tr w14:paraId="616B2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36" w:type="pct"/>
            <w:noWrap/>
            <w:vAlign w:val="center"/>
          </w:tcPr>
          <w:p w14:paraId="7FBDB07D">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联系电话：</w:t>
            </w:r>
          </w:p>
        </w:tc>
        <w:tc>
          <w:tcPr>
            <w:tcW w:w="1631" w:type="pct"/>
            <w:noWrap/>
            <w:vAlign w:val="center"/>
          </w:tcPr>
          <w:p w14:paraId="6B09DE93">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联系电话：</w:t>
            </w:r>
          </w:p>
        </w:tc>
        <w:tc>
          <w:tcPr>
            <w:tcW w:w="1631" w:type="pct"/>
            <w:shd w:val="clear" w:color="auto" w:fill="auto"/>
            <w:noWrap/>
            <w:vAlign w:val="center"/>
          </w:tcPr>
          <w:p w14:paraId="56D3ED03">
            <w:pPr>
              <w:spacing w:line="360" w:lineRule="auto"/>
              <w:rPr>
                <w:rFonts w:hint="eastAsia" w:ascii="方正仿宋_GB2312" w:hAnsi="方正仿宋_GB2312" w:eastAsia="方正仿宋_GB2312" w:cs="方正仿宋_GB2312"/>
                <w:color w:val="auto"/>
                <w:kern w:val="2"/>
                <w:sz w:val="24"/>
                <w:szCs w:val="24"/>
                <w:highlight w:val="none"/>
                <w:lang w:val="en-US" w:eastAsia="zh-CN" w:bidi="ar-SA"/>
              </w:rPr>
            </w:pPr>
            <w:r>
              <w:rPr>
                <w:rFonts w:hint="eastAsia" w:ascii="方正仿宋_GB2312" w:hAnsi="方正仿宋_GB2312" w:eastAsia="方正仿宋_GB2312" w:cs="方正仿宋_GB2312"/>
                <w:color w:val="auto"/>
                <w:sz w:val="24"/>
                <w:szCs w:val="24"/>
                <w:highlight w:val="none"/>
              </w:rPr>
              <w:t>联系电话：</w:t>
            </w:r>
          </w:p>
        </w:tc>
      </w:tr>
      <w:tr w14:paraId="3E33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36" w:type="pct"/>
            <w:noWrap/>
            <w:vAlign w:val="center"/>
          </w:tcPr>
          <w:p w14:paraId="63BBD855">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开户行：</w:t>
            </w:r>
          </w:p>
        </w:tc>
        <w:tc>
          <w:tcPr>
            <w:tcW w:w="1631" w:type="pct"/>
            <w:noWrap/>
            <w:vAlign w:val="center"/>
          </w:tcPr>
          <w:p w14:paraId="39A5D71D">
            <w:pPr>
              <w:tabs>
                <w:tab w:val="left" w:pos="5355"/>
              </w:tabs>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开户行：</w:t>
            </w:r>
          </w:p>
        </w:tc>
        <w:tc>
          <w:tcPr>
            <w:tcW w:w="1631" w:type="pct"/>
            <w:shd w:val="clear" w:color="auto" w:fill="auto"/>
            <w:noWrap/>
            <w:vAlign w:val="center"/>
          </w:tcPr>
          <w:p w14:paraId="4B2AA8BE">
            <w:pPr>
              <w:tabs>
                <w:tab w:val="left" w:pos="5355"/>
              </w:tabs>
              <w:spacing w:line="360" w:lineRule="auto"/>
              <w:rPr>
                <w:rFonts w:hint="eastAsia" w:ascii="方正仿宋_GB2312" w:hAnsi="方正仿宋_GB2312" w:eastAsia="方正仿宋_GB2312" w:cs="方正仿宋_GB2312"/>
                <w:color w:val="auto"/>
                <w:kern w:val="2"/>
                <w:sz w:val="24"/>
                <w:szCs w:val="24"/>
                <w:highlight w:val="none"/>
                <w:lang w:val="en-US" w:eastAsia="zh-CN" w:bidi="ar-SA"/>
              </w:rPr>
            </w:pPr>
          </w:p>
        </w:tc>
      </w:tr>
      <w:tr w14:paraId="3FB09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36" w:type="pct"/>
            <w:noWrap/>
            <w:vAlign w:val="center"/>
          </w:tcPr>
          <w:p w14:paraId="4C935E47">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账号：</w:t>
            </w:r>
          </w:p>
        </w:tc>
        <w:tc>
          <w:tcPr>
            <w:tcW w:w="1631" w:type="pct"/>
            <w:noWrap/>
            <w:vAlign w:val="center"/>
          </w:tcPr>
          <w:p w14:paraId="0A0557F7">
            <w:pPr>
              <w:tabs>
                <w:tab w:val="left" w:pos="5355"/>
              </w:tabs>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账号：</w:t>
            </w:r>
          </w:p>
        </w:tc>
        <w:tc>
          <w:tcPr>
            <w:tcW w:w="1631" w:type="pct"/>
            <w:shd w:val="clear" w:color="auto" w:fill="auto"/>
            <w:noWrap/>
            <w:vAlign w:val="center"/>
          </w:tcPr>
          <w:p w14:paraId="1D65F90E">
            <w:pPr>
              <w:tabs>
                <w:tab w:val="left" w:pos="5355"/>
              </w:tabs>
              <w:spacing w:line="360" w:lineRule="auto"/>
              <w:rPr>
                <w:rFonts w:hint="eastAsia" w:ascii="方正仿宋_GB2312" w:hAnsi="方正仿宋_GB2312" w:eastAsia="方正仿宋_GB2312" w:cs="方正仿宋_GB2312"/>
                <w:color w:val="auto"/>
                <w:kern w:val="2"/>
                <w:sz w:val="24"/>
                <w:szCs w:val="24"/>
                <w:highlight w:val="none"/>
                <w:lang w:val="en-US" w:eastAsia="zh-CN" w:bidi="ar-SA"/>
              </w:rPr>
            </w:pPr>
          </w:p>
        </w:tc>
      </w:tr>
      <w:tr w14:paraId="568E4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36" w:type="pct"/>
            <w:noWrap/>
            <w:vAlign w:val="center"/>
          </w:tcPr>
          <w:p w14:paraId="3FD293D7">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日期：年  月   日</w:t>
            </w:r>
          </w:p>
        </w:tc>
        <w:tc>
          <w:tcPr>
            <w:tcW w:w="1631" w:type="pct"/>
            <w:noWrap/>
            <w:vAlign w:val="center"/>
          </w:tcPr>
          <w:p w14:paraId="047B08AE">
            <w:pPr>
              <w:spacing w:line="360" w:lineRule="auto"/>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日期： 年  月  日</w:t>
            </w:r>
          </w:p>
        </w:tc>
        <w:tc>
          <w:tcPr>
            <w:tcW w:w="1631" w:type="pct"/>
            <w:shd w:val="clear" w:color="auto" w:fill="auto"/>
            <w:noWrap/>
            <w:vAlign w:val="center"/>
          </w:tcPr>
          <w:p w14:paraId="6827AB1D">
            <w:pPr>
              <w:spacing w:line="360" w:lineRule="auto"/>
              <w:rPr>
                <w:rFonts w:hint="eastAsia" w:ascii="方正仿宋_GB2312" w:hAnsi="方正仿宋_GB2312" w:eastAsia="方正仿宋_GB2312" w:cs="方正仿宋_GB2312"/>
                <w:color w:val="auto"/>
                <w:kern w:val="2"/>
                <w:sz w:val="24"/>
                <w:szCs w:val="24"/>
                <w:highlight w:val="none"/>
                <w:lang w:val="en-US" w:eastAsia="zh-CN" w:bidi="ar-SA"/>
              </w:rPr>
            </w:pPr>
            <w:r>
              <w:rPr>
                <w:rFonts w:hint="eastAsia" w:ascii="方正仿宋_GB2312" w:hAnsi="方正仿宋_GB2312" w:eastAsia="方正仿宋_GB2312" w:cs="方正仿宋_GB2312"/>
                <w:color w:val="auto"/>
                <w:sz w:val="24"/>
                <w:szCs w:val="24"/>
                <w:highlight w:val="none"/>
              </w:rPr>
              <w:t>日期： 年  月  日</w:t>
            </w:r>
          </w:p>
        </w:tc>
      </w:tr>
    </w:tbl>
    <w:p w14:paraId="1D5E6A5E">
      <w:pPr>
        <w:ind w:left="0" w:leftChars="0" w:firstLine="0" w:firstLineChars="0"/>
      </w:pPr>
      <w:bookmarkStart w:id="26" w:name="_GoBack"/>
      <w:bookmarkEnd w:id="2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11413"/>
    <w:rsid w:val="025F50D7"/>
    <w:rsid w:val="1BDC7B5B"/>
    <w:rsid w:val="2B011413"/>
    <w:rsid w:val="37347E47"/>
    <w:rsid w:val="3D9745C0"/>
    <w:rsid w:val="42D4089F"/>
    <w:rsid w:val="44217C49"/>
    <w:rsid w:val="5C8C7BB2"/>
    <w:rsid w:val="5F936939"/>
    <w:rsid w:val="634863EF"/>
    <w:rsid w:val="66683F05"/>
    <w:rsid w:val="6BE94441"/>
    <w:rsid w:val="6C633ACD"/>
    <w:rsid w:val="70F72260"/>
    <w:rsid w:val="76DF3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jc w:val="center"/>
      <w:outlineLvl w:val="0"/>
    </w:pPr>
    <w:rPr>
      <w:rFonts w:ascii="Times New Roman" w:hAnsi="Times New Roman" w:eastAsia="宋体" w:cs="Times New Roman"/>
      <w:b/>
      <w:kern w:val="44"/>
      <w:sz w:val="36"/>
      <w:szCs w:val="22"/>
      <w:lang w:val="zh-CN" w:bidi="zh-CN"/>
    </w:rPr>
  </w:style>
  <w:style w:type="paragraph" w:styleId="3">
    <w:name w:val="heading 2"/>
    <w:basedOn w:val="1"/>
    <w:next w:val="1"/>
    <w:semiHidden/>
    <w:unhideWhenUsed/>
    <w:qFormat/>
    <w:uiPriority w:val="0"/>
    <w:pPr>
      <w:spacing w:line="360" w:lineRule="auto"/>
      <w:ind w:left="0" w:firstLine="0"/>
      <w:outlineLvl w:val="1"/>
    </w:pPr>
    <w:rPr>
      <w:rFonts w:ascii="宋体" w:hAnsi="宋体" w:eastAsia="宋体" w:cs="宋体"/>
      <w:b/>
      <w:bCs/>
      <w:sz w:val="32"/>
      <w:szCs w:val="24"/>
      <w:lang w:val="zh-CN" w:bidi="zh-CN"/>
    </w:rPr>
  </w:style>
  <w:style w:type="paragraph" w:styleId="4">
    <w:name w:val="heading 3"/>
    <w:basedOn w:val="1"/>
    <w:next w:val="1"/>
    <w:semiHidden/>
    <w:unhideWhenUsed/>
    <w:qFormat/>
    <w:uiPriority w:val="0"/>
    <w:pPr>
      <w:keepNext/>
      <w:keepLines/>
      <w:spacing w:beforeLines="0" w:beforeAutospacing="0" w:afterLines="0" w:afterAutospacing="0" w:line="360" w:lineRule="auto"/>
      <w:jc w:val="left"/>
      <w:outlineLvl w:val="2"/>
    </w:pPr>
    <w:rPr>
      <w:rFonts w:ascii="Times New Roman" w:hAnsi="Times New Roman" w:eastAsia="宋体" w:cs="Times New Roman"/>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afterLines="0" w:afterAutospacing="0"/>
    </w:pPr>
  </w:style>
  <w:style w:type="paragraph" w:styleId="6">
    <w:name w:val="toc 2"/>
    <w:basedOn w:val="1"/>
    <w:next w:val="1"/>
    <w:qFormat/>
    <w:uiPriority w:val="0"/>
    <w:pPr>
      <w:ind w:left="440" w:leftChars="200"/>
    </w:pPr>
    <w:rPr>
      <w:rFonts w:ascii="宋体" w:hAnsi="宋体" w:eastAsia="宋体" w:cs="宋体"/>
      <w:sz w:val="21"/>
      <w:szCs w:val="21"/>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2025-08-10T08:28:00Z</dcterms:created>
  <dc:creator>13622</dc:creator>
  <cp:lastModifiedBy>13622</cp:lastModifiedBy>
  <dcterms:modified xsi:type="dcterms:W3CDTF">2025-08-10T08:29:13Z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6416520BCFE4452EB73AF23A36E7D54E_11</vt:lpwstr>
  </property>
  <property fmtid="{D5CDD505-2E9C-101B-9397-08002B2CF9AE}" pid="4" name="KSOTemplateDocerSaveRecord">
    <vt:lpwstr>eyJoZGlkIjoiMTVjNTJkZWEyZWIyMjEyNTVmMDA4NGYwNTI4OTg4ZGEiLCJ1c2VySWQiOiIzMDcyMjg3NjcifQ==</vt:lpwstr>
  </property>
</Properties>
</file>