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版本号：HXTDJT20251490.1B120250924001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PACS存储扩容项目(二次)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HXTDJT20251490.1B1</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陕西鸿信泰鼎建设项目管理有限公司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陕西鸿信泰鼎建设项目管理有限公司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PACS存储扩容项目(二次)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HXTDJT20251490.1B1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PACS存储扩容项目(二次)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随着医院诊疗业务量的持续增长、高分辨率影像设备的广泛应用以及影像数据长期保存要求的提高，院内产生的医学影像数据量呈现爆发式增长。现有PACS存储系统在容量、性能、扩展性和可靠性方面已逐渐无法满足当前及未来3-5年的业务需求，存在存储空间告急、数据调阅速度受限、系统维护难度增加等挑战。本项目旨在通过系统性升级与扩容，解决存储瓶颈，保障核心影像业务的连续性与高效性，提升医疗服务质量和患儿就医体验；项目旨在对现有PACS存储系统进行全面的架构升级与容量扩充，核心目标包括：显著提升存储容量：满足未来3-5年海量儿科影像数据（包括DICOM影像及报告）的爆炸式增长存储需求；优化系统性能：大幅提高影像数据的写入、读取和调阅速度，缩短临床医生诊断等待时间，尤其保障急诊等关键场景的快速响应；增强系统可靠性与安全性：采用高可用架构、完善的数据冗余备份及容灾机制，确保核心影像数据的安全、完整与长期可访问性，满足医疗行业法规要求；提高可扩展性与可管理性：构建灵活、弹性的存储架构，便于未来平滑扩展；简化运维管理，降低维护成本。</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1、授权委托书：法定代表人（主要负责人）委托代理人参加谈判时，应提供法定代表人（主要负责人）委托授权书；法定代表人（主要负责人）亲自参加谈判时，应提供法定代表人（主要负责人）身份证明书；</w:t>
      </w:r>
    </w:p>
    <w:p>
      <w:pPr>
        <w:pStyle w:val="null3"/>
      </w:pPr>
      <w:r>
        <w:rPr>
          <w:rFonts w:ascii="仿宋_GB2312" w:hAnsi="仿宋_GB2312" w:cs="仿宋_GB2312" w:eastAsia="仿宋_GB2312"/>
        </w:rPr>
        <w:t>2、信用记录：供应商在“信用中国”（www.creditchina.gov.cn）网站上未被列入严重失信主体名单、重大税收违法失信主体名单；“中国执行信息公开网”（http://zxgk.court.gov.cn/shixin/）网站上未被列入失信被执行人名单；“中国政府采购网（www.ccgp.gov.cn）”上未被列入政府采购严重违法失信行为记录名单；</w:t>
      </w:r>
    </w:p>
    <w:p>
      <w:pPr>
        <w:pStyle w:val="null3"/>
      </w:pPr>
      <w:r>
        <w:rPr>
          <w:rFonts w:ascii="仿宋_GB2312" w:hAnsi="仿宋_GB2312" w:cs="仿宋_GB2312" w:eastAsia="仿宋_GB2312"/>
        </w:rPr>
        <w:t>3、供应商不得存在下列情形之一：3.1单位负责人为同一人或者存在直接控股、管理关系的不同供应商不得参加同一合同项下的政府采购活动；3.2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西安市莲湖区庙后街西举院巷69号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陕西鸿信泰鼎建设项目管理有限公司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西安市高新区沣惠南路18号唐沣国际广场D座13楼1301室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宜倩、方湖、李飞、房亚宁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029-89562775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代理服务费收费标准：中标(或成交)服务费以中标（成交）价为基数，参照《招标代理服务收费管理暂行办法》计价格[2002]1980号文和发改价格[2011]534号文件规定标准下浮20%收取。由成交方向受托人支付。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陕西鸿信泰鼎建设项目管理有限公司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西安市儿童医院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陕西鸿信泰鼎建设项目管理有限公司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陕西鸿信泰鼎建设项目管理有限公司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联系人：张海悦</w:t>
      </w:r>
    </w:p>
    <w:p>
      <w:pPr>
        <w:pStyle w:val="null3"/>
      </w:pPr>
      <w:r>
        <w:rPr>
          <w:rFonts w:ascii="仿宋_GB2312" w:hAnsi="仿宋_GB2312" w:cs="仿宋_GB2312" w:eastAsia="仿宋_GB2312"/>
        </w:rPr>
        <w:t>联系电话：029-89562775</w:t>
      </w:r>
    </w:p>
    <w:p>
      <w:pPr>
        <w:pStyle w:val="null3"/>
      </w:pPr>
      <w:r>
        <w:rPr>
          <w:rFonts w:ascii="仿宋_GB2312" w:hAnsi="仿宋_GB2312" w:cs="仿宋_GB2312" w:eastAsia="仿宋_GB2312"/>
        </w:rPr>
        <w:t>地址：书面材料送至西安市高新区沣惠南路唐沣国际广场D座13层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医院诊疗业务量的持续增长、高分辨率影像设备的广泛应用以及影像数据长期保存要求的提高，院内产生的医学影像数据量呈现爆发式增长。现有PACS存储系统在容量、性能、扩展性和可靠性方面已逐渐无法满足当前及未来3-5年的业务需求，存在存储空间告急、数据调阅速度受限、系统维护难度增加等挑战。本项目旨在通过系统性升级与扩容，解决存储瓶颈，保障核心影像业务的连续性与高效性，提升医疗服务质量和患儿就医体验；项目旨在对现有PACS存储系统进行全面的架构升级与容量扩充，核心目标包括：显著提升存储容量： 满足未来3-5年海量儿科影像数据（包括DICOM影像及报告）的爆炸式增长存储需求；优化系统性能：大幅提高影像数据的写入、读取和调阅速度，缩短临床医生诊断等待时间，尤其保障急诊等关键场景的快速响应；增强系统可靠性与安全性： 采用高可用架构、完善的数据冗余备份及容灾机制，确保核心影像数据的安全、完整与长期可访问性，满足医疗行业法规要求；提高可扩展性与可管理性： 构建灵活、弹性的存储架构，便于未来平滑扩展；简化运维管理，降低维护成本。</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存储扩容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标的名称：存储扩容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（一）货物采购清单</w:t>
            </w:r>
            <w:r>
              <w:rPr>
                <w:rFonts w:ascii="仿宋_GB2312" w:hAnsi="仿宋_GB2312" w:cs="仿宋_GB2312" w:eastAsia="仿宋_GB2312"/>
                <w:sz w:val="21"/>
                <w:b/>
              </w:rPr>
              <w:t>最高限价</w:t>
            </w:r>
          </w:p>
          <w:tbl>
            <w:tblPr>
              <w:tblBorders>
                <w:top w:val="none" w:color="000000" w:sz="4"/>
                <w:left w:val="none" w:color="000000" w:sz="4"/>
                <w:bottom w:val="none" w:color="000000" w:sz="4"/>
                <w:right w:val="none" w:color="000000" w:sz="4"/>
                <w:insideH w:val="none"/>
                <w:insideV w:val="none"/>
              </w:tblBorders>
            </w:tblPr>
            <w:tblGrid>
              <w:gridCol w:w="319"/>
              <w:gridCol w:w="961"/>
              <w:gridCol w:w="424"/>
              <w:gridCol w:w="424"/>
              <w:gridCol w:w="424"/>
            </w:tblGrid>
            <w:tr>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货物名称</w:t>
                  </w:r>
                </w:p>
              </w:tc>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单价限价（元）</w:t>
                  </w:r>
                </w:p>
              </w:tc>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总价限价（元）</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双活存储</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295000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590000</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分布式存储</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3台</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数据迁移服务</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20000</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20000</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910000</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技术</w:t>
            </w:r>
            <w:r>
              <w:rPr>
                <w:rFonts w:ascii="仿宋_GB2312" w:hAnsi="仿宋_GB2312" w:cs="仿宋_GB2312" w:eastAsia="仿宋_GB2312"/>
                <w:sz w:val="21"/>
                <w:b/>
              </w:rPr>
              <w:t>规格</w:t>
            </w:r>
            <w:r>
              <w:rPr>
                <w:rFonts w:ascii="仿宋_GB2312" w:hAnsi="仿宋_GB2312" w:cs="仿宋_GB2312" w:eastAsia="仿宋_GB2312"/>
                <w:sz w:val="21"/>
                <w:b/>
              </w:rPr>
              <w:t>要求</w:t>
            </w:r>
          </w:p>
          <w:tbl>
            <w:tblPr>
              <w:tblInd w:type="dxa" w:w="135"/>
              <w:tblBorders>
                <w:top w:val="none" w:color="000000" w:sz="4"/>
                <w:left w:val="none" w:color="000000" w:sz="4"/>
                <w:bottom w:val="none" w:color="000000" w:sz="4"/>
                <w:right w:val="none" w:color="000000" w:sz="4"/>
                <w:insideH w:val="none"/>
                <w:insideV w:val="none"/>
              </w:tblBorders>
            </w:tblPr>
            <w:tblGrid>
              <w:gridCol w:w="184"/>
              <w:gridCol w:w="236"/>
              <w:gridCol w:w="341"/>
              <w:gridCol w:w="1341"/>
              <w:gridCol w:w="451"/>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重要性</w:t>
                  </w:r>
                </w:p>
              </w:tc>
              <w:tc>
                <w:tcPr>
                  <w:tcW w:type="dxa" w:w="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指标项</w:t>
                  </w:r>
                </w:p>
              </w:tc>
              <w:tc>
                <w:tcPr>
                  <w:tcW w:type="dxa" w:w="1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指标要求</w:t>
                  </w:r>
                </w:p>
              </w:tc>
              <w:tc>
                <w:tcPr>
                  <w:tcW w:type="dxa" w:w="4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证明材料要求</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一、双活存储（以下是单台要求）</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整体资质</w:t>
                  </w:r>
                </w:p>
              </w:tc>
              <w:tc>
                <w:tcPr>
                  <w:tcW w:type="dxa" w:w="1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非</w:t>
                  </w:r>
                  <w:r>
                    <w:rPr>
                      <w:rFonts w:ascii="仿宋_GB2312" w:hAnsi="仿宋_GB2312" w:cs="仿宋_GB2312" w:eastAsia="仿宋_GB2312"/>
                      <w:sz w:val="20"/>
                    </w:rPr>
                    <w:t>OEM品牌；</w:t>
                  </w:r>
                </w:p>
              </w:tc>
              <w:tc>
                <w:tcPr>
                  <w:tcW w:type="dxa" w:w="4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控制器</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w:t>
                  </w:r>
                  <w:r>
                    <w:rPr>
                      <w:rFonts w:ascii="仿宋_GB2312" w:hAnsi="仿宋_GB2312" w:cs="仿宋_GB2312" w:eastAsia="仿宋_GB2312"/>
                      <w:sz w:val="20"/>
                    </w:rPr>
                    <w:t>≥2个SAN控制器，控制器采用 Active-Active架构，实现单LUN业务均衡负载到所有控制器；</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扩展能力</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多控制器架构，支持最大可扩展到</w:t>
                  </w:r>
                  <w:r>
                    <w:rPr>
                      <w:rFonts w:ascii="仿宋_GB2312" w:hAnsi="仿宋_GB2312" w:cs="仿宋_GB2312" w:eastAsia="仿宋_GB2312"/>
                      <w:sz w:val="20"/>
                    </w:rPr>
                    <w:t>≥32个SAN控制器；</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接口配置</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w:t>
                  </w:r>
                  <w:r>
                    <w:rPr>
                      <w:rFonts w:ascii="仿宋_GB2312" w:hAnsi="仿宋_GB2312" w:cs="仿宋_GB2312" w:eastAsia="仿宋_GB2312"/>
                      <w:sz w:val="20"/>
                    </w:rPr>
                    <w:t>16Gb FC接口≥8个，10Gbps iSCSI≥8个，1Gbps iSCSI≥6个；支持32Gbps FC、25/100Gbps iSCSI等主机接口；配置后端磁盘通道≥8个，SAS3.0规范，总带宽≥384Gb；</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在线升级</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支持控制器在线升级，升级过程中前端业务运行正常，单</w:t>
                  </w:r>
                  <w:r>
                    <w:rPr>
                      <w:rFonts w:ascii="仿宋_GB2312" w:hAnsi="仿宋_GB2312" w:cs="仿宋_GB2312" w:eastAsia="仿宋_GB2312"/>
                      <w:sz w:val="20"/>
                    </w:rPr>
                    <w:t>LUN无IO跌零；</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内存配置</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配置高速缓存</w:t>
                  </w:r>
                  <w:r>
                    <w:rPr>
                      <w:rFonts w:ascii="仿宋_GB2312" w:hAnsi="仿宋_GB2312" w:cs="仿宋_GB2312" w:eastAsia="仿宋_GB2312"/>
                      <w:sz w:val="20"/>
                    </w:rPr>
                    <w:t>≥512GB（缓存不包含SSD磁盘、闪存及NAS控制器缓存）；</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容量配置</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w:t>
                  </w:r>
                  <w:r>
                    <w:rPr>
                      <w:rFonts w:ascii="仿宋_GB2312" w:hAnsi="仿宋_GB2312" w:cs="仿宋_GB2312" w:eastAsia="仿宋_GB2312"/>
                      <w:sz w:val="20"/>
                    </w:rPr>
                    <w:t xml:space="preserve">1.92TB </w:t>
                  </w:r>
                  <w:r>
                    <w:rPr>
                      <w:rFonts w:ascii="仿宋_GB2312" w:hAnsi="仿宋_GB2312" w:cs="仿宋_GB2312" w:eastAsia="仿宋_GB2312"/>
                      <w:sz w:val="20"/>
                    </w:rPr>
                    <w:t>NVMe</w:t>
                  </w:r>
                  <w:r>
                    <w:rPr>
                      <w:rFonts w:ascii="仿宋_GB2312" w:hAnsi="仿宋_GB2312" w:cs="仿宋_GB2312" w:eastAsia="仿宋_GB2312"/>
                      <w:sz w:val="20"/>
                    </w:rPr>
                    <w:t>硬盘</w:t>
                  </w:r>
                  <w:r>
                    <w:rPr>
                      <w:rFonts w:ascii="仿宋_GB2312" w:hAnsi="仿宋_GB2312" w:cs="仿宋_GB2312" w:eastAsia="仿宋_GB2312"/>
                      <w:sz w:val="20"/>
                    </w:rPr>
                    <w:t>≥18块；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自动精简</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配置全容量许可精简功能；</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双活功能</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配置双活功能，任一存储宕机，数据不丢失，业务不中断；</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3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NAS特性</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提供</w:t>
                  </w:r>
                  <w:r>
                    <w:rPr>
                      <w:rFonts w:ascii="仿宋_GB2312" w:hAnsi="仿宋_GB2312" w:cs="仿宋_GB2312" w:eastAsia="仿宋_GB2312"/>
                      <w:sz w:val="20"/>
                    </w:rPr>
                    <w:t>SAN-NAS一体化功能（非网关架构实现），提供FC-SAN、IP-SAN、CIFS、NFS、HTTP、FTP协议；配置并提供NAS双活功能；</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1"/>
                  <w:vMerge/>
                  <w:tcBorders>
                    <w:top w:val="none" w:color="000000" w:sz="4"/>
                    <w:left w:val="single" w:color="000000" w:sz="4"/>
                    <w:bottom w:val="single" w:color="000000" w:sz="4"/>
                    <w:right w:val="single" w:color="000000" w:sz="4"/>
                  </w:tcBorders>
                </w:tcP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提供文件系统快照功能、复制功能、克隆功能。</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1"/>
                  <w:vMerge/>
                  <w:tcBorders>
                    <w:top w:val="none" w:color="000000" w:sz="4"/>
                    <w:left w:val="single" w:color="000000" w:sz="4"/>
                    <w:bottom w:val="single" w:color="000000" w:sz="4"/>
                    <w:right w:val="single" w:color="000000" w:sz="4"/>
                  </w:tcBorders>
                </w:tcP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具备文件名扩展过滤功能，支持针对共享协议设置过滤规则，使得具有指定后缀名的文件无法写入，保障文件系统安全；</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容量预测</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支持容量预测功能，对存储设备未来的容量使用情况进行预测，并以预测趋势图的形式展示；</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性能监控</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配置性能监控功能，支持控制器、</w:t>
                  </w:r>
                  <w:r>
                    <w:rPr>
                      <w:rFonts w:ascii="仿宋_GB2312" w:hAnsi="仿宋_GB2312" w:cs="仿宋_GB2312" w:eastAsia="仿宋_GB2312"/>
                      <w:sz w:val="20"/>
                    </w:rPr>
                    <w:t>CPU、内存、硬盘、RAID、LUN、前端端口、后端端口、主机等多个维度统计IOPS、吞吐量、延时等性能指标，自定义采样间隔时间查看实时性能监控统计数据；</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服务要求</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原厂安装服务，三年原厂质保服务，服务期限内提供</w:t>
                  </w:r>
                  <w:r>
                    <w:rPr>
                      <w:rFonts w:ascii="仿宋_GB2312" w:hAnsi="仿宋_GB2312" w:cs="仿宋_GB2312" w:eastAsia="仿宋_GB2312"/>
                      <w:sz w:val="20"/>
                    </w:rPr>
                    <w:t>7*24技术支持服务。</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二、分布式存储</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品牌</w:t>
                  </w:r>
                </w:p>
              </w:tc>
              <w:tc>
                <w:tcPr>
                  <w:tcW w:type="dxa" w:w="1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国产厂商，非</w:t>
                  </w:r>
                  <w:r>
                    <w:rPr>
                      <w:rFonts w:ascii="仿宋_GB2312" w:hAnsi="仿宋_GB2312" w:cs="仿宋_GB2312" w:eastAsia="仿宋_GB2312"/>
                      <w:sz w:val="20"/>
                    </w:rPr>
                    <w:t>OEM产品，提供分布式存储软件著作权证书；</w:t>
                  </w:r>
                </w:p>
              </w:tc>
              <w:tc>
                <w:tcPr>
                  <w:tcW w:type="dxa" w:w="4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硬件配置</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配置一套分布式存储系统</w:t>
                  </w:r>
                  <w:r>
                    <w:rPr>
                      <w:rFonts w:ascii="仿宋_GB2312" w:hAnsi="仿宋_GB2312" w:cs="仿宋_GB2312" w:eastAsia="仿宋_GB2312"/>
                      <w:sz w:val="20"/>
                    </w:rPr>
                    <w:t>3节点</w:t>
                  </w:r>
                  <w:r>
                    <w:rPr>
                      <w:rFonts w:ascii="仿宋_GB2312" w:hAnsi="仿宋_GB2312" w:cs="仿宋_GB2312" w:eastAsia="仿宋_GB2312"/>
                      <w:sz w:val="20"/>
                    </w:rPr>
                    <w:t>，每个节点配置如下：</w:t>
                  </w:r>
                </w:p>
                <w:p>
                  <w:pPr>
                    <w:pStyle w:val="null3"/>
                    <w:jc w:val="left"/>
                  </w:pPr>
                  <w:r>
                    <w:rPr>
                      <w:rFonts w:ascii="仿宋_GB2312" w:hAnsi="仿宋_GB2312" w:cs="仿宋_GB2312" w:eastAsia="仿宋_GB2312"/>
                      <w:sz w:val="20"/>
                    </w:rPr>
                    <w:t>处理器：配置</w:t>
                  </w:r>
                  <w:r>
                    <w:rPr>
                      <w:rFonts w:ascii="仿宋_GB2312" w:hAnsi="仿宋_GB2312" w:cs="仿宋_GB2312" w:eastAsia="仿宋_GB2312"/>
                      <w:sz w:val="20"/>
                    </w:rPr>
                    <w:t>2颗架构处理器，单颗CPU≥12核，主频≥2.1GHz；</w:t>
                  </w:r>
                </w:p>
                <w:p>
                  <w:pPr>
                    <w:pStyle w:val="null3"/>
                    <w:jc w:val="left"/>
                  </w:pPr>
                  <w:r>
                    <w:rPr>
                      <w:rFonts w:ascii="仿宋_GB2312" w:hAnsi="仿宋_GB2312" w:cs="仿宋_GB2312" w:eastAsia="仿宋_GB2312"/>
                      <w:sz w:val="20"/>
                    </w:rPr>
                    <w:t>内存：</w:t>
                  </w:r>
                  <w:r>
                    <w:rPr>
                      <w:rFonts w:ascii="仿宋_GB2312" w:hAnsi="仿宋_GB2312" w:cs="仿宋_GB2312" w:eastAsia="仿宋_GB2312"/>
                      <w:sz w:val="20"/>
                    </w:rPr>
                    <w:t>≥128GB；</w:t>
                  </w:r>
                </w:p>
                <w:p>
                  <w:pPr>
                    <w:pStyle w:val="null3"/>
                    <w:jc w:val="left"/>
                  </w:pPr>
                  <w:r>
                    <w:rPr>
                      <w:rFonts w:ascii="仿宋_GB2312" w:hAnsi="仿宋_GB2312" w:cs="仿宋_GB2312" w:eastAsia="仿宋_GB2312"/>
                      <w:sz w:val="20"/>
                    </w:rPr>
                    <w:t>接口：</w:t>
                  </w:r>
                  <w:r>
                    <w:rPr>
                      <w:rFonts w:ascii="仿宋_GB2312" w:hAnsi="仿宋_GB2312" w:cs="仿宋_GB2312" w:eastAsia="仿宋_GB2312"/>
                      <w:sz w:val="20"/>
                    </w:rPr>
                    <w:t>≥4个万兆光口（含模块），≥2千兆电口；</w:t>
                  </w:r>
                </w:p>
                <w:p>
                  <w:pPr>
                    <w:pStyle w:val="null3"/>
                    <w:jc w:val="left"/>
                  </w:pPr>
                  <w:r>
                    <w:rPr>
                      <w:rFonts w:ascii="仿宋_GB2312" w:hAnsi="仿宋_GB2312" w:cs="仿宋_GB2312" w:eastAsia="仿宋_GB2312"/>
                      <w:sz w:val="20"/>
                    </w:rPr>
                    <w:t>系统盘</w:t>
                  </w:r>
                  <w:r>
                    <w:rPr>
                      <w:rFonts w:ascii="仿宋_GB2312" w:hAnsi="仿宋_GB2312" w:cs="仿宋_GB2312" w:eastAsia="仿宋_GB2312"/>
                      <w:sz w:val="20"/>
                    </w:rPr>
                    <w:t>≥2块480GB SSD硬盘，</w:t>
                  </w:r>
                </w:p>
                <w:p>
                  <w:pPr>
                    <w:pStyle w:val="null3"/>
                    <w:jc w:val="left"/>
                  </w:pPr>
                  <w:r>
                    <w:rPr>
                      <w:rFonts w:ascii="仿宋_GB2312" w:hAnsi="仿宋_GB2312" w:cs="仿宋_GB2312" w:eastAsia="仿宋_GB2312"/>
                      <w:sz w:val="20"/>
                    </w:rPr>
                    <w:t>缓存盘</w:t>
                  </w:r>
                  <w:r>
                    <w:rPr>
                      <w:rFonts w:ascii="仿宋_GB2312" w:hAnsi="仿宋_GB2312" w:cs="仿宋_GB2312" w:eastAsia="仿宋_GB2312"/>
                      <w:sz w:val="20"/>
                    </w:rPr>
                    <w:t>≥2块3.84TB NVMe SSD硬盘，</w:t>
                  </w:r>
                </w:p>
                <w:p>
                  <w:pPr>
                    <w:pStyle w:val="null3"/>
                    <w:jc w:val="left"/>
                  </w:pPr>
                  <w:r>
                    <w:rPr>
                      <w:rFonts w:ascii="仿宋_GB2312" w:hAnsi="仿宋_GB2312" w:cs="仿宋_GB2312" w:eastAsia="仿宋_GB2312"/>
                      <w:sz w:val="20"/>
                    </w:rPr>
                    <w:t>数据盘</w:t>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块</w:t>
                  </w: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TB 3.5寸企业级磁盘；</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0"/>
                    </w:rPr>
                    <w:t>3</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容错性</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支持单个节点整机故障、电源故障、风扇故障、内存故障、硬盘故障等情况下，均能保证业务不中断、数据不丢失；</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多种存储协议</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同一个集群内同时支持块存储、文件存储、对象存储服务，支持同时共享使用集群中的所有磁盘，也支持磁盘分区或分组模式；</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文件加密</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配置目录级文件加密功能。</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软件功能</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提供文件权限、智能缓存、配额、快照、</w:t>
                  </w:r>
                  <w:r>
                    <w:rPr>
                      <w:rFonts w:ascii="仿宋_GB2312" w:hAnsi="仿宋_GB2312" w:cs="仿宋_GB2312" w:eastAsia="仿宋_GB2312"/>
                      <w:sz w:val="20"/>
                    </w:rPr>
                    <w:t>QoS、负载均衡等特性；</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协议</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支持企业级文件</w:t>
                  </w:r>
                  <w:r>
                    <w:rPr>
                      <w:rFonts w:ascii="仿宋_GB2312" w:hAnsi="仿宋_GB2312" w:cs="仿宋_GB2312" w:eastAsia="仿宋_GB2312"/>
                      <w:sz w:val="20"/>
                    </w:rPr>
                    <w:t>(NFS、CIFS、FTP)协议；支持企业级块（iSCSI）协议；支持S3、Swift对象存储协议</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业务不间断</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支持在线升级</w:t>
                  </w:r>
                  <w:r>
                    <w:rPr>
                      <w:rFonts w:ascii="仿宋_GB2312" w:hAnsi="仿宋_GB2312" w:cs="仿宋_GB2312" w:eastAsia="仿宋_GB2312"/>
                      <w:sz w:val="20"/>
                    </w:rPr>
                    <w:t>/更换软件及硬件设备（包括更换整个节点服务器），升级/更换期间业务不停机，对数据完整性无影响；</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服务要求</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原厂安装服务，三年原厂质保服务，服务期限内提供</w:t>
                  </w:r>
                  <w:r>
                    <w:rPr>
                      <w:rFonts w:ascii="仿宋_GB2312" w:hAnsi="仿宋_GB2312" w:cs="仿宋_GB2312" w:eastAsia="仿宋_GB2312"/>
                      <w:sz w:val="20"/>
                    </w:rPr>
                    <w:t>7*24技术支持服务。</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三、数据迁移</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p>
              </w:tc>
              <w:tc>
                <w:tcPr>
                  <w:tcW w:type="dxa" w:w="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软件授权</w:t>
                  </w:r>
                </w:p>
              </w:tc>
              <w:tc>
                <w:tcPr>
                  <w:tcW w:type="dxa" w:w="1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配置迁移数据迁移工具</w:t>
                  </w:r>
                  <w:r>
                    <w:rPr>
                      <w:rFonts w:ascii="仿宋_GB2312" w:hAnsi="仿宋_GB2312" w:cs="仿宋_GB2312" w:eastAsia="仿宋_GB2312"/>
                      <w:sz w:val="20"/>
                    </w:rPr>
                    <w:t>及迁移服务</w:t>
                  </w:r>
                  <w:r>
                    <w:rPr>
                      <w:rFonts w:ascii="仿宋_GB2312" w:hAnsi="仿宋_GB2312" w:cs="仿宋_GB2312" w:eastAsia="仿宋_GB2312"/>
                      <w:sz w:val="20"/>
                    </w:rPr>
                    <w:t>，本次授权不小于</w:t>
                  </w:r>
                  <w:r>
                    <w:rPr>
                      <w:rFonts w:ascii="仿宋_GB2312" w:hAnsi="仿宋_GB2312" w:cs="仿宋_GB2312" w:eastAsia="仿宋_GB2312"/>
                      <w:sz w:val="20"/>
                    </w:rPr>
                    <w:t>500TB数据迁移容量许可；</w:t>
                  </w:r>
                </w:p>
              </w:tc>
              <w:tc>
                <w:tcPr>
                  <w:tcW w:type="dxa" w:w="4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部署平台</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数据管理平台支持</w:t>
                  </w:r>
                  <w:r>
                    <w:rPr>
                      <w:rFonts w:ascii="仿宋_GB2312" w:hAnsi="仿宋_GB2312" w:cs="仿宋_GB2312" w:eastAsia="仿宋_GB2312"/>
                      <w:sz w:val="20"/>
                    </w:rPr>
                    <w:t>windows、Linux环境下部署。</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数据能力</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w:t>
                  </w:r>
                  <w:r>
                    <w:rPr>
                      <w:rFonts w:ascii="仿宋_GB2312" w:hAnsi="仿宋_GB2312" w:cs="仿宋_GB2312" w:eastAsia="仿宋_GB2312"/>
                      <w:sz w:val="20"/>
                    </w:rPr>
                    <w:t>Oracle、SQL、Mysql等主流数据库，本地文件、NAS（NFS、CIFS）、S3对象存储等多种数据平台中读取、处理数据能力。</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断点续传</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支持断点续传，当服务器发生意外宕机时，可以重新运行该软件，已经完成传输的数据不需要再次进行处理。</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数据迁移</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支持文件（本地文件、</w:t>
                  </w:r>
                  <w:r>
                    <w:rPr>
                      <w:rFonts w:ascii="仿宋_GB2312" w:hAnsi="仿宋_GB2312" w:cs="仿宋_GB2312" w:eastAsia="仿宋_GB2312"/>
                      <w:sz w:val="20"/>
                    </w:rPr>
                    <w:t>NFS协议、CIFS协议）、对象存储（S3协议）之间相互在线数据迁移。</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多存储池</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支持基于存储块级数据迁移和文件级数据迁移方式。</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合同签订后，且设备到场验收合格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整体验收合格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考核合格后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现行的国家标准或国家行政部门颁布的法律法规、规章制度等，没有国家标准的可参考行业标准，详见合同。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质保期3年，详见合同。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违约责任依据《中华人民共和国民法典》、《中华人民共和国政府采购法》、《中华人民共和国政府采购法实施条例》等相关条款执行。 合同执行中发生争议的，当事人双方应协商解决。协商达不成一致时，可向甲方（采购人）所在地人民法院提起诉讼，详见合同。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1、采购内容及功能技术要求均为实质性要求，标★项需按招标要求提供证明材料，未提供或提供的证明材料不满足招标要求，按无效处理。 2、质量验收标准或规范：现行的国家标准或国家行政部门颁布的法律法规、规章制度等，没有国家标准的可参考行业标准。 3、产品质保期：质保期3年。 4、合同签订后，若实施方提供产品（服务）与投标响应文件不符，招标方有权终止合同并要求实施方返还全部已支付款项。 5、成交供应商在成交后需按照采购人要求提供一正一副纸质版响应文件且应与电子版响应文件保持一致。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提供有效的法人或者其他组织的营业执照等证明文件，自然人的身份证明；2.财务状况：提供上一年度的经审计的财务报表或本年度基本开户银行出具的资信证明；3.提供可充分满足履行合同所需设备和专业技术能力的证明材料或承诺；4.提供近六个月中任何一个月的缴纳增值税和企业所得税的凭证（银行出具的缴税凭证或税务机关出具的证明的复印件，并加盖本单位公章）或免税证明（加盖公章）；5.提供近六个月中任何一个月的社会保障资金缴纳记录（专用收据或社会保险缴纳清单）或免缴纳证明（加盖公章）；6.参加政府采购活动前3年内，在经营活动中没有重大违法记录的书面声明；7.不存在违反法律、法规的情况（提供承诺）。</w:t>
            </w:r>
          </w:p>
        </w:tc>
        <w:tc>
          <w:tcPr>
            <w:tcW w:type="dxa" w:w="1661"/>
          </w:tcPr>
          <w:p>
            <w:pPr>
              <w:pStyle w:val="null3"/>
            </w:pPr>
            <w:r>
              <w:rPr>
                <w:rFonts w:ascii="仿宋_GB2312" w:hAnsi="仿宋_GB2312" w:cs="仿宋_GB2312" w:eastAsia="仿宋_GB2312"/>
              </w:rPr>
              <w:t>响应文件封面 承诺函 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供应商需在项目电子化交易系统中按要求上传相应证明文件并进行电子签章。提供上一年度的经审计的财务报表或本年度基本开户银行出具的资信证明。</w:t>
            </w:r>
          </w:p>
        </w:tc>
        <w:tc>
          <w:tcPr>
            <w:tcW w:type="dxa" w:w="1661"/>
          </w:tcPr>
          <w:p>
            <w:pPr>
              <w:pStyle w:val="null3"/>
            </w:pPr>
            <w:r>
              <w:rPr>
                <w:rFonts w:ascii="仿宋_GB2312" w:hAnsi="仿宋_GB2312" w:cs="仿宋_GB2312" w:eastAsia="仿宋_GB2312"/>
              </w:rPr>
              <w:t>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法定代表人（主要负责人）委托代理人参加谈判时，应提供法定代表人（主要负责人）委托授权书；法定代表人（主要负责人）亲自参加谈判时，应提供法定代表人（主要负责人）身份证明书；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信用中国”（www.creditchina.gov.cn）网站上未被列入严重失信主体名单、重大税收违法失信主体名单；“中国执行信息公开网”（http://zxgk.court.gov.cn/shixin/）网站上未被列入失信被执行人名单；“中国政府采购网（www.ccgp.gov.cn）”上未被列入政府采购严重违法失信行为记录名单；</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3.1单位负责人为同一人或者存在直接控股、管理关系的不同供应商不得参加同一合同项下的政府采购活动；3.2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产品技术参数表 标的清单 报价表 实施方案</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详见附件：承诺函</w:t>
      </w:r>
    </w:p>
    <w:p>
      <w:pPr>
        <w:pStyle w:val="null3"/>
        <w:ind w:firstLine="960"/>
      </w:pPr>
      <w:r>
        <w:rPr>
          <w:rFonts w:ascii="仿宋_GB2312" w:hAnsi="仿宋_GB2312" w:cs="仿宋_GB2312" w:eastAsia="仿宋_GB2312"/>
        </w:rPr>
        <w:t>详见附件：实施方案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