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版本号：HXTDJC20251611.1B120250928001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2025年西安市综合交通信息服务平台指挥大厅运维项目(二次)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HXTDJC20251611.1B1</w:t>
      </w:r>
      <w:r>
        <w:br/>
      </w:r>
      <w:r>
        <w:br/>
      </w:r>
      <w:r>
        <w:br/>
      </w:r>
    </w:p>
    <w:p>
      <w:pPr>
        <w:pStyle w:val="null3"/>
        <w:jc w:val="center"/>
        <w:outlineLvl w:val="2"/>
      </w:pPr>
      <w:r>
        <w:rPr>
          <w:rFonts w:ascii="仿宋_GB2312" w:hAnsi="仿宋_GB2312" w:cs="仿宋_GB2312" w:eastAsia="仿宋_GB2312"/>
          <w:sz w:val="28"/>
          <w:b/>
        </w:rPr>
        <w:t>西安市交通信息中心</w:t>
      </w:r>
    </w:p>
    <w:p>
      <w:pPr>
        <w:pStyle w:val="null3"/>
        <w:jc w:val="center"/>
        <w:outlineLvl w:val="2"/>
      </w:pPr>
      <w:r>
        <w:rPr>
          <w:rFonts w:ascii="仿宋_GB2312" w:hAnsi="仿宋_GB2312" w:cs="仿宋_GB2312" w:eastAsia="仿宋_GB2312"/>
          <w:sz w:val="28"/>
          <w:b/>
        </w:rPr>
        <w:t>陕西鸿信泰鼎建设项目管理有限公司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陕西鸿信泰鼎建设项目管理有限公司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西安市交通信息中心</w:t>
      </w:r>
      <w:r>
        <w:rPr>
          <w:rFonts w:ascii="仿宋_GB2312" w:hAnsi="仿宋_GB2312" w:cs="仿宋_GB2312" w:eastAsia="仿宋_GB2312"/>
        </w:rPr>
        <w:t>委托，拟对</w:t>
      </w:r>
      <w:r>
        <w:rPr>
          <w:rFonts w:ascii="仿宋_GB2312" w:hAnsi="仿宋_GB2312" w:cs="仿宋_GB2312" w:eastAsia="仿宋_GB2312"/>
        </w:rPr>
        <w:t>2025年西安市综合交通信息服务平台指挥大厅运维项目(二次)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HXTDJC20251611.1B1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2025年西安市综合交通信息服务平台指挥大厅运维项目(二次)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综合交通信息服务平台是西安市交通运输局按照“四个交通”的发展要求，充分利用物联网、大数据和云计算等现代化信息技术，建设的一个融合全市交通运行实时监测、综合交通协调调度、行业管理精细覆盖、交通运输辅助决策于一体的智慧交通综合平台。 西安市综合交通信息服务平台指挥大厅建设标段进行了综合交通运行指挥中心大屏相关软硬件环境搭建，主要涉及三处大屏建设及其相关的音视频系统建设。通过该标段的建设，为西安市综合交通信息服务平台汇集的数据、开发的软件提供了基础支撑。 本项目采购综合交通运行指挥中心三处大屏及相关软硬件设备的运维服务，服务期一年（2026年1月10日至2027年1月9日，需提前入场做好衔接）。 该项目包括对指挥大厅三处大屏、相关软硬件设备及电缆等辅材的日常巡检维护、故障检测排查、设备维修更换、活动会议保障等，保障设备正常使用。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采购包1（2025年西安市综合交通信息服务平台指挥大厅运维项目）：属于专门面向中小企业采购。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主要负责人）委托代理人参加磋商时，应提供法定代表人（主要负责人）委托授权书；法定代表人（主要负责人）亲自参加磋商时，应提供法定代表人（主要负责人）身份证明书。</w:t>
      </w:r>
    </w:p>
    <w:p>
      <w:pPr>
        <w:pStyle w:val="null3"/>
      </w:pPr>
      <w:r>
        <w:rPr>
          <w:rFonts w:ascii="仿宋_GB2312" w:hAnsi="仿宋_GB2312" w:cs="仿宋_GB2312" w:eastAsia="仿宋_GB2312"/>
        </w:rPr>
        <w:t>2、信用记录：供应商未被列入“信用中国”（www.creditchina.gov.cn）记录的“严重失信主体名单”和“重大税收违法失信主体”名单；未被列入“中国政府采购网”（www.ccgp.gov.cn）中的“政府采购严重违法失信行为记录名单”；</w:t>
      </w:r>
    </w:p>
    <w:p>
      <w:pPr>
        <w:pStyle w:val="null3"/>
      </w:pPr>
      <w:r>
        <w:rPr>
          <w:rFonts w:ascii="仿宋_GB2312" w:hAnsi="仿宋_GB2312" w:cs="仿宋_GB2312" w:eastAsia="仿宋_GB2312"/>
        </w:rPr>
        <w:t>3、供应商不得存在下列情形之一：3.1单位负责人为同一人或者存在直接控股、管理关系的不同供应商不得参加同一合同项下的政府采购活动；3.2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西安市交通信息中心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陕西省西安市未央区明光路166号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029-61177882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陕西鸿信泰鼎建设项目管理有限公司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西安市高新区沣惠南路18号唐沣国际广场D座13楼1301室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宜倩、方湖、李飞、房亚宁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029-89562775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代理服务费收费标准：中标(或成交)服务费以中标（成交）价为基数，参照《招标代理服务收费管理暂行办法》计价格[2002]1980号文和发改价格[2011]534号文件规定标准收取。由成交方向受托人支付。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西安市交通信息中心</w:t>
      </w:r>
      <w:r>
        <w:rPr>
          <w:rFonts w:ascii="仿宋_GB2312" w:hAnsi="仿宋_GB2312" w:cs="仿宋_GB2312" w:eastAsia="仿宋_GB2312"/>
        </w:rPr>
        <w:t>和</w:t>
      </w:r>
      <w:r>
        <w:rPr>
          <w:rFonts w:ascii="仿宋_GB2312" w:hAnsi="仿宋_GB2312" w:cs="仿宋_GB2312" w:eastAsia="仿宋_GB2312"/>
        </w:rPr>
        <w:t>陕西鸿信泰鼎建设项目管理有限公司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西安市交通信息中心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陕西鸿信泰鼎建设项目管理有限公司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西安市交通信息中心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陕西鸿信泰鼎建设项目管理有限公司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1)验收组织方式: 自行验收 2)是否邀请本项目的其他供应商:否 3)是否邀请专家: 是 4)是否邀请服务对象:是 5)是否邀请第三方检测机构: 否 6)履约验收程序:一次性验收 7)履约验收时间: 供应商提出验收申请之日起30日内组织验收 8)验收组织的其他事项: 详见采购内容及要求。 9)技术履约验收内容: 详见采购内容及要求。 10)商务履约验收内容:详见采购内容及要求。 11)履约验收标准:详见采购内容及要求。 12)履约验收其他事项:详见采购内容及要求。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陕西鸿信泰鼎建设项目管理有限公司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陕西鸿信泰鼎建设项目管理有限公司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陕西鸿信泰鼎建设项目管理有限公司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联系人：张海悦</w:t>
      </w:r>
    </w:p>
    <w:p>
      <w:pPr>
        <w:pStyle w:val="null3"/>
      </w:pPr>
      <w:r>
        <w:rPr>
          <w:rFonts w:ascii="仿宋_GB2312" w:hAnsi="仿宋_GB2312" w:cs="仿宋_GB2312" w:eastAsia="仿宋_GB2312"/>
        </w:rPr>
        <w:t>联系电话：029-89562775</w:t>
      </w:r>
    </w:p>
    <w:p>
      <w:pPr>
        <w:pStyle w:val="null3"/>
      </w:pPr>
      <w:r>
        <w:rPr>
          <w:rFonts w:ascii="仿宋_GB2312" w:hAnsi="仿宋_GB2312" w:cs="仿宋_GB2312" w:eastAsia="仿宋_GB2312"/>
        </w:rPr>
        <w:t>地址：书面材料送至西安市高新区沣惠南路唐沣国际广场D座13层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综合交通信息服务平台是西安市交通运输局按照“四个交通”的发展要求，充分利用物联网、大数据和云计算等现代化信息技术，建设的一个融合全市交通运行实时监测、综合交通协调调度、行业管理精细覆盖、交通运输辅助决策于一体的智慧交通综合平台。 西安市综合交通信息服务平台指挥大厅建设标段进行了综合交通运行指挥中心大屏相关软硬件环境搭建，主要涉及三处大屏建设及其相关的音视频系统建设。通过该标段的建设，为西安市综合交通信息服务平台汇集的数据、开发的软件提供了基础支撑。 本项目采购综合交通运行指挥中心三处大屏及相关软硬件设备的运维服务，服务期一年（2026年1月10日至2027年1月9日，需提前入场做好衔接）。 该项目包括对指挥大厅三处大屏、相关软硬件设备及电缆等辅材的日常巡检维护、故障检测排查、设备维修更换、活动会议保障等，保障设备正常使用。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该项目包括对指挥大厅三处大屏、相关软硬件设备及电缆等辅材的日常巡检维护、故障检测排查、设备维修更换、活动会议保障等，保障设备正常使用。运维设备清单如下：</w:t>
            </w:r>
          </w:p>
          <w:tbl>
            <w:tblPr>
              <w:tblInd w:type="dxa" w:w="210"/>
              <w:tblBorders>
                <w:top w:val="none" w:color="000000" w:sz="4"/>
                <w:left w:val="none" w:color="000000" w:sz="4"/>
                <w:bottom w:val="none" w:color="000000" w:sz="4"/>
                <w:right w:val="none" w:color="000000" w:sz="4"/>
                <w:insideH w:val="none"/>
                <w:insideV w:val="none"/>
              </w:tblBorders>
            </w:tblPr>
            <w:tblGrid>
              <w:gridCol w:w="227"/>
              <w:gridCol w:w="573"/>
              <w:gridCol w:w="424"/>
              <w:gridCol w:w="896"/>
              <w:gridCol w:w="418"/>
            </w:tblGrid>
            <w:tr>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5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设备名称</w:t>
                  </w:r>
                </w:p>
              </w:tc>
              <w:tc>
                <w:tcPr>
                  <w:tcW w:type="dxa" w:w="4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厂商</w:t>
                  </w:r>
                </w:p>
              </w:tc>
              <w:tc>
                <w:tcPr>
                  <w:tcW w:type="dxa" w:w="8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规格型号</w:t>
                  </w:r>
                </w:p>
              </w:tc>
              <w:tc>
                <w:tcPr>
                  <w:tcW w:type="dxa" w:w="4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小间距</w:t>
                  </w:r>
                  <w:r>
                    <w:rPr>
                      <w:rFonts w:ascii="仿宋_GB2312" w:hAnsi="仿宋_GB2312" w:cs="仿宋_GB2312" w:eastAsia="仿宋_GB2312"/>
                      <w:sz w:val="20"/>
                    </w:rPr>
                    <w:t>LED显示屏</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海康</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DS-D4012FI-GW+DS-D40C04-H</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28.458平方米</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会议室小间距</w:t>
                  </w:r>
                  <w:r>
                    <w:rPr>
                      <w:rFonts w:ascii="仿宋_GB2312" w:hAnsi="仿宋_GB2312" w:cs="仿宋_GB2312" w:eastAsia="仿宋_GB2312"/>
                      <w:sz w:val="20"/>
                    </w:rPr>
                    <w:t>LED屏</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海康</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DS-D4012FI-GW+DS-D40C04-H</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10.044平方米</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门厅全彩</w:t>
                  </w:r>
                  <w:r>
                    <w:rPr>
                      <w:rFonts w:ascii="仿宋_GB2312" w:hAnsi="仿宋_GB2312" w:cs="仿宋_GB2312" w:eastAsia="仿宋_GB2312"/>
                      <w:sz w:val="20"/>
                    </w:rPr>
                    <w:t>LED显示屏</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海康</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DS-D4016FI-GW+DS-D40C04-H</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11.718平方米</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指挥大厅小间距大屏拼接控制器</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海康</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DS-B20-S07-A（DS-6404HFH-B20V+DS-6408HFH-B20H+2*DS-6916UD-B20DL）</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会议室大屏拼接控制器</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海康</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DS-B20-S03-A（DS-6404HFH-B20V+DS-6916UD-B20DL）</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指挥中心门口大厅全彩</w:t>
                  </w:r>
                  <w:r>
                    <w:rPr>
                      <w:rFonts w:ascii="仿宋_GB2312" w:hAnsi="仿宋_GB2312" w:cs="仿宋_GB2312" w:eastAsia="仿宋_GB2312"/>
                      <w:sz w:val="20"/>
                    </w:rPr>
                    <w:t>LED大屏拼接控制器</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海康</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DS-B20-S03-A（DS-6404HFH-B20V+DS-6916UD-B20DL）</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屏体支架</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海康</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落地式钢结构支架</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rPr>
                    <w:t>3套</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大屏控制软件</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海康</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LED演播室</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rPr>
                    <w:t>3套</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控制服务器</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曙光</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I620-G20</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监控坐席主机</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宏基</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D630</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35台</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千兆交换机</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新华三</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S5130S-28P-EI</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电源</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海康</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与大屏、拼接控制器等产品配套</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大屏专用线缆及安装辅材</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海康</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国标线缆</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3套</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互动协助系统</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中达电通</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NP2000</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核心交换机</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新华三</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S5560S-28P-EI</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指挥中心服务器机柜</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图腾</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K36042</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3个</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机房精密空调</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科士达</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室内机</w:t>
                  </w:r>
                  <w:r>
                    <w:rPr>
                      <w:rFonts w:ascii="仿宋_GB2312" w:hAnsi="仿宋_GB2312" w:cs="仿宋_GB2312" w:eastAsia="仿宋_GB2312"/>
                      <w:sz w:val="20"/>
                    </w:rPr>
                    <w:t>ST012FAACAOBT+室外机KCS018HNA</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UPS后备电源</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科士达</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YDC9310H；16节电池6-FM-65；电池柜C-16</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可编程智能中控主机</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广州迅控</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D1001</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无线接收器</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广州迅控</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RFGW-200</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中控编程软件</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广州迅控</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SV-SYSM1</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音频矩阵</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广州迅控</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D3011</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主扩声壁挂扬声器</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广州迅控</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L-8</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8只</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线阵功放</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广州迅控</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D2008</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2台</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线阵专用音箱处理器</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广州迅控</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L-306</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补音功放</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广州迅控</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CSD300</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2台</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调音台</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广州迅控</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MX14/4FX</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无线手持话筒</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广州保伦</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T-521UH（含话筒支架）</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电源时序器</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广州迅控</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SV-P802</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主电缆</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西安津成</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YJV4*10mm2+1*6mm2，含配电箱</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会议音响</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广州迅控</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E-8L</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6只</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无线话筒</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广州保伦</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TS-358</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2套</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液晶屏及升降器</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广州晶固</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15.6触摸屏+10寸电子桌JG156S-10ZP</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16套</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液晶屏及升降器</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广州晶固</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17.3触摸屏+10寸电子桌JG173S-10ZP</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无纸化软件</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广州晶固</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配套使用</w:t>
                  </w:r>
                  <w:r>
                    <w:rPr>
                      <w:rFonts w:ascii="仿宋_GB2312" w:hAnsi="仿宋_GB2312" w:cs="仿宋_GB2312" w:eastAsia="仿宋_GB2312"/>
                      <w:sz w:val="20"/>
                    </w:rPr>
                    <w:t>JG-RS</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17套</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视频解码器</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广州晶固</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配套使用</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DVR</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海康威视</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DS-8116HWS-SH</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2台</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NVR</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海康威视</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DS-8616N-ST</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混合型</w:t>
                  </w:r>
                  <w:r>
                    <w:rPr>
                      <w:rFonts w:ascii="仿宋_GB2312" w:hAnsi="仿宋_GB2312" w:cs="仿宋_GB2312" w:eastAsia="仿宋_GB2312"/>
                      <w:sz w:val="20"/>
                    </w:rPr>
                    <w:t>NVR</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海康威视</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DS-8016HW-ST</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监控硬盘</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希捷</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ST2000VX000</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3块</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视频分配器</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启耀</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QY-16G1V2F</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2台</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路由器</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思科</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CVR328W-k9-CN</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2台</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HDMI转VGA高清转换器</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全向麦</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USB摄像机</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会议室音响一套</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4只</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会议室话筒一套</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18只</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路由器</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设备相关辅材</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r>
          </w:tbl>
          <w:p>
            <w:pPr>
              <w:pStyle w:val="null3"/>
            </w:pPr>
            <w:r>
              <w:rPr>
                <w:rFonts w:ascii="仿宋_GB2312" w:hAnsi="仿宋_GB2312" w:cs="仿宋_GB2312" w:eastAsia="仿宋_GB2312"/>
                <w:b/>
              </w:rPr>
              <w:t>服务要求：</w:t>
            </w:r>
          </w:p>
          <w:p>
            <w:pPr>
              <w:pStyle w:val="null3"/>
            </w:pPr>
            <w:r>
              <w:rPr>
                <w:rFonts w:ascii="仿宋_GB2312" w:hAnsi="仿宋_GB2312" w:cs="仿宋_GB2312" w:eastAsia="仿宋_GB2312"/>
              </w:rPr>
              <w:t>1、提供7×24小时技术支持电话，并提供紧急运维服务。</w:t>
            </w:r>
          </w:p>
          <w:p>
            <w:pPr>
              <w:pStyle w:val="null3"/>
            </w:pPr>
            <w:r>
              <w:rPr>
                <w:rFonts w:ascii="仿宋_GB2312" w:hAnsi="仿宋_GB2312" w:cs="仿宋_GB2312" w:eastAsia="仿宋_GB2312"/>
              </w:rPr>
              <w:t>2、提供驻场人员，至少保障7×12小时现场值守保障（即需要2名人员进行轮换驻场保障），如驻场工程师无法提供采购方需要的技术支持服务，采购方有权要求更换驻场工程师。</w:t>
            </w:r>
          </w:p>
          <w:p>
            <w:pPr>
              <w:pStyle w:val="null3"/>
            </w:pPr>
            <w:r>
              <w:rPr>
                <w:rFonts w:ascii="仿宋_GB2312" w:hAnsi="仿宋_GB2312" w:cs="仿宋_GB2312" w:eastAsia="仿宋_GB2312"/>
              </w:rPr>
              <w:t>3、在节假日或重大活动等特殊时期，驻场人员应根据采购方需求进行值班或加班，提供24小时现场值守保障。</w:t>
            </w:r>
          </w:p>
          <w:p>
            <w:pPr>
              <w:pStyle w:val="null3"/>
            </w:pPr>
            <w:r>
              <w:rPr>
                <w:rFonts w:ascii="仿宋_GB2312" w:hAnsi="仿宋_GB2312" w:cs="仿宋_GB2312" w:eastAsia="仿宋_GB2312"/>
              </w:rPr>
              <w:t>4、凡设备发生质量问题或出现其他影响设备正常使用的故障，均由乙方负责免费提供检测维修、更换故障零部件直至整机，若需返厂处理，乙方承担相关费用，同时记录检修情况，并向采购方提供检修报告。</w:t>
            </w:r>
          </w:p>
          <w:p>
            <w:pPr>
              <w:pStyle w:val="null3"/>
            </w:pPr>
            <w:r>
              <w:rPr>
                <w:rFonts w:ascii="仿宋_GB2312" w:hAnsi="仿宋_GB2312" w:cs="仿宋_GB2312" w:eastAsia="仿宋_GB2312"/>
              </w:rPr>
              <w:t>5、乙方需配备必要的备品备件，凡发生驻场人员不能现场解决的质量问题或其他故障，2小时内派专业维修人员到达现场，排除故障的期限最长不得超过两个工作日，否则采购方有权指定第三方维修，维修费用由乙方承担。</w:t>
            </w:r>
          </w:p>
          <w:p>
            <w:pPr>
              <w:pStyle w:val="null3"/>
            </w:pPr>
            <w:r>
              <w:rPr>
                <w:rFonts w:ascii="仿宋_GB2312" w:hAnsi="仿宋_GB2312" w:cs="仿宋_GB2312" w:eastAsia="仿宋_GB2312"/>
              </w:rPr>
              <w:t>6、完成设备相应的网络调试维护工作。</w:t>
            </w:r>
          </w:p>
          <w:p>
            <w:pPr>
              <w:pStyle w:val="null3"/>
            </w:pPr>
            <w:r>
              <w:rPr>
                <w:rFonts w:ascii="仿宋_GB2312" w:hAnsi="仿宋_GB2312" w:cs="仿宋_GB2312" w:eastAsia="仿宋_GB2312"/>
              </w:rPr>
              <w:t>7、服务期结束前，对所供产品进行一次全面检测、保养和维护。</w:t>
            </w:r>
          </w:p>
          <w:p>
            <w:pPr>
              <w:pStyle w:val="null3"/>
              <w:jc w:val="both"/>
            </w:pPr>
            <w:r>
              <w:rPr>
                <w:rFonts w:ascii="仿宋_GB2312" w:hAnsi="仿宋_GB2312" w:cs="仿宋_GB2312" w:eastAsia="仿宋_GB2312"/>
                <w:sz w:val="21"/>
              </w:rPr>
              <w:t>8、若乙方公司被兼并或收购，兼并或收购公司有责任继续履行合同，对采购方提供服务。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1、本项目不接受联合体投标； 2、合同总价包含人员工资、故障检测费、备件采购费及其他相关费用，均由成交供应商支付。 3、合同总价一次性包死，不受市场价格变化因素的影响。</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服务期一年（2026年1月10日至2027年1月9日，需提前入场做好衔接）。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西安市交通信息中心指定地点。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（一）服务内容完成后先由乙方进行自检，自检合格后邀请甲方进行验收。甲方确认乙方的自检内容后，组织专家进行评审验收，验收时乙方应派员参加，共同对验收结果进行确认，并承担相关责任。 （二）乙方向甲方提交服务实施过程中的所有资料。以便甲方日后管理和维护。 （三）验收依据： 1.磋商文件、响应文件、澄清表（函）（如有）； 2.本合同及附件文本； 3.国家相应的标准、规范。 （四）双方拟定的其他条款。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2025年12月，服务商入场后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2026年财政拨付项目尾款预算并通过甲方服务质量阶段性考核后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2026年12月，财政拨付项目尾款预算并通过甲方服务质量阶段性考核后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违约责任依据《中华人民共和国民法典》、《中华人民共和国政府采购法》、《中华人民共和国政府采购法实施条例》等相关条款执行。 合同执行中发生争议的，当事人双方应协商解决。协商达不成一致时，可向甲方（采购人）所在地人民法院提起诉讼。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成交供应商在成交后需按照采购人要求提供一正一副纸质版磋商响应文件且应与电子版磋商响应文件保持一致。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提供有效的法人或者其他组织的营业执照等证明文件，自然人的身份证明；2.财务状况：提供上一年度的经审计的财务报表或本年度基本开户银行出具的资信证明；3.提供可充分满足履行合同所需设备和专业技术能力的证明材料或承诺；4.提供近六个月中任何一个月的缴纳增值税或企业所得税的凭证（银行出具的缴税凭证或税务机关出具的证明的复印件，并加盖本单位公章）或免税证明（加盖公章）；5.提供近六个月中任何一个月的社会保障资金缴纳记录（专用收据或社会保险缴纳清单）或免缴纳证明（加盖公章）；6.参加政府采购活动前3年内，在经营活动中没有重大违法记录的书面声明；7.不存在违反法律、法规的情况（提供承诺）。</w:t>
            </w:r>
          </w:p>
        </w:tc>
        <w:tc>
          <w:tcPr>
            <w:tcW w:type="dxa" w:w="1661"/>
          </w:tcPr>
          <w:p>
            <w:pPr>
              <w:pStyle w:val="null3"/>
            </w:pPr>
            <w:r>
              <w:rPr>
                <w:rFonts w:ascii="仿宋_GB2312" w:hAnsi="仿宋_GB2312" w:cs="仿宋_GB2312" w:eastAsia="仿宋_GB2312"/>
              </w:rPr>
              <w:t>响应文件封面 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供应商需在项目电子化交易系统中按要求上传相应证明文件并进行电子签章。提供上一年度的经审计的财务报表或本年度基本开户银行出具的资信证明。</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法定代表人（主要负责人）委托代理人参加磋商时，应提供法定代表人（主要负责人）委托授权书；法定代表人（主要负责人）亲自参加磋商时，应提供法定代表人（主要负责人）身份证明书。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供应商未被列入“信用中国”（www.creditchina.gov.cn）记录的“严重失信主体名单”和“重大税收违法失信主体”名单；未被列入“中国政府采购网”（www.ccgp.gov.cn）中的“政府采购严重违法失信行为记录名单”；</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供应商不得存在下列情形之一</w:t>
            </w:r>
          </w:p>
        </w:tc>
        <w:tc>
          <w:tcPr>
            <w:tcW w:type="dxa" w:w="3322"/>
          </w:tcPr>
          <w:p>
            <w:pPr>
              <w:pStyle w:val="null3"/>
            </w:pPr>
            <w:r>
              <w:rPr>
                <w:rFonts w:ascii="仿宋_GB2312" w:hAnsi="仿宋_GB2312" w:cs="仿宋_GB2312" w:eastAsia="仿宋_GB2312"/>
              </w:rPr>
              <w:t>3.1单位负责人为同一人或者存在直接控股、管理关系的不同供应商不得参加同一合同项下的政府采购活动；3.2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项目理解及工作思路</w:t>
            </w:r>
          </w:p>
        </w:tc>
        <w:tc>
          <w:tcPr>
            <w:tcW w:type="dxa" w:w="2492"/>
          </w:tcPr>
          <w:p>
            <w:pPr>
              <w:pStyle w:val="null3"/>
            </w:pPr>
            <w:r>
              <w:rPr>
                <w:rFonts w:ascii="仿宋_GB2312" w:hAnsi="仿宋_GB2312" w:cs="仿宋_GB2312" w:eastAsia="仿宋_GB2312"/>
              </w:rPr>
              <w:t>对本项目要求理解程度和针对本项目的工作思路和方向进行评审。 根据理解准确性、全面性、透彻性进行综合赋分。1、对项目理解全面详尽准确，工作思路和方向清晰明确，可实施性强得（4-6］分；2、对项目理解合理，工作思路和方向基本满足项目需求，得（2-4］分；3、对项目理解简单，工作思路和方向不清晰，适用性一般，得（0-2］分；4、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针对本项目提供的具体项目实施方案进行综合评审，包括但不限于以下内容：①日常巡检维护方案；②故障检测排查方案；③老化损坏设备维修更换方案；④活动会议保障方案。 注：以上4项内容为专门针对本项目编制，完全符合本项目实际情况，能够完全保障项目顺利实施的方案，每具有一项得6分，最多得24分。在此基础上，方案中存在缺陷的，每1项中每有1处扣1分，每项最多扣6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拟投入本项目的团队人员配备情况进行赋分。1、有详细的人员配置方案，针对本项目拟投入的工作人员配备的情况，提供有专门的项目负责人，团队人员具备相应的实施经验，组织结构合理且人员分工明确、职责清晰、任务具体得（10-15］分；2、有详细的人员配置方案，组织机构及工作安排基本完善、合理，岗位分工明确得（5-10］分；3、有详细的人员配置方案，组织机构及工作安排合理性差，岗位分工不明确，得（0-5］分；4、未提供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具有良好的服务能力，保证全年365天24小时提供紧急运行维护服务。（包括但不限于售后服务人员配备、响应时间、响应程度、解决问题能力、紧急故障处理预案等）进行综合评价。1、服务方案齐全合理、可操作性强得（7-10］分；2、服务方案基本满足项目需求得（3-7］分； 3、服务方案不完整或合理性低得（0-3］分。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可能出现的问题及突发事件，有具体可行的应急措施和解决方案，内容包括但不限于运维响应时间、定期巡查、应急解决方案、服务监督管理机制、服务承诺等。1、服务承诺内容详尽，切合实际，完全满足项目需求，得（6-9］分；2、服务承诺内容全面，针对性一般，基本可行，得（3-6］分；3、服务承诺内容简单，不切合实际，得（0-3］分；4、未提供的计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保密措施及承诺</w:t>
            </w:r>
          </w:p>
        </w:tc>
        <w:tc>
          <w:tcPr>
            <w:tcW w:type="dxa" w:w="2492"/>
          </w:tcPr>
          <w:p>
            <w:pPr>
              <w:pStyle w:val="null3"/>
            </w:pPr>
            <w:r>
              <w:rPr>
                <w:rFonts w:ascii="仿宋_GB2312" w:hAnsi="仿宋_GB2312" w:cs="仿宋_GB2312" w:eastAsia="仿宋_GB2312"/>
              </w:rPr>
              <w:t>供应商应严格遵守采购人有关保密规定，具有相关的安全保障措施以及保密制度等，承诺不得泄漏采购单位一切敏感信息等。1、承诺明确清晰，符合采购人规定，具有完善的安全保障以及保密制度，得（6-8］分。 2、承诺较为全面，基本符合采购人规定，具有安全保障以及保密制度，得（3-6］分。 3、承诺基本完整，安全保障以及保密制度内容简单，得（0-3］分。 4、未提供的不计分。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的重点，难点及可能出现的遗留问题提出整改意见及合理化建议。1、内容合理全面，可行性强，得（6-8］分；2、内容完整，基本可行计，得（3-6］分；3、内容不合理，针对性较差，得（0-3］分；4、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以来本项目类似业绩，响应文件中提供合同复印件。每份业绩得2分，满分10分。（注：需提供项目合同或协议的关键页并加盖公章，包括但不限于合同首尾页、项目内容页，签字盖章页，签订日期页，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满足磋商文件要求且投标价格最低的响应报价为评标基准价，其价格分为满分10分。其他供应商的价格分统一按照下列公式计算：投标报价得分=（评标基准价/投标报价）×价格权值×100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