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版本号：ZYJY-【2025】CS0747.1B120250904001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2025年服务器数据上云项目(二次)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ZYJY-【2025】CS0747.1B1</w:t>
      </w:r>
      <w:r>
        <w:br/>
      </w:r>
      <w:r>
        <w:br/>
      </w:r>
      <w:r>
        <w:br/>
      </w:r>
    </w:p>
    <w:p>
      <w:pPr>
        <w:pStyle w:val="null3"/>
        <w:jc w:val="center"/>
        <w:outlineLvl w:val="2"/>
      </w:pPr>
      <w:r>
        <w:rPr>
          <w:rFonts w:ascii="仿宋_GB2312" w:hAnsi="仿宋_GB2312" w:cs="仿宋_GB2312" w:eastAsia="仿宋_GB2312"/>
          <w:sz w:val="28"/>
          <w:b/>
        </w:rPr>
        <w:t>西安开放大学</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西安开放大学</w:t>
      </w:r>
      <w:r>
        <w:rPr>
          <w:rFonts w:ascii="仿宋_GB2312" w:hAnsi="仿宋_GB2312" w:cs="仿宋_GB2312" w:eastAsia="仿宋_GB2312"/>
        </w:rPr>
        <w:t>委托，拟对</w:t>
      </w:r>
      <w:r>
        <w:rPr>
          <w:rFonts w:ascii="仿宋_GB2312" w:hAnsi="仿宋_GB2312" w:cs="仿宋_GB2312" w:eastAsia="仿宋_GB2312"/>
        </w:rPr>
        <w:t>2025年服务器数据上云项目(二次)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ZYJY-【2025】CS0747.1B1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2025年服务器数据上云项目(二次)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西安开放大学2025年服务器数据上云项目，具体详见采购文件第三章。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7、无重大违法说明：参加政府采购活动前3年内，在经营活动中没有重大违法记录的书面声明；</w:t>
      </w:r>
    </w:p>
    <w:p>
      <w:pPr>
        <w:pStyle w:val="null3"/>
      </w:pPr>
      <w:r>
        <w:rPr>
          <w:rFonts w:ascii="仿宋_GB2312" w:hAnsi="仿宋_GB2312" w:cs="仿宋_GB2312" w:eastAsia="仿宋_GB2312"/>
        </w:rPr>
        <w:t>8、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9、控股关系承诺书：单位负责人为同一人或存在直接控股、管理关系的不同单位，不得参加同一合同项下的政府采购活动；</w:t>
      </w:r>
    </w:p>
    <w:p>
      <w:pPr>
        <w:pStyle w:val="null3"/>
      </w:pPr>
      <w:r>
        <w:rPr>
          <w:rFonts w:ascii="仿宋_GB2312" w:hAnsi="仿宋_GB2312" w:cs="仿宋_GB2312" w:eastAsia="仿宋_GB2312"/>
        </w:rPr>
        <w:t>10、非联合体承诺书：本项目不接受联合体投标。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西安市碑林区五味什字48号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029-87610025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陕西省西安市高新区科技二路兰基中心1003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 1.乙方在签订合同前须向甲方交纳合同金额5%的履约保证金。 2.乙方无正当理由不与甲方订立合同，或在签订合同时向甲方提出附加条件，或者不按照磋商文件要求提交履约保证金的，取消其成交资格。此外，乙方未在中标后10日内向甲方交纳履约保证金的，甲方有权解除合同。 3.项目服务期满后，且乙方无任何违约行为，乙方持《申请退回履约保证金的函》到甲方办理相关手续后，甲方30日内向乙方退回履约保证金。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达到限额标准的项目按照《国家发展改革委关于进一步放开建设项目专业服务价格的通知》（发改价格（2015）299号）文件的要求，结合市场实际情况，经甲、乙双方协商一致，以中标金额为基准，标准收取。2、支付方式：成交供应商应在领取通知书的同时，支付本项目代理服务费。收款账户如下： 收款单位：陕西知源集易招标代理有限公司 开户银行：西安银行股份有限公司西安曲江支行 银行账号：981011510000073005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西安开放大学</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联系人：郑凡、赵雪静</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地址：陕西省西安市高新区科技二路兰基中心1003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西安开放大学2025年服务器数据上云项目，本项目旨在提供综合性云服务平台及迁移、安全、网络一体化服务。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服务器数据上云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标的名称：服务器数据上云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FF"/>
              </w:rPr>
              <w:t xml:space="preserve">   一、项目概况</w:t>
            </w:r>
          </w:p>
          <w:p>
            <w:pPr>
              <w:pStyle w:val="null3"/>
              <w:ind w:firstLine="400"/>
              <w:jc w:val="both"/>
            </w:pPr>
            <w:r>
              <w:rPr>
                <w:rFonts w:ascii="仿宋_GB2312" w:hAnsi="仿宋_GB2312" w:cs="仿宋_GB2312" w:eastAsia="仿宋_GB2312"/>
                <w:sz w:val="20"/>
                <w:color w:val="0000FF"/>
              </w:rPr>
              <w:t>本项目旨在提供综合性云服务平台及迁移、安全、网络一体化服务。具体涵盖以下核心内容：</w:t>
            </w:r>
          </w:p>
          <w:p>
            <w:pPr>
              <w:pStyle w:val="null3"/>
              <w:ind w:firstLine="400"/>
              <w:jc w:val="both"/>
            </w:pPr>
            <w:r>
              <w:rPr>
                <w:rFonts w:ascii="仿宋_GB2312" w:hAnsi="仿宋_GB2312" w:cs="仿宋_GB2312" w:eastAsia="仿宋_GB2312"/>
                <w:sz w:val="20"/>
                <w:color w:val="0000FF"/>
              </w:rPr>
              <w:t>1.提供70台标准配置云虚拟机(12vCPU/24GB内存/500GB硬盘)用于Web服务器、办公自动化等常规应用，同时提供5台高性能云虚拟机(≥16vCPU/32GB内存/500GB硬盘)以满足数据库、开发测试等高负载业务需求。</w:t>
            </w:r>
          </w:p>
          <w:p>
            <w:pPr>
              <w:pStyle w:val="null3"/>
              <w:ind w:firstLine="400"/>
              <w:jc w:val="both"/>
            </w:pPr>
            <w:r>
              <w:rPr>
                <w:rFonts w:ascii="仿宋_GB2312" w:hAnsi="仿宋_GB2312" w:cs="仿宋_GB2312" w:eastAsia="仿宋_GB2312"/>
                <w:sz w:val="20"/>
                <w:color w:val="0000FF"/>
              </w:rPr>
              <w:t>2.根据实际使用需要提供全流程迁移保障服务。包括：系统资源评估(CPU/内存/存储)、全量数据备份与容灾保护、应用迁移、OS/中间件安装配置、依赖项部署、功能与性能测试验证、数据恢复及一致性校验。</w:t>
            </w:r>
          </w:p>
          <w:p>
            <w:pPr>
              <w:pStyle w:val="null3"/>
              <w:ind w:firstLine="400"/>
              <w:jc w:val="both"/>
            </w:pPr>
            <w:r>
              <w:rPr>
                <w:rFonts w:ascii="仿宋_GB2312" w:hAnsi="仿宋_GB2312" w:cs="仿宋_GB2312" w:eastAsia="仿宋_GB2312"/>
                <w:sz w:val="20"/>
                <w:color w:val="0000FF"/>
              </w:rPr>
              <w:t>3.提供包括云原生安全架构、高级威胁防护以及持续更新维护在内的安全服务。</w:t>
            </w:r>
          </w:p>
          <w:p>
            <w:pPr>
              <w:pStyle w:val="null3"/>
              <w:ind w:firstLine="400"/>
              <w:jc w:val="both"/>
            </w:pPr>
            <w:r>
              <w:rPr>
                <w:rFonts w:ascii="仿宋_GB2312" w:hAnsi="仿宋_GB2312" w:cs="仿宋_GB2312" w:eastAsia="仿宋_GB2312"/>
                <w:sz w:val="20"/>
                <w:color w:val="0000FF"/>
              </w:rPr>
              <w:t>4.提供≥500M带宽，不限流量与上下行，保障全球访问流畅性的CDN加速服务；≥700M独享带宽，万兆上联，畅通率≥99.9%的基础网络服务；≥80个基于BGP线路IPv4 地址 + ≥27个IPv6 地址的IP资源。根据客户提供漏洞扫描、修复以及基于云的Web全栈防护功能，可根据实际业务需求进行安全策略的修改及备份。</w:t>
            </w:r>
          </w:p>
          <w:p>
            <w:pPr>
              <w:pStyle w:val="null3"/>
              <w:ind w:firstLine="400"/>
              <w:jc w:val="both"/>
            </w:pPr>
            <w:r>
              <w:rPr>
                <w:rFonts w:ascii="仿宋_GB2312" w:hAnsi="仿宋_GB2312" w:cs="仿宋_GB2312" w:eastAsia="仿宋_GB2312"/>
                <w:sz w:val="20"/>
                <w:color w:val="0000FF"/>
              </w:rPr>
              <w:t>5.协助注册并购买一个一级网络域名，购买一个3域名通配符型SSL证书。</w:t>
            </w:r>
          </w:p>
          <w:p>
            <w:pPr>
              <w:pStyle w:val="null3"/>
              <w:ind w:firstLine="400"/>
              <w:jc w:val="both"/>
            </w:pPr>
            <w:r>
              <w:rPr>
                <w:rFonts w:ascii="仿宋_GB2312" w:hAnsi="仿宋_GB2312" w:cs="仿宋_GB2312" w:eastAsia="仿宋_GB2312"/>
                <w:sz w:val="20"/>
                <w:color w:val="0000FF"/>
              </w:rPr>
              <w:t>6.提供便捷、高效率的专属服务。包括：施工效率高且施工期间不中断服务；提供7*24小时的热线服务，具有庞大的客户经理团队以便于提供专属的属地化服务；具有相关业务资质可保证基础资源的稳定性。完工期为自合同签订之日起10日，服务期为自完工之日起一年。此项目需严格满足技术参数与服务响应要求，实现安全运维的全生命周期管理。</w:t>
            </w:r>
          </w:p>
          <w:p>
            <w:pPr>
              <w:pStyle w:val="null3"/>
              <w:ind w:firstLine="400"/>
              <w:jc w:val="both"/>
            </w:pPr>
            <w:r>
              <w:rPr>
                <w:rFonts w:ascii="仿宋_GB2312" w:hAnsi="仿宋_GB2312" w:cs="仿宋_GB2312" w:eastAsia="仿宋_GB2312"/>
                <w:sz w:val="20"/>
                <w:b/>
                <w:color w:val="0000FF"/>
              </w:rPr>
              <w:t>二、服务内容</w:t>
            </w:r>
            <w:r>
              <w:rPr>
                <w:rFonts w:ascii="仿宋_GB2312" w:hAnsi="仿宋_GB2312" w:cs="仿宋_GB2312" w:eastAsia="仿宋_GB2312"/>
                <w:sz w:val="20"/>
                <w:b/>
                <w:color w:val="0000FF"/>
              </w:rPr>
              <w:t>(包括工作区域、工作内容等)</w:t>
            </w:r>
          </w:p>
          <w:p>
            <w:pPr>
              <w:pStyle w:val="null3"/>
              <w:ind w:firstLine="400"/>
              <w:jc w:val="both"/>
            </w:pPr>
            <w:r>
              <w:rPr>
                <w:rFonts w:ascii="仿宋_GB2312" w:hAnsi="仿宋_GB2312" w:cs="仿宋_GB2312" w:eastAsia="仿宋_GB2312"/>
                <w:sz w:val="20"/>
                <w:color w:val="0000FF"/>
              </w:rPr>
              <w:t>1.云平台服务</w:t>
            </w:r>
          </w:p>
          <w:p>
            <w:pPr>
              <w:pStyle w:val="null3"/>
              <w:ind w:firstLine="400"/>
              <w:jc w:val="both"/>
            </w:pPr>
            <w:r>
              <w:rPr>
                <w:rFonts w:ascii="仿宋_GB2312" w:hAnsi="仿宋_GB2312" w:cs="仿宋_GB2312" w:eastAsia="仿宋_GB2312"/>
                <w:sz w:val="20"/>
                <w:color w:val="0000FF"/>
              </w:rPr>
              <w:t>标准配置虚拟机：配置适合大多数标准应用，如</w:t>
            </w:r>
            <w:r>
              <w:rPr>
                <w:rFonts w:ascii="仿宋_GB2312" w:hAnsi="仿宋_GB2312" w:cs="仿宋_GB2312" w:eastAsia="仿宋_GB2312"/>
                <w:sz w:val="20"/>
                <w:color w:val="0000FF"/>
              </w:rPr>
              <w:t>Web服务器、办公自动化等应用，数量满足平台需求。</w:t>
            </w:r>
          </w:p>
          <w:p>
            <w:pPr>
              <w:pStyle w:val="null3"/>
              <w:ind w:firstLine="400"/>
              <w:jc w:val="both"/>
            </w:pPr>
            <w:r>
              <w:rPr>
                <w:rFonts w:ascii="仿宋_GB2312" w:hAnsi="仿宋_GB2312" w:cs="仿宋_GB2312" w:eastAsia="仿宋_GB2312"/>
                <w:sz w:val="20"/>
                <w:color w:val="0000FF"/>
              </w:rPr>
              <w:t>高性能配置虚拟机：对于需要更高计算能力和内存的应用场景：如数据库服务器、开发和测试环境等，配置相应提高标准，数量满足平台需求。</w:t>
            </w:r>
          </w:p>
          <w:p>
            <w:pPr>
              <w:pStyle w:val="null3"/>
              <w:ind w:firstLine="400"/>
              <w:jc w:val="both"/>
            </w:pPr>
            <w:r>
              <w:rPr>
                <w:rFonts w:ascii="仿宋_GB2312" w:hAnsi="仿宋_GB2312" w:cs="仿宋_GB2312" w:eastAsia="仿宋_GB2312"/>
                <w:sz w:val="20"/>
                <w:color w:val="0000FF"/>
              </w:rPr>
              <w:t>云平台</w:t>
            </w:r>
            <w:r>
              <w:rPr>
                <w:rFonts w:ascii="仿宋_GB2312" w:hAnsi="仿宋_GB2312" w:cs="仿宋_GB2312" w:eastAsia="仿宋_GB2312"/>
                <w:sz w:val="20"/>
                <w:color w:val="0000FF"/>
              </w:rPr>
              <w:t>+云业务的服务模式：满足国有信息化的标准，全国算力网络覆盖+5G云网融合，全栈自研+DeepSeek大模型优化。</w:t>
            </w:r>
          </w:p>
          <w:p>
            <w:pPr>
              <w:pStyle w:val="null3"/>
              <w:ind w:firstLine="400"/>
              <w:jc w:val="both"/>
            </w:pPr>
            <w:r>
              <w:rPr>
                <w:rFonts w:ascii="仿宋_GB2312" w:hAnsi="仿宋_GB2312" w:cs="仿宋_GB2312" w:eastAsia="仿宋_GB2312"/>
                <w:sz w:val="20"/>
                <w:color w:val="0000FF"/>
              </w:rPr>
              <w:t>2.平台迁移服务</w:t>
            </w:r>
          </w:p>
          <w:p>
            <w:pPr>
              <w:pStyle w:val="null3"/>
              <w:ind w:firstLine="400"/>
              <w:jc w:val="both"/>
            </w:pPr>
            <w:r>
              <w:rPr>
                <w:rFonts w:ascii="仿宋_GB2312" w:hAnsi="仿宋_GB2312" w:cs="仿宋_GB2312" w:eastAsia="仿宋_GB2312"/>
                <w:sz w:val="20"/>
                <w:color w:val="0000FF"/>
              </w:rPr>
              <w:t>评估现有系统的资源需求，包括</w:t>
            </w:r>
            <w:r>
              <w:rPr>
                <w:rFonts w:ascii="仿宋_GB2312" w:hAnsi="仿宋_GB2312" w:cs="仿宋_GB2312" w:eastAsia="仿宋_GB2312"/>
                <w:sz w:val="20"/>
                <w:color w:val="0000FF"/>
              </w:rPr>
              <w:t>CPU、内存、磁盘空间等。在迁移前，对现有系统的数据进行全面备份，以防数据丢失或损坏。将现有系统的应用程序按采购人的要求迁移到指定的计算资源上，安装和配置新的操作系统和中间件，将应用程序的源代码或安装包部署到新的服务器上，配置应用程序的数据库连接、文件存储等外部依赖项。</w:t>
            </w:r>
          </w:p>
          <w:p>
            <w:pPr>
              <w:pStyle w:val="null3"/>
              <w:ind w:firstLine="400"/>
              <w:jc w:val="both"/>
            </w:pPr>
            <w:r>
              <w:rPr>
                <w:rFonts w:ascii="仿宋_GB2312" w:hAnsi="仿宋_GB2312" w:cs="仿宋_GB2312" w:eastAsia="仿宋_GB2312"/>
                <w:sz w:val="20"/>
                <w:color w:val="0000FF"/>
              </w:rPr>
              <w:t>测试应用程序的功能和性能，确保迁移后的应用程序能够正常运行。按照采购人的要求将备份的数据恢复到指定的计算资源上，并确保数据的完整性和一致性。在完成所有迁移和测试工作后，将新的系统正式投入使用，并关闭旧的系统。</w:t>
            </w:r>
          </w:p>
          <w:p>
            <w:pPr>
              <w:pStyle w:val="null3"/>
              <w:ind w:firstLine="400"/>
              <w:jc w:val="both"/>
            </w:pPr>
            <w:r>
              <w:rPr>
                <w:rFonts w:ascii="仿宋_GB2312" w:hAnsi="仿宋_GB2312" w:cs="仿宋_GB2312" w:eastAsia="仿宋_GB2312"/>
                <w:sz w:val="20"/>
                <w:color w:val="0000FF"/>
              </w:rPr>
              <w:t>3.安全服务</w:t>
            </w:r>
          </w:p>
          <w:p>
            <w:pPr>
              <w:pStyle w:val="null3"/>
              <w:ind w:firstLine="400"/>
              <w:jc w:val="both"/>
            </w:pPr>
            <w:r>
              <w:rPr>
                <w:rFonts w:ascii="仿宋_GB2312" w:hAnsi="仿宋_GB2312" w:cs="仿宋_GB2312" w:eastAsia="仿宋_GB2312"/>
                <w:sz w:val="20"/>
                <w:color w:val="0000FF"/>
              </w:rPr>
              <w:t>根据采购人购置带宽提供下一代防火墙，</w:t>
            </w:r>
            <w:r>
              <w:rPr>
                <w:rFonts w:ascii="仿宋_GB2312" w:hAnsi="仿宋_GB2312" w:cs="仿宋_GB2312" w:eastAsia="仿宋_GB2312"/>
                <w:sz w:val="20"/>
                <w:color w:val="0000FF"/>
              </w:rPr>
              <w:t>web全站防护，态势感知，云堡垒机等安全防护系统，提供病毒防御，文件篡改监控，应用防护，终端安全防护、欺诈防御等业务系统安全防护应用。提供其他用于二级等保测评相关的网络安全服务。</w:t>
            </w:r>
          </w:p>
          <w:p>
            <w:pPr>
              <w:pStyle w:val="null3"/>
              <w:ind w:firstLine="400"/>
              <w:jc w:val="both"/>
            </w:pPr>
            <w:r>
              <w:rPr>
                <w:rFonts w:ascii="仿宋_GB2312" w:hAnsi="仿宋_GB2312" w:cs="仿宋_GB2312" w:eastAsia="仿宋_GB2312"/>
                <w:sz w:val="20"/>
                <w:color w:val="0000FF"/>
              </w:rPr>
              <w:t>云原生安全架构：利用云平台的优势，构建云原生安全架构，确保业务系统在云环境中的整体安全。</w:t>
            </w:r>
          </w:p>
          <w:p>
            <w:pPr>
              <w:pStyle w:val="null3"/>
              <w:ind w:firstLine="400"/>
              <w:jc w:val="both"/>
            </w:pPr>
            <w:r>
              <w:rPr>
                <w:rFonts w:ascii="仿宋_GB2312" w:hAnsi="仿宋_GB2312" w:cs="仿宋_GB2312" w:eastAsia="仿宋_GB2312"/>
                <w:sz w:val="20"/>
                <w:color w:val="0000FF"/>
              </w:rPr>
              <w:t>高级威胁防护：提供先进的安全技术，如机器学习、大数据分析等，以检测和应对复杂的网络威胁。</w:t>
            </w:r>
          </w:p>
          <w:p>
            <w:pPr>
              <w:pStyle w:val="null3"/>
              <w:ind w:firstLine="400"/>
              <w:jc w:val="both"/>
            </w:pPr>
            <w:r>
              <w:rPr>
                <w:rFonts w:ascii="仿宋_GB2312" w:hAnsi="仿宋_GB2312" w:cs="仿宋_GB2312" w:eastAsia="仿宋_GB2312"/>
                <w:sz w:val="20"/>
                <w:color w:val="0000FF"/>
              </w:rPr>
              <w:t>持续更新：提供持续的安全更新和维护，以应对新的安全威胁和漏洞，确保安全服务的最新性和有效性。</w:t>
            </w:r>
          </w:p>
          <w:p>
            <w:pPr>
              <w:pStyle w:val="null3"/>
              <w:ind w:firstLine="400"/>
              <w:jc w:val="both"/>
            </w:pPr>
            <w:r>
              <w:rPr>
                <w:rFonts w:ascii="仿宋_GB2312" w:hAnsi="仿宋_GB2312" w:cs="仿宋_GB2312" w:eastAsia="仿宋_GB2312"/>
                <w:sz w:val="20"/>
                <w:color w:val="0000FF"/>
              </w:rPr>
              <w:t>4.网络服务</w:t>
            </w:r>
          </w:p>
          <w:p>
            <w:pPr>
              <w:pStyle w:val="null3"/>
              <w:ind w:firstLine="400"/>
              <w:jc w:val="both"/>
            </w:pPr>
            <w:r>
              <w:rPr>
                <w:rFonts w:ascii="仿宋_GB2312" w:hAnsi="仿宋_GB2312" w:cs="仿宋_GB2312" w:eastAsia="仿宋_GB2312"/>
                <w:sz w:val="20"/>
                <w:color w:val="0000FF"/>
              </w:rPr>
              <w:t>CDN加速服务：提供不低于500Mbps的独享CDN加速带宽，且该服务不限流量，不限上下行，确保用户无论何时何地都能享受到流畅的网络访问体验。另外，每年给予采购人不少于3条的免费带宽升级服务。</w:t>
            </w:r>
          </w:p>
          <w:p>
            <w:pPr>
              <w:pStyle w:val="null3"/>
              <w:ind w:firstLine="400"/>
              <w:jc w:val="both"/>
            </w:pPr>
            <w:r>
              <w:rPr>
                <w:rFonts w:ascii="仿宋_GB2312" w:hAnsi="仿宋_GB2312" w:cs="仿宋_GB2312" w:eastAsia="仿宋_GB2312"/>
                <w:sz w:val="20"/>
                <w:color w:val="0000FF"/>
              </w:rPr>
              <w:t>网络带宽与连接性：提供不低于</w:t>
            </w:r>
            <w:r>
              <w:rPr>
                <w:rFonts w:ascii="仿宋_GB2312" w:hAnsi="仿宋_GB2312" w:cs="仿宋_GB2312" w:eastAsia="仿宋_GB2312"/>
                <w:sz w:val="20"/>
                <w:color w:val="0000FF"/>
              </w:rPr>
              <w:t>700Mbps的独享带宽，上联万兆网络，确保数据传输的高效性和稳定性。网络畅通率达到99.9%,提供可靠的网络连接服务。</w:t>
            </w:r>
          </w:p>
          <w:p>
            <w:pPr>
              <w:pStyle w:val="null3"/>
              <w:ind w:firstLine="400"/>
              <w:jc w:val="both"/>
            </w:pPr>
            <w:r>
              <w:rPr>
                <w:rFonts w:ascii="仿宋_GB2312" w:hAnsi="仿宋_GB2312" w:cs="仿宋_GB2312" w:eastAsia="仿宋_GB2312"/>
                <w:sz w:val="20"/>
                <w:color w:val="0000FF"/>
              </w:rPr>
              <w:t>IP地址分配：提供足够的IPv4 地址和IPv6 地址，确保在云平台上拥有足够的IP 资源，以支持其各种应用场景。</w:t>
            </w:r>
          </w:p>
          <w:p>
            <w:pPr>
              <w:pStyle w:val="null3"/>
              <w:ind w:firstLine="402"/>
              <w:jc w:val="both"/>
            </w:pPr>
            <w:r>
              <w:rPr>
                <w:rFonts w:ascii="仿宋_GB2312" w:hAnsi="仿宋_GB2312" w:cs="仿宋_GB2312" w:eastAsia="仿宋_GB2312"/>
                <w:sz w:val="20"/>
                <w:b/>
                <w:color w:val="0000FF"/>
              </w:rPr>
              <w:t>三、技术要求</w:t>
            </w:r>
          </w:p>
          <w:p>
            <w:pPr>
              <w:pStyle w:val="null3"/>
              <w:ind w:firstLine="400"/>
              <w:jc w:val="both"/>
            </w:pPr>
            <w:r>
              <w:rPr>
                <w:rFonts w:ascii="仿宋_GB2312" w:hAnsi="仿宋_GB2312" w:cs="仿宋_GB2312" w:eastAsia="仿宋_GB2312"/>
                <w:sz w:val="20"/>
                <w:color w:val="0000FF"/>
              </w:rPr>
              <w:t>1.标准虚拟机配置：CPU≥12vCPU,内存≥24GB RAM,硬盘≥500G,标准虚拟机数量≥70台。高性能虚拟机配置：CPU≥16vCPU,内存≥32GB RAM,硬盘≥500G高性能虚拟机数量≥5台。</w:t>
            </w:r>
          </w:p>
          <w:p>
            <w:pPr>
              <w:pStyle w:val="null3"/>
              <w:ind w:firstLine="400"/>
              <w:jc w:val="both"/>
            </w:pPr>
            <w:r>
              <w:rPr>
                <w:rFonts w:ascii="仿宋_GB2312" w:hAnsi="仿宋_GB2312" w:cs="仿宋_GB2312" w:eastAsia="仿宋_GB2312"/>
                <w:sz w:val="20"/>
                <w:color w:val="0000FF"/>
              </w:rPr>
              <w:t>2.选择合适的备份工具，如数据库备份软件、文件同步工具等。制定备份策略，包括备份频率、备份周期、备份存储位置等。</w:t>
            </w:r>
          </w:p>
          <w:p>
            <w:pPr>
              <w:pStyle w:val="null3"/>
              <w:ind w:firstLine="400"/>
              <w:jc w:val="both"/>
            </w:pPr>
            <w:r>
              <w:rPr>
                <w:rFonts w:ascii="仿宋_GB2312" w:hAnsi="仿宋_GB2312" w:cs="仿宋_GB2312" w:eastAsia="仿宋_GB2312"/>
                <w:sz w:val="20"/>
                <w:color w:val="0000FF"/>
              </w:rPr>
              <w:t>3.CDN加速服务提供不低于500Mbps的CDN加速带宽，且该服务不限流量，不限上下行。</w:t>
            </w:r>
          </w:p>
          <w:p>
            <w:pPr>
              <w:pStyle w:val="null3"/>
              <w:ind w:firstLine="400"/>
              <w:jc w:val="both"/>
            </w:pPr>
            <w:r>
              <w:rPr>
                <w:rFonts w:ascii="仿宋_GB2312" w:hAnsi="仿宋_GB2312" w:cs="仿宋_GB2312" w:eastAsia="仿宋_GB2312"/>
                <w:sz w:val="20"/>
                <w:color w:val="0000FF"/>
              </w:rPr>
              <w:t>4.网络带宽提供不低于700Mbps的独享带宽。</w:t>
            </w:r>
          </w:p>
          <w:p>
            <w:pPr>
              <w:pStyle w:val="null3"/>
              <w:ind w:firstLine="400"/>
              <w:jc w:val="both"/>
            </w:pPr>
            <w:r>
              <w:rPr>
                <w:rFonts w:ascii="仿宋_GB2312" w:hAnsi="仿宋_GB2312" w:cs="仿宋_GB2312" w:eastAsia="仿宋_GB2312"/>
                <w:sz w:val="20"/>
                <w:color w:val="0000FF"/>
              </w:rPr>
              <w:t>5.IP地址提供不少于80个基于BGP线路的IPv4 地址和不少于27个IPv6 地址。</w:t>
            </w:r>
          </w:p>
          <w:p>
            <w:pPr>
              <w:pStyle w:val="null3"/>
              <w:ind w:firstLine="400"/>
              <w:jc w:val="both"/>
            </w:pPr>
            <w:r>
              <w:rPr>
                <w:rFonts w:ascii="仿宋_GB2312" w:hAnsi="仿宋_GB2312" w:cs="仿宋_GB2312" w:eastAsia="仿宋_GB2312"/>
                <w:sz w:val="20"/>
                <w:color w:val="0000FF"/>
              </w:rPr>
              <w:t>6.协助注册并购买一个一级网络域名，购买一个3域名通配符型SSL,每个服务期限1年。</w:t>
            </w:r>
          </w:p>
          <w:p>
            <w:pPr>
              <w:pStyle w:val="null3"/>
              <w:ind w:firstLine="402"/>
              <w:jc w:val="both"/>
            </w:pPr>
            <w:r>
              <w:rPr>
                <w:rFonts w:ascii="仿宋_GB2312" w:hAnsi="仿宋_GB2312" w:cs="仿宋_GB2312" w:eastAsia="仿宋_GB2312"/>
                <w:sz w:val="20"/>
                <w:b/>
                <w:color w:val="0000FF"/>
              </w:rPr>
              <w:t>四、服务要求</w:t>
            </w:r>
          </w:p>
          <w:p>
            <w:pPr>
              <w:pStyle w:val="null3"/>
              <w:ind w:firstLine="400"/>
              <w:jc w:val="both"/>
            </w:pPr>
            <w:r>
              <w:rPr>
                <w:rFonts w:ascii="仿宋_GB2312" w:hAnsi="仿宋_GB2312" w:cs="仿宋_GB2312" w:eastAsia="仿宋_GB2312"/>
                <w:sz w:val="20"/>
                <w:color w:val="0000FF"/>
              </w:rPr>
              <w:t>1.人员配置合理，专人负责对接，保证服务响应及时，接到通知后半小时响应，2小时内处理完成，需要上门解决时，能够在24小时内到达现场进行协调解决。提供7*24小时的热线服务，具有庞大的客户经理团队以便于提供专属的属地化服务。在重保期间提供临时性安全保障。</w:t>
            </w:r>
          </w:p>
          <w:p>
            <w:pPr>
              <w:pStyle w:val="null3"/>
              <w:ind w:firstLine="400"/>
              <w:jc w:val="both"/>
            </w:pPr>
            <w:r>
              <w:rPr>
                <w:rFonts w:ascii="仿宋_GB2312" w:hAnsi="仿宋_GB2312" w:cs="仿宋_GB2312" w:eastAsia="仿宋_GB2312"/>
                <w:sz w:val="20"/>
                <w:color w:val="0000FF"/>
              </w:rPr>
              <w:t>2.做好设备使用及维护的培训工作。</w:t>
            </w:r>
          </w:p>
          <w:p>
            <w:pPr>
              <w:pStyle w:val="null3"/>
              <w:ind w:firstLine="402"/>
              <w:jc w:val="both"/>
            </w:pPr>
            <w:r>
              <w:rPr>
                <w:rFonts w:ascii="仿宋_GB2312" w:hAnsi="仿宋_GB2312" w:cs="仿宋_GB2312" w:eastAsia="仿宋_GB2312"/>
                <w:sz w:val="20"/>
                <w:b/>
                <w:color w:val="0000FF"/>
              </w:rPr>
              <w:t>五、商务要求</w:t>
            </w:r>
          </w:p>
          <w:p>
            <w:pPr>
              <w:pStyle w:val="null3"/>
              <w:ind w:firstLine="400"/>
              <w:jc w:val="both"/>
            </w:pPr>
            <w:r>
              <w:rPr>
                <w:rFonts w:ascii="仿宋_GB2312" w:hAnsi="仿宋_GB2312" w:cs="仿宋_GB2312" w:eastAsia="仿宋_GB2312"/>
                <w:sz w:val="20"/>
                <w:color w:val="0000FF"/>
              </w:rPr>
              <w:t>1.服务期限：</w:t>
            </w:r>
            <w:r>
              <w:rPr>
                <w:rFonts w:ascii="仿宋_GB2312" w:hAnsi="仿宋_GB2312" w:cs="仿宋_GB2312" w:eastAsia="仿宋_GB2312"/>
                <w:sz w:val="20"/>
                <w:color w:val="0000FF"/>
              </w:rPr>
              <w:t>自完工之日起至</w:t>
            </w:r>
            <w:r>
              <w:rPr>
                <w:rFonts w:ascii="仿宋_GB2312" w:hAnsi="仿宋_GB2312" w:cs="仿宋_GB2312" w:eastAsia="仿宋_GB2312"/>
                <w:sz w:val="20"/>
                <w:color w:val="0000FF"/>
              </w:rPr>
              <w:t>2026年7月31日</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2.完工期：自合同签订之日起10日。</w:t>
            </w:r>
          </w:p>
          <w:p>
            <w:pPr>
              <w:pStyle w:val="null3"/>
              <w:ind w:firstLine="400"/>
              <w:jc w:val="both"/>
            </w:pPr>
            <w:r>
              <w:rPr>
                <w:rFonts w:ascii="仿宋_GB2312" w:hAnsi="仿宋_GB2312" w:cs="仿宋_GB2312" w:eastAsia="仿宋_GB2312"/>
                <w:sz w:val="20"/>
                <w:color w:val="0000FF"/>
              </w:rPr>
              <w:t>3.付款方式：</w:t>
            </w:r>
          </w:p>
          <w:p>
            <w:pPr>
              <w:pStyle w:val="null3"/>
              <w:ind w:firstLine="400"/>
              <w:jc w:val="both"/>
            </w:pPr>
            <w:r>
              <w:rPr>
                <w:rFonts w:ascii="仿宋_GB2312" w:hAnsi="仿宋_GB2312" w:cs="仿宋_GB2312" w:eastAsia="仿宋_GB2312"/>
                <w:sz w:val="20"/>
                <w:color w:val="0000FF"/>
              </w:rPr>
              <w:t>项目完成并经甲方验收合格后并出具等额发票，达到付款条件起</w:t>
            </w:r>
            <w:r>
              <w:rPr>
                <w:rFonts w:ascii="仿宋_GB2312" w:hAnsi="仿宋_GB2312" w:cs="仿宋_GB2312" w:eastAsia="仿宋_GB2312"/>
                <w:sz w:val="20"/>
                <w:color w:val="0000FF"/>
              </w:rPr>
              <w:t>30日内，支付合同总金额的100.00%。</w:t>
            </w:r>
          </w:p>
          <w:p>
            <w:pPr>
              <w:pStyle w:val="null3"/>
              <w:ind w:firstLine="400"/>
              <w:jc w:val="both"/>
            </w:pPr>
            <w:r>
              <w:rPr>
                <w:rFonts w:ascii="仿宋_GB2312" w:hAnsi="仿宋_GB2312" w:cs="仿宋_GB2312" w:eastAsia="仿宋_GB2312"/>
                <w:sz w:val="20"/>
                <w:color w:val="0000FF"/>
              </w:rPr>
              <w:t>4.履约保证金</w:t>
            </w:r>
          </w:p>
          <w:p>
            <w:pPr>
              <w:pStyle w:val="null3"/>
              <w:ind w:firstLine="400"/>
              <w:jc w:val="both"/>
            </w:pPr>
            <w:r>
              <w:rPr>
                <w:rFonts w:ascii="仿宋_GB2312" w:hAnsi="仿宋_GB2312" w:cs="仿宋_GB2312" w:eastAsia="仿宋_GB2312"/>
                <w:sz w:val="20"/>
                <w:color w:val="0000FF"/>
              </w:rPr>
              <w:t>4.1</w:t>
            </w:r>
            <w:r>
              <w:rPr>
                <w:rFonts w:ascii="仿宋_GB2312" w:hAnsi="仿宋_GB2312" w:cs="仿宋_GB2312" w:eastAsia="仿宋_GB2312"/>
                <w:sz w:val="20"/>
                <w:color w:val="0000FF"/>
              </w:rPr>
              <w:t>.</w:t>
            </w:r>
            <w:r>
              <w:rPr>
                <w:rFonts w:ascii="仿宋_GB2312" w:hAnsi="仿宋_GB2312" w:cs="仿宋_GB2312" w:eastAsia="仿宋_GB2312"/>
                <w:sz w:val="20"/>
                <w:color w:val="0000FF"/>
              </w:rPr>
              <w:t>乙方在签订合同前须向甲方交纳合同金额</w:t>
            </w:r>
            <w:r>
              <w:rPr>
                <w:rFonts w:ascii="仿宋_GB2312" w:hAnsi="仿宋_GB2312" w:cs="仿宋_GB2312" w:eastAsia="仿宋_GB2312"/>
                <w:sz w:val="20"/>
                <w:color w:val="0000FF"/>
              </w:rPr>
              <w:t>5%的履约保证金。</w:t>
            </w:r>
          </w:p>
          <w:p>
            <w:pPr>
              <w:pStyle w:val="null3"/>
              <w:ind w:firstLine="400"/>
              <w:jc w:val="both"/>
            </w:pPr>
            <w:r>
              <w:rPr>
                <w:rFonts w:ascii="仿宋_GB2312" w:hAnsi="仿宋_GB2312" w:cs="仿宋_GB2312" w:eastAsia="仿宋_GB2312"/>
                <w:sz w:val="20"/>
                <w:color w:val="0000FF"/>
              </w:rPr>
              <w:t>4.2</w:t>
            </w:r>
            <w:r>
              <w:rPr>
                <w:rFonts w:ascii="仿宋_GB2312" w:hAnsi="仿宋_GB2312" w:cs="仿宋_GB2312" w:eastAsia="仿宋_GB2312"/>
                <w:sz w:val="20"/>
                <w:color w:val="0000FF"/>
              </w:rPr>
              <w:t>.</w:t>
            </w:r>
            <w:r>
              <w:rPr>
                <w:rFonts w:ascii="仿宋_GB2312" w:hAnsi="仿宋_GB2312" w:cs="仿宋_GB2312" w:eastAsia="仿宋_GB2312"/>
                <w:sz w:val="20"/>
                <w:color w:val="0000FF"/>
              </w:rPr>
              <w:t>乙方无正当理由不与甲方订立合同，或在签订合同时向甲方提出附加条件，或者不按照磋商文件要求提交履约保证金的，取消其成交资格。此外，乙方未在中标后</w:t>
            </w:r>
            <w:r>
              <w:rPr>
                <w:rFonts w:ascii="仿宋_GB2312" w:hAnsi="仿宋_GB2312" w:cs="仿宋_GB2312" w:eastAsia="仿宋_GB2312"/>
                <w:sz w:val="20"/>
                <w:color w:val="0000FF"/>
              </w:rPr>
              <w:t>10日内向甲方交纳履约保证金的，甲方有权解除合同。</w:t>
            </w:r>
          </w:p>
          <w:p>
            <w:pPr>
              <w:pStyle w:val="null3"/>
              <w:jc w:val="both"/>
            </w:pPr>
            <w:r>
              <w:rPr>
                <w:rFonts w:ascii="仿宋_GB2312" w:hAnsi="仿宋_GB2312" w:cs="仿宋_GB2312" w:eastAsia="仿宋_GB2312"/>
                <w:sz w:val="20"/>
                <w:color w:val="0000FF"/>
              </w:rPr>
              <w:t xml:space="preserve">   4.</w:t>
            </w:r>
            <w:r>
              <w:rPr>
                <w:rFonts w:ascii="仿宋_GB2312" w:hAnsi="仿宋_GB2312" w:cs="仿宋_GB2312" w:eastAsia="仿宋_GB2312"/>
                <w:sz w:val="20"/>
                <w:color w:val="0000FF"/>
              </w:rPr>
              <w:t>3.</w:t>
            </w:r>
            <w:r>
              <w:rPr>
                <w:rFonts w:ascii="仿宋_GB2312" w:hAnsi="仿宋_GB2312" w:cs="仿宋_GB2312" w:eastAsia="仿宋_GB2312"/>
                <w:sz w:val="20"/>
                <w:color w:val="0000FF"/>
              </w:rPr>
              <w:t>项目服务期满后，且乙方无任何违约行为，乙方持《申请退回履约保证金的函》到甲方办理相关手续后，甲方</w:t>
            </w:r>
            <w:r>
              <w:rPr>
                <w:rFonts w:ascii="仿宋_GB2312" w:hAnsi="仿宋_GB2312" w:cs="仿宋_GB2312" w:eastAsia="仿宋_GB2312"/>
                <w:sz w:val="20"/>
                <w:color w:val="0000FF"/>
              </w:rPr>
              <w:t>30日内向乙方退回</w:t>
            </w:r>
            <w:r>
              <w:rPr>
                <w:rFonts w:ascii="仿宋_GB2312" w:hAnsi="仿宋_GB2312" w:cs="仿宋_GB2312" w:eastAsia="仿宋_GB2312"/>
                <w:sz w:val="20"/>
                <w:color w:val="0000FF"/>
              </w:rPr>
              <w:t>履约保证金</w:t>
            </w:r>
            <w:r>
              <w:rPr>
                <w:rFonts w:ascii="仿宋_GB2312" w:hAnsi="仿宋_GB2312" w:cs="仿宋_GB2312" w:eastAsia="仿宋_GB2312"/>
                <w:sz w:val="20"/>
                <w:color w:val="0000FF"/>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自完工之日起至2026年7月31日。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根据磋商文件、磋商响应文件、合同及国家相关标准。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项目完成并经甲方验收合格后并出具等额发票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1、按《民法典》中的相关条款执行。 2、除本合同约定，合同一经签订，不得擅自变更、中止或者终止合同。对确需变更、调整或者中止、终止合同的，应按规定履行相应的手续。 3、任何一方因不可抗力原因不能履行协议时，应尽快通知对方，双方均设法补偿。如仍无法履约协议，可协商延缓或撤销协议，双方责任免除。 解决争议的方法： 本合同在履行过程中发生的争议，由甲、乙双方当事人协商解决，协商不成的按下列第2种方式解决： 1、提交当地仲裁委员会仲裁； 2、依法向甲方所在地人民法院起诉。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叁 份、电子版 壹 份（U盘一套标明供应商名称，单独密封），纸质版响应文件在书脊处标注项目名称和项目编号。 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控股关系承诺书</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 （2）不满足本磋商文件中“服务期限、服务地点、采购资金的支付方式及约定”的实质性条款要求的； （3）文件有效期不足的或无有效期的； （4）报价超过磋商文件中规定的预算金额或最高限价的； （5）法律、法规和磋商文件规定的其他无效情形。</w:t>
            </w:r>
          </w:p>
        </w:tc>
        <w:tc>
          <w:tcPr>
            <w:tcW w:type="dxa" w:w="1661"/>
          </w:tcPr>
          <w:p>
            <w:pPr>
              <w:pStyle w:val="null3"/>
            </w:pPr>
            <w:r>
              <w:rPr>
                <w:rFonts w:ascii="仿宋_GB2312" w:hAnsi="仿宋_GB2312" w:cs="仿宋_GB2312" w:eastAsia="仿宋_GB2312"/>
              </w:rPr>
              <w:t>响应文件封面 业绩一览表.docx 分项报价表.docx 供应商应提交的相关资格证明材料.docx 供应商认为有必要说明的其他问题.docx 标的清单 服务要求偏离表.docx 报价表 商务应答表.docx 实施方案.docx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投标人根据“3.2.2服务要求”中技术要求进行响应。完全满足技术要求得12分，每负偏离一项扣2分；技术要求低于6分按无效文件处理。 备注：完全复制磋商文件技术要求的，将给予5分扣分，文字描述、国标、定制尺寸的技术指标除外。</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服务要求偏离表.docx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项目理解与分析</w:t>
            </w:r>
          </w:p>
        </w:tc>
        <w:tc>
          <w:tcPr>
            <w:tcW w:type="dxa" w:w="2492"/>
          </w:tcPr>
          <w:p>
            <w:pPr>
              <w:pStyle w:val="null3"/>
            </w:pPr>
            <w:r>
              <w:rPr>
                <w:rFonts w:ascii="仿宋_GB2312" w:hAnsi="仿宋_GB2312" w:cs="仿宋_GB2312" w:eastAsia="仿宋_GB2312"/>
              </w:rPr>
              <w:t>一、评审内容 提出针对于本项目的项目理解与分析，包括但不限于：①服务目标及计划安排②服务重难点分析及解决措施③保密措施④成果验收等内容。 二、评审标准 1、完整性：方案须全面，对评审内容中的各项要求有详细描述及说明； 2、可实施性：切合本项目实际情况，实施步骤清晰、合理； 3、针对性：方案能够紧扣项目实际情况， 内容科学合理。 三、赋分标准（满分12分） ①服务目标及计划安排：每完全满足一个评审标准得1分，满分3分； ②服务重难点分析及解决措施:每完全满足一个评审标准得1分，满分3分； ③保密措施:每完全满足一个评审标准得1分，满分3分； ④成果验收:每完全满足一个评审标准得1分，满分3分。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总体实施 方案</w:t>
            </w:r>
          </w:p>
        </w:tc>
        <w:tc>
          <w:tcPr>
            <w:tcW w:type="dxa" w:w="2492"/>
          </w:tcPr>
          <w:p>
            <w:pPr>
              <w:pStyle w:val="null3"/>
            </w:pPr>
            <w:r>
              <w:rPr>
                <w:rFonts w:ascii="仿宋_GB2312" w:hAnsi="仿宋_GB2312" w:cs="仿宋_GB2312" w:eastAsia="仿宋_GB2312"/>
              </w:rPr>
              <w:t>一、评审内容 针对本项目的服务内容及要求提供总体实施方案，包括但不限于：①云平台服务方案②平台迁移服务方案③安全服务方案④网络服务方案等内容提供具体、详细、合理的实施方案。 二、评审标准 1、完整性：方案必须全面，对评审内容中的各项要求有详细描述； 2、可实施性：切合本项目实际情况，提出步骤清晰、合理的方案； 3、针对性：方案能够紧扣项目实际情况， 内容科学合理。 三、赋分标准（满分24分） ①云平台服：每完全满足一个评审标准得 2分，满分6分； ②平台迁移服:每完全满足一个评审标准得2分，满分6分； ③安全服务:每完全满足一个评审标准得2分，满分6分； ④网络服务：每完全满足一个评审标准得2分，满分6分。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 方案</w:t>
            </w:r>
          </w:p>
        </w:tc>
        <w:tc>
          <w:tcPr>
            <w:tcW w:type="dxa" w:w="2492"/>
          </w:tcPr>
          <w:p>
            <w:pPr>
              <w:pStyle w:val="null3"/>
            </w:pPr>
            <w:r>
              <w:rPr>
                <w:rFonts w:ascii="仿宋_GB2312" w:hAnsi="仿宋_GB2312" w:cs="仿宋_GB2312" w:eastAsia="仿宋_GB2312"/>
              </w:rPr>
              <w:t>一、评审内容 针对本项目采购需求及特点制定培训方案，包括但不限于：①培训目标及计划②培训内容及方式。 二、评审标准 1、完整性：方案须全面，对评审内容中的各项要求有详细描述； 2、可实施性：切合本项目实际情况，实施步骤清晰、合理； 3、针对性：方案能够紧扣项目实际情况， 内容科学合理。 三、赋分标准（满分6分） ①培训目标及计划：每完全满足一个评审标准得1分，满分3分； ②培训内容及方式:每完全满足一个评审标准得1分，满分3分。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根据本项目实际需求提供售后服务方案。包括但不限于：①售后服务范围及保障措施②响应时间及方式③故障处理及补救措施。 二、评审标准 1、完整性：方案须全面，对评审内容中的各项要求有详细描述； 2、可实施性：切合本项目实际情况，提出步骤清晰、合理的方案； 3、针对性：方案能够紧扣项目实际情况，内容科学合理。 三、赋分依据(满分9分) ①售后服务范围及保障措施：每完全满足一个评审标准得1分，满分3分; ②响应时间及方式：每完全满足一个评审标准得1分，满分3分； ③故障处理及补救措施:每完全满足一个评审标准得1分,满分3分。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供应商提供针对本项目的增值服务： 1、增值化服务方案细致详细、合理性强、贴近项目情况针对性强的得5分； 2、增值化服务方案基本完整、合理，有针对性的得3分； 3、增值化服务方案不完整、无针对性，套用其他项目的得1分；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1、证书要求（2分） 具有信息系统项目管理师证书得2分。 赋分依据：须提供有效期内的加盖公章的证书复印件，不提供不得分。 2、经验要求（3分） 项目经理具有3年类似项目服务管理经验得1分，每增加一年服务管理经验额外加1分，最多可加2分。满分3分。 赋分依据：须提供被服务单位加盖公章的项目经理管理经验证明材料及身份证复印件，不提供或缺漏项不得分。 备注：除上述赋分依据外，还须同时提供投标人为项目经理缴纳的近六个月内至少连续三个月的社保缴纳证明材料（成立时间至提交投标文件截止时间不足六个月的投标人，可提供成立后任意一个月的社保缴纳证明材料），不提供或缺漏项本大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拟投入本项目（除项目经理以外）的服务团队人员，团队人员具备相应的实施经验，人员配备、人员管理及组织架构设置科学合理，人力保障充分。 ①分工合理、责任明确，满足项目需求得7分； ②分工较合理、责任较明确，基本满足项目需求得5分； ③分工不合理、责任不明确，不满足项目需求得1分； ④未提供的，计0分。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08月至今至类似项目的业绩证明材料（以合同签订日期为准）。每提供一份有效合同得2分，满分10分。未提供合同或合同不符合要求不计分。注：合同复印件至少包括合同封面、甲乙双方名称及盖章、服务内容。否则不予认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满足磋商文件要求且最后报价最低的供应商的价格为评审基准价，其价格分为满分。其他供应商的价格分统一按照下列公式计算：投标报价得分=（评审基准价/投标总报价）×价格权值×100%。 注：磋商报价不完整的，不进入评标基准价的计算，本项得0分。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