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雁塔区12345政务服务便民热线业务外包项目(二次)</w:t>
      </w:r>
    </w:p>
    <w:p>
      <w:pPr>
        <w:pStyle w:val="null3"/>
        <w:jc w:val="center"/>
        <w:outlineLvl w:val="2"/>
      </w:pPr>
      <w:r>
        <w:rPr>
          <w:sz w:val="28"/>
          <w:b/>
        </w:rPr>
        <w:t>采购项目编号：</w:t>
      </w:r>
      <w:r>
        <w:rPr>
          <w:sz w:val="28"/>
          <w:b/>
        </w:rPr>
        <w:t>ZXHC2024-ZCYT-1208-2</w:t>
      </w:r>
      <w:r>
        <w:br/>
      </w:r>
      <w:r>
        <w:br/>
      </w:r>
      <w:r>
        <w:br/>
      </w:r>
    </w:p>
    <w:p>
      <w:pPr>
        <w:pStyle w:val="null3"/>
        <w:jc w:val="center"/>
        <w:outlineLvl w:val="2"/>
      </w:pPr>
      <w:r>
        <w:rPr>
          <w:sz w:val="28"/>
          <w:b/>
        </w:rPr>
        <w:t>西安市雁塔区大数据服务中心</w:t>
      </w:r>
    </w:p>
    <w:p>
      <w:pPr>
        <w:pStyle w:val="null3"/>
        <w:jc w:val="center"/>
        <w:outlineLvl w:val="2"/>
      </w:pPr>
      <w:r>
        <w:rPr>
          <w:sz w:val="28"/>
          <w:b/>
        </w:rPr>
        <w:t>陕西中信海诚造价咨询有限公司</w:t>
      </w:r>
      <w:r>
        <w:rPr>
          <w:sz w:val="28"/>
          <w:b/>
        </w:rPr>
        <w:t>共同编制</w:t>
      </w:r>
    </w:p>
    <w:p>
      <w:pPr>
        <w:pStyle w:val="null3"/>
        <w:jc w:val="center"/>
        <w:outlineLvl w:val="2"/>
      </w:pPr>
      <w:r>
        <w:rPr>
          <w:sz w:val="28"/>
          <w:b/>
        </w:rPr>
        <w:t>2024年12月20日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陕西中信海诚造价咨询有限公司</w:t>
      </w:r>
      <w:r>
        <w:rPr/>
        <w:t>（以下简称“代理机构”）受</w:t>
      </w:r>
      <w:r>
        <w:rPr/>
        <w:t>西安市雁塔区大数据服务中心</w:t>
      </w:r>
      <w:r>
        <w:rPr/>
        <w:t>委托，拟对</w:t>
      </w:r>
      <w:r>
        <w:rPr/>
        <w:t>雁塔区12345政务服务便民热线业务外包项目(二次)</w:t>
      </w:r>
      <w:r>
        <w:rPr/>
        <w:t>采用竞争性磋商采购方式进行采购，兹邀请供应商参加本项目的竞争性磋商。</w:t>
      </w:r>
    </w:p>
    <w:p>
      <w:pPr>
        <w:pStyle w:val="null3"/>
        <w:outlineLvl w:val="2"/>
      </w:pPr>
      <w:r>
        <w:rPr>
          <w:sz w:val="28"/>
          <w:b/>
        </w:rPr>
        <w:t>一、项目编号：</w:t>
      </w:r>
      <w:r>
        <w:rPr>
          <w:sz w:val="28"/>
          <w:b/>
        </w:rPr>
        <w:t>ZXHC2024-ZCYT-1208-2</w:t>
      </w:r>
    </w:p>
    <w:p>
      <w:pPr>
        <w:pStyle w:val="null3"/>
        <w:outlineLvl w:val="2"/>
      </w:pPr>
      <w:r>
        <w:rPr>
          <w:sz w:val="28"/>
          <w:b/>
        </w:rPr>
        <w:t>二、项目名称：</w:t>
      </w:r>
      <w:r>
        <w:rPr>
          <w:sz w:val="28"/>
          <w:b/>
        </w:rPr>
        <w:t>雁塔区12345政务服务便民热线业务外包项目(二次)</w:t>
      </w:r>
    </w:p>
    <w:p>
      <w:pPr>
        <w:pStyle w:val="null3"/>
        <w:outlineLvl w:val="2"/>
      </w:pPr>
      <w:r>
        <w:rPr>
          <w:sz w:val="28"/>
          <w:b/>
        </w:rPr>
        <w:t>三、磋商项目简介</w:t>
      </w:r>
    </w:p>
    <w:p>
      <w:pPr>
        <w:pStyle w:val="null3"/>
        <w:ind w:firstLine="480"/>
      </w:pPr>
      <w:r>
        <w:rPr/>
        <w:t>雁塔区12345政务服务便民热线业务外包，包括区级热线平台运营维护服务及数据监控分析服务两个部分。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人身份证，并与营业执照上信息一致。法定代表人授权代表参加投标的，须出具法定代表人授权书及授权代表身份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西安市雁塔区大数据服务中心</w:t>
      </w:r>
    </w:p>
    <w:p>
      <w:pPr>
        <w:pStyle w:val="null3"/>
      </w:pPr>
      <w:r>
        <w:rPr/>
        <w:t xml:space="preserve"> 地址： </w:t>
      </w:r>
      <w:r>
        <w:rPr/>
        <w:t>陕西省西安市健康东路20号雁塔区政府（南院）</w:t>
      </w:r>
    </w:p>
    <w:p>
      <w:pPr>
        <w:pStyle w:val="null3"/>
      </w:pPr>
      <w:r>
        <w:rPr/>
        <w:t xml:space="preserve"> 邮编： </w:t>
      </w:r>
      <w:r>
        <w:rPr/>
        <w:t>710000</w:t>
      </w:r>
    </w:p>
    <w:p>
      <w:pPr>
        <w:pStyle w:val="null3"/>
      </w:pPr>
      <w:r>
        <w:rPr/>
        <w:t xml:space="preserve"> 联系人： </w:t>
      </w:r>
      <w:r>
        <w:rPr/>
        <w:t>林老师</w:t>
      </w:r>
    </w:p>
    <w:p>
      <w:pPr>
        <w:pStyle w:val="null3"/>
      </w:pPr>
      <w:r>
        <w:rPr/>
        <w:t xml:space="preserve"> 联系电话： </w:t>
      </w:r>
      <w:r>
        <w:rPr/>
        <w:t>029-85200906</w:t>
      </w:r>
    </w:p>
    <w:p>
      <w:pPr>
        <w:pStyle w:val="null3"/>
        <w:outlineLvl w:val="3"/>
      </w:pPr>
      <w:r>
        <w:rPr>
          <w:sz w:val="24"/>
          <w:b/>
        </w:rPr>
        <w:t>代理机构：</w:t>
      </w:r>
      <w:r>
        <w:rPr>
          <w:sz w:val="24"/>
          <w:b/>
        </w:rPr>
        <w:t>陕西中信海诚造价咨询有限公司</w:t>
      </w:r>
    </w:p>
    <w:p>
      <w:pPr>
        <w:pStyle w:val="null3"/>
      </w:pPr>
      <w:r>
        <w:rPr/>
        <w:t xml:space="preserve"> 地址： </w:t>
      </w:r>
      <w:r>
        <w:rPr/>
        <w:t>陕西省西安市碑林区陕西省西安市碑林区含光北路2号广丰国际大厦20806室</w:t>
      </w:r>
    </w:p>
    <w:p>
      <w:pPr>
        <w:pStyle w:val="null3"/>
      </w:pPr>
      <w:r>
        <w:rPr/>
        <w:t xml:space="preserve"> 邮编： </w:t>
      </w:r>
      <w:r>
        <w:rPr/>
        <w:t>710000</w:t>
      </w:r>
    </w:p>
    <w:p>
      <w:pPr>
        <w:pStyle w:val="null3"/>
      </w:pPr>
      <w:r>
        <w:rPr/>
        <w:t xml:space="preserve"> 联系人： </w:t>
      </w:r>
      <w:r>
        <w:rPr/>
        <w:t>田工</w:t>
      </w:r>
    </w:p>
    <w:p>
      <w:pPr>
        <w:pStyle w:val="null3"/>
      </w:pPr>
      <w:r>
        <w:rPr/>
        <w:t xml:space="preserve"> 联系电话： </w:t>
      </w:r>
      <w:r>
        <w:rPr/>
        <w:t>18189177097</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采购包1：1,952,000.00元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照国家计委关于印发《招标代理服务收费管理暂行办法》的通知（计价格〔2002〕1980号）和国家发展改革委关于进一步放开建设项目专业服务价格的通知（发改价格〔2015〕299号）的有关依据，以及《西安市深化政府采购制度改革实施方案》、《西安市财政局关于推进政府采购代理机构转型升级相关工作的通知》（市财函[2022]1299号）的相关要求，按照定额人民币贰万肆仟元整（￥24000.00）收取。 缴纳方式：采用现金或转账方式缴纳（账号信息如下）。 账户名称: 陕西中信海诚造价咨询有限公司西安第二分公司 账户号码: 129915362010501 开户银行: 招商银行股份有限公司西安城南支行 转账事由： （项目简称或项目编号） 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西安市雁塔区大数据服务中心</w:t>
      </w:r>
      <w:r>
        <w:rPr/>
        <w:t>和</w:t>
      </w:r>
      <w:r>
        <w:rPr/>
        <w:t>陕西中信海诚造价咨询有限公司</w:t>
      </w:r>
      <w:r>
        <w:rPr/>
        <w:t>享有。对磋商文件中供应商参加本次政府采购活动应当具备的条件，磋商项目技术、服务、商务及其他要求，评审细则及标准由</w:t>
      </w:r>
      <w:r>
        <w:rPr/>
        <w:t>西安市雁塔区大数据服务中心</w:t>
      </w:r>
      <w:r>
        <w:rPr/>
        <w:t>负责解释。除上述磋商文件内容，其他内容由</w:t>
      </w:r>
      <w:r>
        <w:rPr/>
        <w:t>陕西中信海诚造价咨询有限公司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西安市雁塔区大数据服务中心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陕西中信海诚造价咨询有限公司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满足现行的国家标准或国家行政部门颁布的法律法规、规章制度及采购需求。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陕西中信海诚造价咨询有限公司</w:t>
      </w:r>
      <w:r>
        <w:rPr/>
        <w:t xml:space="preserve"> 负责答复；供应商对除采购需求外的采购文件的询问、质疑由</w:t>
      </w:r>
      <w:r>
        <w:rPr/>
        <w:t>陕西中信海诚造价咨询有限公司</w:t>
      </w:r>
      <w:r>
        <w:rPr/>
        <w:t xml:space="preserve"> 负责答复；供应商对采购过程、采购结果的询问、质疑由 </w:t>
      </w:r>
      <w:r>
        <w:rPr/>
        <w:t>陕西中信海诚造价咨询有限公司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联系人：蔺工</w:t>
      </w:r>
    </w:p>
    <w:p>
      <w:pPr>
        <w:pStyle w:val="null3"/>
      </w:pPr>
      <w:r>
        <w:rPr/>
        <w:t>联系电话：029-85262287</w:t>
      </w:r>
    </w:p>
    <w:p>
      <w:pPr>
        <w:pStyle w:val="null3"/>
      </w:pPr>
      <w:r>
        <w:rPr/>
        <w:t>地址：西安市碑林区含光北路 2 号广丰国际大厦Ⅱ区 806 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雁塔区12345政务服务便民热线业务外包，包括区级热线平台运营维护服务及数据监控分析服务两个部分。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1,952,000.00</w:t>
      </w:r>
    </w:p>
    <w:p>
      <w:pPr>
        <w:pStyle w:val="null3"/>
      </w:pPr>
      <w:r>
        <w:rPr/>
        <w:t>采购包最高限价（元）: 1,952,000.00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雁塔区12345政务服务便民热线业务外包</w:t>
            </w:r>
          </w:p>
        </w:tc>
        <w:tc>
          <w:tcPr>
            <w:tcW w:type="dxa" w:w="831"/>
          </w:tcPr>
          <w:p>
            <w:pPr>
              <w:pStyle w:val="null3"/>
              <w:jc w:val="right"/>
            </w:pPr>
            <w:r>
              <w:rPr/>
              <w:t>1.00</w:t>
            </w:r>
          </w:p>
        </w:tc>
        <w:tc>
          <w:tcPr>
            <w:tcW w:type="dxa" w:w="831"/>
          </w:tcPr>
          <w:p>
            <w:pPr>
              <w:pStyle w:val="null3"/>
              <w:jc w:val="right"/>
            </w:pPr>
            <w:r>
              <w:rPr/>
              <w:t>1,952,000.00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标的名称：雁塔区12345政务服务便民热线业务外包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pPr>
            <w:r>
              <w:rPr>
                <w:rFonts w:ascii="楷体" w:hAnsi="楷体" w:cs="楷体" w:eastAsia="楷体"/>
                <w:sz w:val="32"/>
                <w:b/>
                <w:color w:val="000000"/>
              </w:rPr>
              <w:t>（一）区级热线平台运营维护服务</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按照采购人要求提供7×24小时现场运维服务，包括热线平台系统运维和热线业务服务，以及协调指挥等行政辅助性工作。高标准配备与业务相适应的项目负责人及管理人员、项目运维技术人员及热线服务工作团队，保障区级12345政务服务便民热线平台7×24小时运行。各项工作不低于国家、省市区《12345政务服务便民热线运行管理暂行办法》和热线服务规范要求。具体为：</w:t>
            </w:r>
          </w:p>
          <w:p>
            <w:pPr>
              <w:pStyle w:val="null3"/>
              <w:ind w:firstLine="640"/>
              <w:jc w:val="both"/>
            </w:pPr>
            <w:r>
              <w:rPr>
                <w:rFonts w:ascii="仿宋_gb2312" w:hAnsi="仿宋_gb2312" w:cs="仿宋_gb2312" w:eastAsia="仿宋_gb2312"/>
                <w:sz w:val="32"/>
              </w:rPr>
              <w:t>（1）认真、及时办理市热线办转办的市民服务热线工单，保证工单的按期办结率达到95%以上，热线工单办理的退单率保持在较低水平，结果满意率保持在较高水平；（2）负责接收市级平台派发的工单，工作期间在2小时内确认交办事项，非工作期间在4小时内确认交办事项；（3）负责对工单内容进行研判，及时将工单转发给各承办单位及协调处理；（4）负责对市级平台转派的工单进行核实，将不属于本单位办理的工单及时退回；（5）负责对承办部门办理工单进度进行督办、催单；（6）负责对承接的工单进行统计、分析；（7）负责根据采购人工作需要承担区级12345政务服务便民热线中心交办的专项工作；（8）负责在工作交接时明确交接工单清单及办理进度；（9）负责与市平台及区内各承办单位对接沟通；（10）值班工作人员应在岗在位并保持电话畅通、便于随时联系。</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按本项目要求，负责业务人员的驻场、组织、管理、培训、考核等。确保人员出勤率和充足的补充渠道，满足项目的服务需求，保持人员稳定。</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建立完善的、常态的人员培训机制，保障人员业务知识、服务礼仪、系统操作等技能培训到位。</w:t>
            </w:r>
          </w:p>
          <w:p>
            <w:pPr>
              <w:pStyle w:val="null3"/>
              <w:ind w:firstLine="643"/>
              <w:jc w:val="both"/>
            </w:pPr>
            <w:r>
              <w:rPr>
                <w:rFonts w:ascii="楷体" w:hAnsi="楷体" w:cs="楷体" w:eastAsia="楷体"/>
                <w:sz w:val="32"/>
                <w:b/>
                <w:color w:val="000000"/>
              </w:rPr>
              <w:t>（二）区级热线平台数据监控分析服务</w:t>
            </w:r>
          </w:p>
          <w:p>
            <w:pPr>
              <w:pStyle w:val="null3"/>
              <w:ind w:firstLine="640"/>
              <w:jc w:val="both"/>
            </w:pPr>
            <w:r>
              <w:rPr>
                <w:rFonts w:ascii="仿宋_gb2312" w:hAnsi="仿宋_gb2312" w:cs="仿宋_gb2312" w:eastAsia="仿宋_gb2312"/>
                <w:sz w:val="32"/>
              </w:rPr>
              <w:t>按照采购人要求提供区级热线平台数据监控分析服务，通过对12345工单数据全生命周期治理，达到办理质效提高、监测流程优化、分析能力提升的目标，进一步提升我区政务服务工作质量和水平，不断提升群众满意率。</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数据专项服务：（1）数据标准制定服务，建设数据目录，完成数据分类、标准化等内容建设；（2）外部数据对接服务，完成与市级平台的数据对接；（3）工单地址提取服务，根据工单内容提取地理位置并映射到地图；（4）指标建设服务，对12345关键性指标进行构建，如承办量、办结率、退单率、满意率等；（5）数据安全服务，对数据安全进行保障，满足中省市区对数据安全的要求。</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系统工具服务：（1）工单空间汇集呈现服务，实现工单数据地图空间化，如各类工单分布、热点分布、解决情况分布等内容，便于管理者发现工单与区域之间的关系；（2）工单查询服务，可按照多维度的筛选条件，快速定位到需了解的工单集合、工单详情等；（3）指标分析服务，支撑多维度快速统计，可按照街办、部门等纬度进行指标统计；（4）专项报告服务，根据业务需求，对市民反映问题进行深度分析研究，包括问题高发类型、问题高发区域、环比增长减少等维度，动态形成周、月报告，为管理者提供决策依据；（5）运行监测服务，通过数据汇总与空间化落图集中展示，可快速、有效的进行各项数据的抽取查看，为决策者提供运行状态的实时监管。</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技术要求：为确保运营效率和质量，根据采购人的实际业务需求，对技术服务进行迭代升级。</w:t>
            </w:r>
          </w:p>
          <w:p>
            <w:pPr>
              <w:pStyle w:val="null3"/>
              <w:ind w:firstLine="640"/>
              <w:jc w:val="both"/>
            </w:pPr>
          </w:p>
        </w:tc>
      </w:tr>
    </w:tbl>
    <w:p>
      <w:pPr>
        <w:pStyle w:val="null3"/>
        <w:outlineLvl w:val="2"/>
      </w:pPr>
      <w:r>
        <w:rPr>
          <w:sz w:val="28"/>
          <w:b/>
        </w:rPr>
        <w:t>3.2.3人员配置要求</w:t>
      </w:r>
    </w:p>
    <w:p>
      <w:pPr>
        <w:pStyle w:val="null3"/>
      </w:pPr>
      <w:r>
        <w:rPr/>
        <w:t>采购包1：</w:t>
      </w:r>
    </w:p>
    <w:p>
      <w:pPr>
        <w:pStyle w:val="null3"/>
      </w:pPr>
      <w:r>
        <w:rPr/>
        <w:t>详见评分办法。</w:t>
      </w:r>
    </w:p>
    <w:p>
      <w:pPr>
        <w:pStyle w:val="null3"/>
        <w:outlineLvl w:val="2"/>
      </w:pPr>
      <w:r>
        <w:rPr>
          <w:sz w:val="28"/>
          <w:b/>
        </w:rPr>
        <w:t>3.2.4设施设备要求</w:t>
      </w:r>
    </w:p>
    <w:p>
      <w:pPr>
        <w:pStyle w:val="null3"/>
      </w:pPr>
      <w:r>
        <w:rPr/>
        <w:t>采购包1：</w:t>
      </w:r>
    </w:p>
    <w:p>
      <w:pPr>
        <w:pStyle w:val="null3"/>
      </w:pPr>
      <w:r>
        <w:rPr/>
        <w:t>详见评分办法。</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满足现行的国家标准或国家行政部门颁布的法律法规、规章制度及采购需求。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第一季度末向成交单位支付费用</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第二季度初向成交单位支付费用</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第三季度初向成交单位支付费用</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第四季度初向成交单位支付费用</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第四季度末经考核合格后向成交单位支付费用</w:t>
      </w:r>
      <w:r>
        <w:rPr/>
        <w:t xml:space="preserve"> ，达到付款条件起 </w:t>
      </w:r>
      <w:r>
        <w:rPr/>
        <w:t>30</w:t>
      </w:r>
      <w:r>
        <w:rPr/>
        <w:t xml:space="preserve"> 日内，支付合同总金额的 </w:t>
      </w:r>
      <w:r>
        <w:rPr/>
        <w:t>5.00</w:t>
      </w:r>
      <w:r>
        <w:rPr/>
        <w:t>%。</w:t>
      </w:r>
    </w:p>
    <w:p>
      <w:pPr>
        <w:pStyle w:val="null3"/>
        <w:outlineLvl w:val="3"/>
      </w:pPr>
      <w:r>
        <w:rPr>
          <w:sz w:val="24"/>
          <w:b/>
        </w:rPr>
        <w:t>3.3.6违约责任及解决争议的方法</w:t>
      </w:r>
    </w:p>
    <w:p>
      <w:pPr>
        <w:pStyle w:val="null3"/>
      </w:pPr>
      <w:r>
        <w:rPr/>
        <w:t>采购包1：</w:t>
      </w:r>
    </w:p>
    <w:p>
      <w:pPr>
        <w:pStyle w:val="null3"/>
      </w:pPr>
      <w:r>
        <w:rPr/>
        <w:t>详见合同条款。</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提交一正二副，书籍（胶装）方式装订的盖章的纸质文件，若正本和副本不一致的，以正本为准。送至西安市碑林区含光北路 2 号广丰国际大厦 II 区 806 室。（2）供应商务必在开标截止时间30分钟前，通过项目电子化交易系统进行签到，如未进行签到，产生的一切后果由供应商自行承担。 （3）供应商的磋商报价包括人工费，管理费，税费等所有费用，并符合计价规则。（4）签名是指手写签名或者加盖姓名章， 盖章是指加盖单位印章。（5）各供应商所有分项报价（与最后磋商报价比例一致）同比例下浮。</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供应商需在项目电子化交易系统中按要求上传相应证明文件并进行电子签章。（提供书面承 诺函 ）</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符合磋商文件要求。</w:t>
            </w:r>
          </w:p>
        </w:tc>
        <w:tc>
          <w:tcPr>
            <w:tcW w:type="dxa" w:w="1661"/>
          </w:tcPr>
          <w:p>
            <w:pPr>
              <w:pStyle w:val="null3"/>
            </w:pPr>
            <w:r>
              <w:rPr/>
              <w:t>响应文件封面 资格证明文件 服务内容及服务邀请应答表 中小企业声明函 残疾人福利性单位声明函 业绩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一年。</w:t>
            </w:r>
          </w:p>
        </w:tc>
        <w:tc>
          <w:tcPr>
            <w:tcW w:type="dxa" w:w="1661"/>
          </w:tcPr>
          <w:p>
            <w:pPr>
              <w:pStyle w:val="null3"/>
            </w:pPr>
            <w:r>
              <w:rPr/>
              <w:t>标的清单</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（1）磋商报价符合唯一性要求； （2）第一次磋商报价表填写符合要求； （3）计量单位、报价货币均符合磋商文件要求； （4）未超出采购预算或磋商文件规定的最高限价。</w:t>
            </w:r>
          </w:p>
        </w:tc>
        <w:tc>
          <w:tcPr>
            <w:tcW w:type="dxa" w:w="1661"/>
          </w:tcPr>
          <w:p>
            <w:pPr>
              <w:pStyle w:val="null3"/>
            </w:pPr>
            <w:r>
              <w:rPr/>
              <w:t>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分析方案</w:t>
            </w:r>
          </w:p>
        </w:tc>
        <w:tc>
          <w:tcPr>
            <w:tcW w:type="dxa" w:w="2492"/>
          </w:tcPr>
          <w:p>
            <w:pPr>
              <w:pStyle w:val="null3"/>
            </w:pPr>
            <w:r>
              <w:rPr/>
              <w:t>了解本项目业务需求、目标，有完整的服务需求内容分析、具有明确的服务目标，设计合理、层次清楚，能全面满足采购人需求。 1）分析方案层次清晰，满足或优于服务需求，得15分； 2）分析方案明确但存在瑕疵的得10分； 3）分析方案内容简单或基本满足项目需求，得7分； 4）分析方案缺乏针对性、内容欠缺，得3分； 5）未提供不得分。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运营方案</w:t>
            </w:r>
          </w:p>
        </w:tc>
        <w:tc>
          <w:tcPr>
            <w:tcW w:type="dxa" w:w="2492"/>
          </w:tcPr>
          <w:p>
            <w:pPr>
              <w:pStyle w:val="null3"/>
            </w:pPr>
            <w:r>
              <w:rPr/>
              <w:t>提供满足呼叫中心运营服务要求的运营方案，包括人员管理、团队建设和业务能力保障等相关内容。 1）运营服务流程科学、合理、体系完善，得15分； 2）运营服务流程明确但存在瑕疵的得10分； 3）运营服务流程简单或基本满足项目需求，得7分； 4）运营服务流程缺乏针对性、内容欠缺，得3分； 5）未提供不得分。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配套产品性能参数</w:t>
            </w:r>
          </w:p>
        </w:tc>
        <w:tc>
          <w:tcPr>
            <w:tcW w:type="dxa" w:w="2492"/>
          </w:tcPr>
          <w:p>
            <w:pPr>
              <w:pStyle w:val="null3"/>
            </w:pPr>
            <w:r>
              <w:rPr/>
              <w:t>供应商根据工作要求拟定的配套产品性能参数、数量安排。 1）内容科学详细、明确具体得2分； 2）内容缺失或者描述不详细的得1分；3）未提供不得分。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岗前培训措施</w:t>
            </w:r>
          </w:p>
        </w:tc>
        <w:tc>
          <w:tcPr>
            <w:tcW w:type="dxa" w:w="2492"/>
          </w:tcPr>
          <w:p>
            <w:pPr>
              <w:pStyle w:val="null3"/>
            </w:pPr>
            <w:r>
              <w:rPr/>
              <w:t>针对本项目特点，制定科学、完整、可行的岗前培训措施。 1）方案内容详细、切实可行，满足项目需求，得10分； 2）方案内容较详细、较合理，得7分； 3）方案内容不够全面、不够合理，得3分；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应急处理突发事件的具体措施</w:t>
            </w:r>
          </w:p>
        </w:tc>
        <w:tc>
          <w:tcPr>
            <w:tcW w:type="dxa" w:w="2492"/>
          </w:tcPr>
          <w:p>
            <w:pPr>
              <w:pStyle w:val="null3"/>
            </w:pPr>
            <w:r>
              <w:rPr/>
              <w:t>针对本项目应急处理突发事件的具体措施：在处理人员中途离职及其他特殊事件和紧急、突发事故制定详细、全面的各项处置措施。 1） 措施内容科学详细、明确具体得4分；2）措施 内容科学明确但存在瑕疵的得2分； 3） 措施内容缺失或者描述不详细的得1分； 4）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拟投入本项目负责人</w:t>
            </w:r>
          </w:p>
        </w:tc>
        <w:tc>
          <w:tcPr>
            <w:tcW w:type="dxa" w:w="2492"/>
          </w:tcPr>
          <w:p>
            <w:pPr>
              <w:pStyle w:val="null3"/>
            </w:pPr>
            <w:r>
              <w:rPr/>
              <w:t>拟投入本项目负责人姓名、年龄、学历、职位、毕业证书、项目经历等，具有与本项目相关专业的高级工程师证书。</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拟投入本项目组成员</w:t>
            </w:r>
          </w:p>
        </w:tc>
        <w:tc>
          <w:tcPr>
            <w:tcW w:type="dxa" w:w="2492"/>
          </w:tcPr>
          <w:p>
            <w:pPr>
              <w:pStyle w:val="null3"/>
            </w:pPr>
            <w:r>
              <w:rPr/>
              <w:t>拟投入本项目组成员名单，包括姓名、年龄、学历、职位、毕业证书、项目经历等。需包含班组管理、质检培训、话务等实施人员。团队人员数量、岗位配置、人员综合素质须符合采购需求。 1）人员信息资料完整，方案、制度内容完整，描述清晰，且能针对性满足项目需求，人员配备齐全、分工合理、责任明确，得15分； 2）人员配备较全、分工较合理、责任较明确，得10分； 3）人员配备薄弱，结构单一得7分； 4）人员配备不足、分工不合理、责任不明确，得3分； 5）未提供不得分。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控制措施</w:t>
            </w:r>
          </w:p>
        </w:tc>
        <w:tc>
          <w:tcPr>
            <w:tcW w:type="dxa" w:w="2492"/>
          </w:tcPr>
          <w:p>
            <w:pPr>
              <w:pStyle w:val="null3"/>
            </w:pPr>
            <w:r>
              <w:rPr/>
              <w:t>供应商承诺具有服务全过程的质量、时间节点的控制措施。 1）措施内容详细、科学、合理、全面得7分； 2）措施内容科学明确但存在瑕疵的得4分； 3）措施内容描述不完整或内容简单得2分；4）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承诺</w:t>
            </w:r>
          </w:p>
        </w:tc>
        <w:tc>
          <w:tcPr>
            <w:tcW w:type="dxa" w:w="2492"/>
          </w:tcPr>
          <w:p>
            <w:pPr>
              <w:pStyle w:val="null3"/>
            </w:pPr>
            <w:r>
              <w:rPr/>
              <w:t>供应商须承诺完全配合采购人的工作，确保人员的社保及相关费用准时、准确按期缴纳，并对采购人的人员信息进行保密。 1）内容详细、科学、合理、全面得7分； 2）内容科学明确但存在瑕疵的得4分； 3）内容描述不完整或内容简单得2分；4）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供应商根据本项目特点，提供具有针对性、切实、可行性、有效性的合理化建议。 1）内容详细、科学、合理、全面得7分； 2）内容科学明确但存在瑕疵的得4分； 3）内容描述不完整或内容简单得2分；4）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提供供应商2021年1月1日以来类似项目业绩合同，一份有效业绩得2分，满分6分。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有效投标最低报价为基准价得满分10分；其他各投标供应商的报价得分按下列公式计算：（基准价/投标报价）×10。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