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版本号：HHGJZC2025-CS32820251010001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公务车辆保险采购项目(二次)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HHGJZC2025-CS328</w:t>
      </w:r>
      <w:r>
        <w:br/>
      </w:r>
      <w:r>
        <w:br/>
      </w:r>
      <w:r>
        <w:br/>
      </w:r>
    </w:p>
    <w:p>
      <w:pPr>
        <w:pStyle w:val="null3"/>
        <w:jc w:val="center"/>
        <w:outlineLvl w:val="2"/>
      </w:pPr>
      <w:r>
        <w:rPr>
          <w:rFonts w:ascii="仿宋_GB2312" w:hAnsi="仿宋_GB2312" w:cs="仿宋_GB2312" w:eastAsia="仿宋_GB2312"/>
          <w:sz w:val="28"/>
          <w:b/>
        </w:rPr>
        <w:t>西安市公安局雁塔分局</w:t>
      </w:r>
    </w:p>
    <w:p>
      <w:pPr>
        <w:pStyle w:val="null3"/>
        <w:jc w:val="center"/>
        <w:outlineLvl w:val="2"/>
      </w:pPr>
      <w:r>
        <w:rPr>
          <w:rFonts w:ascii="仿宋_GB2312" w:hAnsi="仿宋_GB2312" w:cs="仿宋_GB2312" w:eastAsia="仿宋_GB2312"/>
          <w:sz w:val="28"/>
          <w:b/>
        </w:rPr>
        <w:t>陕西华海国际项目管理有限公司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陕西华海国际项目管理有限公司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西安市公安局雁塔分局</w:t>
      </w:r>
      <w:r>
        <w:rPr>
          <w:rFonts w:ascii="仿宋_GB2312" w:hAnsi="仿宋_GB2312" w:cs="仿宋_GB2312" w:eastAsia="仿宋_GB2312"/>
        </w:rPr>
        <w:t>委托，拟对</w:t>
      </w:r>
      <w:r>
        <w:rPr>
          <w:rFonts w:ascii="仿宋_GB2312" w:hAnsi="仿宋_GB2312" w:cs="仿宋_GB2312" w:eastAsia="仿宋_GB2312"/>
        </w:rPr>
        <w:t>公务车辆保险采购项目(二次)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HHGJZC2025-CS328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公务车辆保险采购项目(二次)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公务车辆保险采购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pPr>
      <w:r>
        <w:rPr>
          <w:rFonts w:ascii="仿宋_GB2312" w:hAnsi="仿宋_GB2312" w:cs="仿宋_GB2312" w:eastAsia="仿宋_GB2312"/>
        </w:rPr>
        <w:t>3、保险许可证：供应商须具有经营机动车辆保险业务资格，提供保险监督管理机构批准的《保险许可证》。（总公司取得的相关资质和指标，分支机构经总公司有效授权视为拥有同等资质和指标，总公司只允许授权1家分支机构参与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西安市公安局雁塔分局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雁塔区翠华路333号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029-85232950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陕西华海国际项目管理有限公司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陕西省西安市经济技术开发区明光路凤城五路向北路西龙腾半导体产业园FED创新中心项目B座3楼312号房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吕博延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029-89164609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029-85241400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代理服务费收费标准：定额收取人民币捌仟元整（￥8000.00元）。 成交供应商在领取成交通知书前，须向采购代理机构一次性支付招标代理服务费。 户名：陕西华海国际项目管理有限公司西安分公司 开户行：中国建设银行股份有限公司西安凤城四路支行 账号：61050190580000002095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西安市公安局雁塔分局</w:t>
      </w:r>
      <w:r>
        <w:rPr>
          <w:rFonts w:ascii="仿宋_GB2312" w:hAnsi="仿宋_GB2312" w:cs="仿宋_GB2312" w:eastAsia="仿宋_GB2312"/>
        </w:rPr>
        <w:t>和</w:t>
      </w:r>
      <w:r>
        <w:rPr>
          <w:rFonts w:ascii="仿宋_GB2312" w:hAnsi="仿宋_GB2312" w:cs="仿宋_GB2312" w:eastAsia="仿宋_GB2312"/>
        </w:rPr>
        <w:t>陕西华海国际项目管理有限公司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西安市公安局雁塔分局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陕西华海国际项目管理有限公司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西安市公安局雁塔分局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陕西华海国际项目管理有限公司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满足采购人的采购需求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联系人：吕博延</w:t>
      </w:r>
    </w:p>
    <w:p>
      <w:pPr>
        <w:pStyle w:val="null3"/>
      </w:pPr>
      <w:r>
        <w:rPr>
          <w:rFonts w:ascii="仿宋_GB2312" w:hAnsi="仿宋_GB2312" w:cs="仿宋_GB2312" w:eastAsia="仿宋_GB2312"/>
        </w:rPr>
        <w:t>联系电话：029-89164609</w:t>
      </w:r>
    </w:p>
    <w:p>
      <w:pPr>
        <w:pStyle w:val="null3"/>
      </w:pPr>
      <w:r>
        <w:rPr>
          <w:rFonts w:ascii="仿宋_GB2312" w:hAnsi="仿宋_GB2312" w:cs="仿宋_GB2312" w:eastAsia="仿宋_GB2312"/>
        </w:rPr>
        <w:t>地址：陕西省西安市经济技术开发区明光路凤城五路向北路西龙腾半导体产业园FED创新中心项目B座3楼312号房</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公务车辆保险采购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公务车辆保险采购项目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标的名称：公务车辆保险采购项目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项目概况：</w:t>
            </w:r>
            <w:r>
              <w:rPr>
                <w:rFonts w:ascii="仿宋_GB2312" w:hAnsi="仿宋_GB2312" w:cs="仿宋_GB2312" w:eastAsia="仿宋_GB2312"/>
                <w:sz w:val="24"/>
              </w:rPr>
              <w:t>西安市公安局雁塔分局公务车辆保险项目采购，为保障工作人员用车安全及车辆安全，现需要对分局及下属单位共</w:t>
            </w:r>
            <w:r>
              <w:rPr>
                <w:rFonts w:ascii="仿宋_GB2312" w:hAnsi="仿宋_GB2312" w:cs="仿宋_GB2312" w:eastAsia="仿宋_GB2312"/>
                <w:sz w:val="24"/>
              </w:rPr>
              <w:t>268辆公务车辆采购车辆保险服务。</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b/>
              </w:rPr>
              <w:t>投保险种：</w:t>
            </w:r>
          </w:p>
          <w:p>
            <w:pPr>
              <w:pStyle w:val="null3"/>
              <w:jc w:val="both"/>
            </w:pPr>
            <w:r>
              <w:rPr>
                <w:rFonts w:ascii="仿宋_GB2312" w:hAnsi="仿宋_GB2312" w:cs="仿宋_GB2312" w:eastAsia="仿宋_GB2312"/>
                <w:sz w:val="24"/>
              </w:rPr>
              <w:t>（一）车辆承保的是交强险和商业险套单</w:t>
            </w:r>
          </w:p>
          <w:p>
            <w:pPr>
              <w:pStyle w:val="null3"/>
              <w:jc w:val="both"/>
            </w:pPr>
            <w:r>
              <w:rPr>
                <w:rFonts w:ascii="仿宋_GB2312" w:hAnsi="仿宋_GB2312" w:cs="仿宋_GB2312" w:eastAsia="仿宋_GB2312"/>
                <w:sz w:val="24"/>
              </w:rPr>
              <w:t>（二）交强险事故有责限额：</w:t>
            </w:r>
          </w:p>
          <w:p>
            <w:pPr>
              <w:pStyle w:val="null3"/>
              <w:jc w:val="both"/>
            </w:pPr>
            <w:r>
              <w:rPr>
                <w:rFonts w:ascii="仿宋_GB2312" w:hAnsi="仿宋_GB2312" w:cs="仿宋_GB2312" w:eastAsia="仿宋_GB2312"/>
                <w:sz w:val="24"/>
              </w:rPr>
              <w:t>责任限额死亡伤残赔偿限额：</w:t>
            </w:r>
            <w:r>
              <w:rPr>
                <w:rFonts w:ascii="仿宋_GB2312" w:hAnsi="仿宋_GB2312" w:cs="仿宋_GB2312" w:eastAsia="仿宋_GB2312"/>
                <w:sz w:val="24"/>
              </w:rPr>
              <w:t>¥180000元</w:t>
            </w:r>
          </w:p>
          <w:p>
            <w:pPr>
              <w:pStyle w:val="null3"/>
              <w:jc w:val="both"/>
            </w:pPr>
            <w:r>
              <w:rPr>
                <w:rFonts w:ascii="仿宋_GB2312" w:hAnsi="仿宋_GB2312" w:cs="仿宋_GB2312" w:eastAsia="仿宋_GB2312"/>
                <w:sz w:val="24"/>
              </w:rPr>
              <w:t>医疗费用赔偿限额：</w:t>
            </w:r>
            <w:r>
              <w:rPr>
                <w:rFonts w:ascii="仿宋_GB2312" w:hAnsi="仿宋_GB2312" w:cs="仿宋_GB2312" w:eastAsia="仿宋_GB2312"/>
                <w:sz w:val="24"/>
              </w:rPr>
              <w:t>¥18000元</w:t>
            </w:r>
          </w:p>
          <w:p>
            <w:pPr>
              <w:pStyle w:val="null3"/>
              <w:jc w:val="both"/>
            </w:pPr>
            <w:r>
              <w:rPr>
                <w:rFonts w:ascii="仿宋_GB2312" w:hAnsi="仿宋_GB2312" w:cs="仿宋_GB2312" w:eastAsia="仿宋_GB2312"/>
                <w:sz w:val="24"/>
              </w:rPr>
              <w:t>财产损失赔偿限额：</w:t>
            </w:r>
            <w:r>
              <w:rPr>
                <w:rFonts w:ascii="仿宋_GB2312" w:hAnsi="仿宋_GB2312" w:cs="仿宋_GB2312" w:eastAsia="仿宋_GB2312"/>
                <w:sz w:val="24"/>
              </w:rPr>
              <w:t>¥2000元</w:t>
            </w:r>
          </w:p>
          <w:p>
            <w:pPr>
              <w:pStyle w:val="null3"/>
              <w:jc w:val="both"/>
            </w:pPr>
            <w:r>
              <w:rPr>
                <w:rFonts w:ascii="仿宋_GB2312" w:hAnsi="仿宋_GB2312" w:cs="仿宋_GB2312" w:eastAsia="仿宋_GB2312"/>
                <w:sz w:val="24"/>
              </w:rPr>
              <w:t>无责任死亡伤残赔偿限额：</w:t>
            </w:r>
            <w:r>
              <w:rPr>
                <w:rFonts w:ascii="仿宋_GB2312" w:hAnsi="仿宋_GB2312" w:cs="仿宋_GB2312" w:eastAsia="仿宋_GB2312"/>
                <w:sz w:val="24"/>
              </w:rPr>
              <w:t>¥18000元</w:t>
            </w:r>
          </w:p>
          <w:p>
            <w:pPr>
              <w:pStyle w:val="null3"/>
              <w:jc w:val="both"/>
            </w:pPr>
            <w:r>
              <w:rPr>
                <w:rFonts w:ascii="仿宋_GB2312" w:hAnsi="仿宋_GB2312" w:cs="仿宋_GB2312" w:eastAsia="仿宋_GB2312"/>
                <w:sz w:val="24"/>
              </w:rPr>
              <w:t>无责任医疗费用赔偿限额：</w:t>
            </w:r>
            <w:r>
              <w:rPr>
                <w:rFonts w:ascii="仿宋_GB2312" w:hAnsi="仿宋_GB2312" w:cs="仿宋_GB2312" w:eastAsia="仿宋_GB2312"/>
                <w:sz w:val="24"/>
              </w:rPr>
              <w:t>¥1800元</w:t>
            </w:r>
          </w:p>
          <w:p>
            <w:pPr>
              <w:pStyle w:val="null3"/>
              <w:jc w:val="both"/>
            </w:pPr>
            <w:r>
              <w:rPr>
                <w:rFonts w:ascii="仿宋_GB2312" w:hAnsi="仿宋_GB2312" w:cs="仿宋_GB2312" w:eastAsia="仿宋_GB2312"/>
                <w:sz w:val="24"/>
              </w:rPr>
              <w:t>无责任财产损失赔偿限额：</w:t>
            </w:r>
            <w:r>
              <w:rPr>
                <w:rFonts w:ascii="仿宋_GB2312" w:hAnsi="仿宋_GB2312" w:cs="仿宋_GB2312" w:eastAsia="仿宋_GB2312"/>
                <w:sz w:val="24"/>
              </w:rPr>
              <w:t>¥100元</w:t>
            </w:r>
          </w:p>
          <w:p>
            <w:pPr>
              <w:pStyle w:val="null3"/>
              <w:jc w:val="both"/>
            </w:pPr>
            <w:r>
              <w:rPr>
                <w:rFonts w:ascii="仿宋_GB2312" w:hAnsi="仿宋_GB2312" w:cs="仿宋_GB2312" w:eastAsia="仿宋_GB2312"/>
                <w:sz w:val="24"/>
              </w:rPr>
              <w:t>（三）商业险承保保项：</w:t>
            </w:r>
            <w:r>
              <w:rPr>
                <w:rFonts w:ascii="仿宋_GB2312" w:hAnsi="仿宋_GB2312" w:cs="仿宋_GB2312" w:eastAsia="仿宋_GB2312"/>
                <w:sz w:val="24"/>
              </w:rPr>
              <w:t>1、车损险(包含①车损险②盗抢险③自燃险④发动机涉水险⑤玻璃玻碎险⑥无法找到第三方 )</w:t>
            </w:r>
          </w:p>
          <w:p>
            <w:pPr>
              <w:pStyle w:val="null3"/>
              <w:jc w:val="both"/>
            </w:pPr>
            <w:r>
              <w:rPr>
                <w:rFonts w:ascii="仿宋_GB2312" w:hAnsi="仿宋_GB2312" w:cs="仿宋_GB2312" w:eastAsia="仿宋_GB2312"/>
                <w:sz w:val="24"/>
              </w:rPr>
              <w:t>（四）三责险保额：</w:t>
            </w:r>
            <w:r>
              <w:rPr>
                <w:rFonts w:ascii="仿宋_GB2312" w:hAnsi="仿宋_GB2312" w:cs="仿宋_GB2312" w:eastAsia="仿宋_GB2312"/>
                <w:sz w:val="24"/>
              </w:rPr>
              <w:t>100万</w:t>
            </w:r>
          </w:p>
          <w:p>
            <w:pPr>
              <w:pStyle w:val="null3"/>
              <w:jc w:val="both"/>
            </w:pPr>
            <w:r>
              <w:rPr>
                <w:rFonts w:ascii="仿宋_GB2312" w:hAnsi="仿宋_GB2312" w:cs="仿宋_GB2312" w:eastAsia="仿宋_GB2312"/>
                <w:sz w:val="24"/>
              </w:rPr>
              <w:t>（五）车上人员险保额：</w:t>
            </w:r>
            <w:r>
              <w:rPr>
                <w:rFonts w:ascii="仿宋_GB2312" w:hAnsi="仿宋_GB2312" w:cs="仿宋_GB2312" w:eastAsia="仿宋_GB2312"/>
                <w:sz w:val="24"/>
              </w:rPr>
              <w:t>1万（车司机和乘客）</w:t>
            </w:r>
          </w:p>
          <w:p>
            <w:pPr>
              <w:pStyle w:val="null3"/>
              <w:jc w:val="both"/>
            </w:pPr>
            <w:r>
              <w:rPr>
                <w:rFonts w:ascii="仿宋_GB2312" w:hAnsi="仿宋_GB2312" w:cs="仿宋_GB2312" w:eastAsia="仿宋_GB2312"/>
                <w:sz w:val="24"/>
              </w:rPr>
              <w:t>（六）道路救援（</w:t>
            </w:r>
            <w:r>
              <w:rPr>
                <w:rFonts w:ascii="仿宋_GB2312" w:hAnsi="仿宋_GB2312" w:cs="仿宋_GB2312" w:eastAsia="仿宋_GB2312"/>
                <w:sz w:val="24"/>
              </w:rPr>
              <w:t>2次）包括：单程50公里以内拖车、送油、送水、送防冻液、搭电、轮胎充气、更换轮胎。</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b/>
              </w:rPr>
              <w:t>专业服务要求：</w:t>
            </w:r>
          </w:p>
          <w:p>
            <w:pPr>
              <w:pStyle w:val="null3"/>
              <w:ind w:firstLine="480"/>
              <w:jc w:val="both"/>
            </w:pPr>
            <w:r>
              <w:rPr>
                <w:rFonts w:ascii="仿宋_GB2312" w:hAnsi="仿宋_GB2312" w:cs="仿宋_GB2312" w:eastAsia="仿宋_GB2312"/>
                <w:sz w:val="24"/>
              </w:rPr>
              <w:t>1.承保服务</w:t>
            </w:r>
          </w:p>
          <w:p>
            <w:pPr>
              <w:pStyle w:val="null3"/>
              <w:ind w:firstLine="480"/>
              <w:jc w:val="both"/>
            </w:pPr>
            <w:r>
              <w:rPr>
                <w:rFonts w:ascii="仿宋_GB2312" w:hAnsi="仿宋_GB2312" w:cs="仿宋_GB2312" w:eastAsia="仿宋_GB2312"/>
                <w:sz w:val="24"/>
              </w:rPr>
              <w:t>1.1设有全国统一的服务专线和专业电话服务系统，保证全年24小时专人接听，可提供报案救援、全方位理赔、咨询等专业服务。</w:t>
            </w:r>
          </w:p>
          <w:p>
            <w:pPr>
              <w:pStyle w:val="null3"/>
              <w:ind w:firstLine="480"/>
              <w:jc w:val="both"/>
            </w:pPr>
            <w:r>
              <w:rPr>
                <w:rFonts w:ascii="仿宋_GB2312" w:hAnsi="仿宋_GB2312" w:cs="仿宋_GB2312" w:eastAsia="仿宋_GB2312"/>
                <w:sz w:val="24"/>
              </w:rPr>
              <w:t>1.2.在服务期内设有固定的服务团队，人员配备充足，有明确合理的分工能够应付各种业务和险情的。</w:t>
            </w:r>
          </w:p>
          <w:p>
            <w:pPr>
              <w:pStyle w:val="null3"/>
              <w:ind w:firstLine="480"/>
              <w:jc w:val="both"/>
            </w:pPr>
            <w:r>
              <w:rPr>
                <w:rFonts w:ascii="仿宋_GB2312" w:hAnsi="仿宋_GB2312" w:cs="仿宋_GB2312" w:eastAsia="仿宋_GB2312"/>
                <w:sz w:val="24"/>
              </w:rPr>
              <w:t>1.3.保险业务办理:上门办理签单、收取相关资料和及时送达保单:有专人办理有关承保手续，送达保险资料等，享受承保优先的“畅通”服务。</w:t>
            </w:r>
          </w:p>
          <w:p>
            <w:pPr>
              <w:pStyle w:val="null3"/>
              <w:ind w:firstLine="480"/>
              <w:jc w:val="both"/>
            </w:pPr>
            <w:r>
              <w:rPr>
                <w:rFonts w:ascii="仿宋_GB2312" w:hAnsi="仿宋_GB2312" w:cs="仿宋_GB2312" w:eastAsia="仿宋_GB2312"/>
                <w:sz w:val="24"/>
              </w:rPr>
              <w:t>1.4.承诺在</w:t>
            </w:r>
            <w:r>
              <w:rPr>
                <w:rFonts w:ascii="仿宋_GB2312" w:hAnsi="仿宋_GB2312" w:cs="仿宋_GB2312" w:eastAsia="仿宋_GB2312"/>
                <w:sz w:val="24"/>
              </w:rPr>
              <w:t>采购人</w:t>
            </w:r>
            <w:r>
              <w:rPr>
                <w:rFonts w:ascii="仿宋_GB2312" w:hAnsi="仿宋_GB2312" w:cs="仿宋_GB2312" w:eastAsia="仿宋_GB2312"/>
                <w:sz w:val="24"/>
              </w:rPr>
              <w:t>提供车辆投保信息</w:t>
            </w:r>
            <w:r>
              <w:rPr>
                <w:rFonts w:ascii="仿宋_GB2312" w:hAnsi="仿宋_GB2312" w:cs="仿宋_GB2312" w:eastAsia="仿宋_GB2312"/>
                <w:sz w:val="24"/>
              </w:rPr>
              <w:t>后</w:t>
            </w:r>
            <w:r>
              <w:rPr>
                <w:rFonts w:ascii="仿宋_GB2312" w:hAnsi="仿宋_GB2312" w:cs="仿宋_GB2312" w:eastAsia="仿宋_GB2312"/>
                <w:sz w:val="24"/>
              </w:rPr>
              <w:t>7</w:t>
            </w:r>
            <w:r>
              <w:rPr>
                <w:rFonts w:ascii="仿宋_GB2312" w:hAnsi="仿宋_GB2312" w:cs="仿宋_GB2312" w:eastAsia="仿宋_GB2312"/>
                <w:sz w:val="24"/>
              </w:rPr>
              <w:t>日内出具正式保险单。</w:t>
            </w:r>
          </w:p>
          <w:p>
            <w:pPr>
              <w:pStyle w:val="null3"/>
              <w:ind w:firstLine="480"/>
              <w:jc w:val="both"/>
            </w:pPr>
            <w:r>
              <w:rPr>
                <w:rFonts w:ascii="仿宋_GB2312" w:hAnsi="仿宋_GB2312" w:cs="仿宋_GB2312" w:eastAsia="仿宋_GB2312"/>
                <w:sz w:val="24"/>
              </w:rPr>
              <w:t>1.5.</w:t>
            </w:r>
            <w:r>
              <w:rPr>
                <w:rFonts w:ascii="仿宋_GB2312" w:hAnsi="仿宋_GB2312" w:cs="仿宋_GB2312" w:eastAsia="仿宋_GB2312"/>
                <w:sz w:val="24"/>
              </w:rPr>
              <w:t>定期</w:t>
            </w:r>
            <w:r>
              <w:rPr>
                <w:rFonts w:ascii="仿宋_GB2312" w:hAnsi="仿宋_GB2312" w:cs="仿宋_GB2312" w:eastAsia="仿宋_GB2312"/>
                <w:sz w:val="24"/>
              </w:rPr>
              <w:t>客户回访。</w:t>
            </w:r>
          </w:p>
          <w:p>
            <w:pPr>
              <w:pStyle w:val="null3"/>
              <w:ind w:firstLine="480"/>
              <w:jc w:val="both"/>
            </w:pPr>
            <w:r>
              <w:rPr>
                <w:rFonts w:ascii="仿宋_GB2312" w:hAnsi="仿宋_GB2312" w:cs="仿宋_GB2312" w:eastAsia="仿宋_GB2312"/>
                <w:sz w:val="24"/>
              </w:rPr>
              <w:t>2.理赔服务</w:t>
            </w:r>
          </w:p>
          <w:p>
            <w:pPr>
              <w:pStyle w:val="null3"/>
              <w:ind w:firstLine="480"/>
              <w:jc w:val="both"/>
            </w:pPr>
            <w:r>
              <w:rPr>
                <w:rFonts w:ascii="仿宋_GB2312" w:hAnsi="仿宋_GB2312" w:cs="仿宋_GB2312" w:eastAsia="仿宋_GB2312"/>
                <w:sz w:val="24"/>
              </w:rPr>
              <w:t>2.1针对本项目理赔服务成立专门的服务小组，分管领导亲自负责(应有具体成员名单，包括姓名、所在公司、职务、职称、工作职责、联系方式等)；</w:t>
            </w:r>
          </w:p>
          <w:p>
            <w:pPr>
              <w:pStyle w:val="null3"/>
              <w:ind w:firstLine="480"/>
              <w:jc w:val="both"/>
            </w:pPr>
            <w:r>
              <w:rPr>
                <w:rFonts w:ascii="仿宋_GB2312" w:hAnsi="仿宋_GB2312" w:cs="仿宋_GB2312" w:eastAsia="仿宋_GB2312"/>
                <w:sz w:val="24"/>
              </w:rPr>
              <w:t>2.2设有24小时报案、理赔服务电话，并保证随时有专人接听，受理索赔接报案;</w:t>
            </w:r>
          </w:p>
          <w:p>
            <w:pPr>
              <w:pStyle w:val="null3"/>
              <w:ind w:firstLine="480"/>
              <w:jc w:val="both"/>
            </w:pPr>
            <w:r>
              <w:rPr>
                <w:rFonts w:ascii="仿宋_GB2312" w:hAnsi="仿宋_GB2312" w:cs="仿宋_GB2312" w:eastAsia="仿宋_GB2312"/>
                <w:sz w:val="24"/>
              </w:rPr>
              <w:t>2.3成交保险公司在接到被保险单位的出险报案后，派出的查勘人员，市内1小时内赶赴出险地点;郊县2小时内到达;省内24小时内派员或委托当地乙方保险公司代为现场查勘；</w:t>
            </w:r>
          </w:p>
          <w:p>
            <w:pPr>
              <w:pStyle w:val="null3"/>
              <w:ind w:firstLine="480"/>
              <w:jc w:val="both"/>
            </w:pPr>
            <w:r>
              <w:rPr>
                <w:rFonts w:ascii="仿宋_GB2312" w:hAnsi="仿宋_GB2312" w:cs="仿宋_GB2312" w:eastAsia="仿宋_GB2312"/>
                <w:sz w:val="24"/>
              </w:rPr>
              <w:t>2.4采购人因特殊情况无法在保险公司规定的时间内报案，采购人事后出具书面说明，经成交供应商核实后可视同为及时报案；</w:t>
            </w:r>
          </w:p>
          <w:p>
            <w:pPr>
              <w:pStyle w:val="null3"/>
              <w:ind w:firstLine="480"/>
              <w:jc w:val="both"/>
            </w:pPr>
            <w:r>
              <w:rPr>
                <w:rFonts w:ascii="仿宋_GB2312" w:hAnsi="仿宋_GB2312" w:cs="仿宋_GB2312" w:eastAsia="仿宋_GB2312"/>
                <w:sz w:val="24"/>
              </w:rPr>
              <w:t>2.5有专人指导被保险人全程办理相关的索赔手续；</w:t>
            </w:r>
          </w:p>
          <w:p>
            <w:pPr>
              <w:pStyle w:val="null3"/>
              <w:ind w:firstLine="480"/>
              <w:jc w:val="both"/>
            </w:pPr>
            <w:r>
              <w:rPr>
                <w:rFonts w:ascii="仿宋_GB2312" w:hAnsi="仿宋_GB2312" w:cs="仿宋_GB2312" w:eastAsia="仿宋_GB2312"/>
                <w:sz w:val="24"/>
              </w:rPr>
              <w:t>2.6供应商需制定“简易赔案现场赔付处理办法”</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2.7对于重大事故或因特殊原因不能按期结案的，经被保险单位申请，保险责任相对明确，保险公司应能提供初步能确定的损失金额的50%预付赔款；</w:t>
            </w:r>
          </w:p>
          <w:p>
            <w:pPr>
              <w:pStyle w:val="null3"/>
              <w:ind w:firstLine="480"/>
              <w:jc w:val="both"/>
            </w:pPr>
            <w:r>
              <w:rPr>
                <w:rFonts w:ascii="仿宋_GB2312" w:hAnsi="仿宋_GB2312" w:cs="仿宋_GB2312" w:eastAsia="仿宋_GB2312"/>
                <w:sz w:val="24"/>
              </w:rPr>
              <w:t>2.8在接到采购人报案后会，如需要查勘现场，须指派经验丰富的理赔查勘人员进行现场查勘和定损，如果发生理赔查勘人员超过时限未到现场的情况，采购人可对事故现场进行必要的处理及拍照并保留有关现场照片和有关索赔单证，成交供应商认可采购人所申报的事故经过，并认可采购人采取的有关施救处理措施以及发生的有效的、合理的施救费用。</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定损及理赔</w:t>
            </w:r>
          </w:p>
          <w:p>
            <w:pPr>
              <w:pStyle w:val="null3"/>
              <w:ind w:firstLine="480"/>
              <w:jc w:val="both"/>
            </w:pPr>
            <w:r>
              <w:rPr>
                <w:rFonts w:ascii="仿宋_GB2312" w:hAnsi="仿宋_GB2312" w:cs="仿宋_GB2312" w:eastAsia="仿宋_GB2312"/>
                <w:sz w:val="24"/>
              </w:rPr>
              <w:t>3.1定损时限</w:t>
            </w:r>
          </w:p>
          <w:p>
            <w:pPr>
              <w:pStyle w:val="null3"/>
              <w:ind w:firstLine="480"/>
              <w:jc w:val="both"/>
            </w:pPr>
            <w:r>
              <w:rPr>
                <w:rFonts w:ascii="仿宋_GB2312" w:hAnsi="仿宋_GB2312" w:cs="仿宋_GB2312" w:eastAsia="仿宋_GB2312"/>
                <w:sz w:val="24"/>
              </w:rPr>
              <w:t>成交供应商接到车辆出险报案后，市区范围内定损人员应于</w:t>
            </w:r>
            <w:r>
              <w:rPr>
                <w:rFonts w:ascii="仿宋_GB2312" w:hAnsi="仿宋_GB2312" w:cs="仿宋_GB2312" w:eastAsia="仿宋_GB2312"/>
                <w:sz w:val="24"/>
              </w:rPr>
              <w:t>2小时内赶赴现场，以“快速、准确、合理”的原则尽快定损。成交供应商为采购人投保车辆提供24小时定损服务。对于在异地出险的上述车辆，成交供应商定损人员将尽快赶赴现场或尽快委托当地保险公司代查勘定损，以便尽快修复车辆、处理事故、申请索赔。时限要求如下:</w:t>
            </w:r>
          </w:p>
          <w:p>
            <w:pPr>
              <w:pStyle w:val="null3"/>
              <w:ind w:firstLine="480"/>
              <w:jc w:val="both"/>
            </w:pPr>
            <w:r>
              <w:rPr>
                <w:rFonts w:ascii="仿宋_GB2312" w:hAnsi="仿宋_GB2312" w:cs="仿宋_GB2312" w:eastAsia="仿宋_GB2312"/>
                <w:sz w:val="24"/>
              </w:rPr>
              <w:t>估损金额在人民币</w:t>
            </w:r>
            <w:r>
              <w:rPr>
                <w:rFonts w:ascii="仿宋_GB2312" w:hAnsi="仿宋_GB2312" w:cs="仿宋_GB2312" w:eastAsia="仿宋_GB2312"/>
                <w:sz w:val="24"/>
              </w:rPr>
              <w:t>10000元以下的，当场定损:</w:t>
            </w:r>
          </w:p>
          <w:p>
            <w:pPr>
              <w:pStyle w:val="null3"/>
              <w:ind w:firstLine="480"/>
              <w:jc w:val="both"/>
            </w:pPr>
            <w:r>
              <w:rPr>
                <w:rFonts w:ascii="仿宋_GB2312" w:hAnsi="仿宋_GB2312" w:cs="仿宋_GB2312" w:eastAsia="仿宋_GB2312"/>
                <w:sz w:val="24"/>
              </w:rPr>
              <w:t>估损金额在人民币</w:t>
            </w:r>
            <w:r>
              <w:rPr>
                <w:rFonts w:ascii="仿宋_GB2312" w:hAnsi="仿宋_GB2312" w:cs="仿宋_GB2312" w:eastAsia="仿宋_GB2312"/>
                <w:sz w:val="24"/>
              </w:rPr>
              <w:t>10000元至30000元(含)，1个工作日内定损；</w:t>
            </w:r>
          </w:p>
          <w:p>
            <w:pPr>
              <w:pStyle w:val="null3"/>
              <w:ind w:firstLine="480"/>
              <w:jc w:val="both"/>
            </w:pPr>
            <w:r>
              <w:rPr>
                <w:rFonts w:ascii="仿宋_GB2312" w:hAnsi="仿宋_GB2312" w:cs="仿宋_GB2312" w:eastAsia="仿宋_GB2312"/>
                <w:sz w:val="24"/>
              </w:rPr>
              <w:t>估损金额在人民币</w:t>
            </w:r>
            <w:r>
              <w:rPr>
                <w:rFonts w:ascii="仿宋_GB2312" w:hAnsi="仿宋_GB2312" w:cs="仿宋_GB2312" w:eastAsia="仿宋_GB2312"/>
                <w:sz w:val="24"/>
              </w:rPr>
              <w:t>30000元至50000元(含)，2个工作日内定损;</w:t>
            </w:r>
          </w:p>
          <w:p>
            <w:pPr>
              <w:pStyle w:val="null3"/>
              <w:ind w:firstLine="480"/>
              <w:jc w:val="both"/>
            </w:pPr>
            <w:r>
              <w:rPr>
                <w:rFonts w:ascii="仿宋_GB2312" w:hAnsi="仿宋_GB2312" w:cs="仿宋_GB2312" w:eastAsia="仿宋_GB2312"/>
                <w:sz w:val="24"/>
              </w:rPr>
              <w:t>估损金额在人民币</w:t>
            </w:r>
            <w:r>
              <w:rPr>
                <w:rFonts w:ascii="仿宋_GB2312" w:hAnsi="仿宋_GB2312" w:cs="仿宋_GB2312" w:eastAsia="仿宋_GB2312"/>
                <w:sz w:val="24"/>
              </w:rPr>
              <w:t>50000元至100000元(含)以上，7个工作日内定损；</w:t>
            </w:r>
          </w:p>
          <w:p>
            <w:pPr>
              <w:pStyle w:val="null3"/>
              <w:ind w:firstLine="480"/>
              <w:jc w:val="both"/>
            </w:pPr>
            <w:r>
              <w:rPr>
                <w:rFonts w:ascii="仿宋_GB2312" w:hAnsi="仿宋_GB2312" w:cs="仿宋_GB2312" w:eastAsia="仿宋_GB2312"/>
                <w:sz w:val="24"/>
              </w:rPr>
              <w:t>估损金额在人民币</w:t>
            </w:r>
            <w:r>
              <w:rPr>
                <w:rFonts w:ascii="仿宋_GB2312" w:hAnsi="仿宋_GB2312" w:cs="仿宋_GB2312" w:eastAsia="仿宋_GB2312"/>
                <w:sz w:val="24"/>
              </w:rPr>
              <w:t>100000元以上，10个工作日内定损;特殊、稀有、老旧车型应会同被保险人共同确定损失金额，7个工作日内定损。</w:t>
            </w:r>
          </w:p>
          <w:p>
            <w:pPr>
              <w:pStyle w:val="null3"/>
              <w:ind w:firstLine="480"/>
              <w:jc w:val="both"/>
            </w:pPr>
            <w:r>
              <w:rPr>
                <w:rFonts w:ascii="仿宋_GB2312" w:hAnsi="仿宋_GB2312" w:cs="仿宋_GB2312" w:eastAsia="仿宋_GB2312"/>
                <w:sz w:val="24"/>
              </w:rPr>
              <w:t>3.2理赔时限:</w:t>
            </w:r>
          </w:p>
          <w:p>
            <w:pPr>
              <w:pStyle w:val="null3"/>
              <w:ind w:firstLine="480"/>
              <w:jc w:val="both"/>
            </w:pPr>
            <w:r>
              <w:rPr>
                <w:rFonts w:ascii="仿宋_GB2312" w:hAnsi="仿宋_GB2312" w:cs="仿宋_GB2312" w:eastAsia="仿宋_GB2312"/>
                <w:sz w:val="24"/>
              </w:rPr>
              <w:t>在投保期内的一切事故索赔事宜</w:t>
            </w:r>
            <w:r>
              <w:rPr>
                <w:rFonts w:ascii="仿宋_GB2312" w:hAnsi="仿宋_GB2312" w:cs="仿宋_GB2312" w:eastAsia="仿宋_GB2312"/>
                <w:sz w:val="24"/>
              </w:rPr>
              <w:t>,由采购人作为受益人持保险卡直接与成交供应商联系办理索赔；</w:t>
            </w:r>
          </w:p>
          <w:p>
            <w:pPr>
              <w:pStyle w:val="null3"/>
              <w:ind w:firstLine="480"/>
              <w:jc w:val="both"/>
            </w:pPr>
            <w:r>
              <w:rPr>
                <w:rFonts w:ascii="仿宋_GB2312" w:hAnsi="仿宋_GB2312" w:cs="仿宋_GB2312" w:eastAsia="仿宋_GB2312"/>
                <w:sz w:val="24"/>
              </w:rPr>
              <w:t>对于上述处理的索赔，成交供应商承诺在收到客户提交真实有效完整的报案案件索赔材料后自与被保险人达成赔偿保险金协议之日起，保险赔款金额；</w:t>
            </w:r>
          </w:p>
          <w:p>
            <w:pPr>
              <w:pStyle w:val="null3"/>
              <w:ind w:firstLine="480"/>
              <w:jc w:val="both"/>
            </w:pPr>
            <w:r>
              <w:rPr>
                <w:rFonts w:ascii="仿宋_GB2312" w:hAnsi="仿宋_GB2312" w:cs="仿宋_GB2312" w:eastAsia="仿宋_GB2312"/>
                <w:sz w:val="24"/>
              </w:rPr>
              <w:t>估损金额在人民币</w:t>
            </w:r>
            <w:r>
              <w:rPr>
                <w:rFonts w:ascii="仿宋_GB2312" w:hAnsi="仿宋_GB2312" w:cs="仿宋_GB2312" w:eastAsia="仿宋_GB2312"/>
                <w:sz w:val="24"/>
              </w:rPr>
              <w:t>10000元以下的，结案当日进行赔付；</w:t>
            </w:r>
          </w:p>
          <w:p>
            <w:pPr>
              <w:pStyle w:val="null3"/>
              <w:ind w:firstLine="480"/>
              <w:jc w:val="both"/>
            </w:pPr>
            <w:r>
              <w:rPr>
                <w:rFonts w:ascii="仿宋_GB2312" w:hAnsi="仿宋_GB2312" w:cs="仿宋_GB2312" w:eastAsia="仿宋_GB2312"/>
                <w:sz w:val="24"/>
              </w:rPr>
              <w:t>估损金额在人民币</w:t>
            </w:r>
            <w:r>
              <w:rPr>
                <w:rFonts w:ascii="仿宋_GB2312" w:hAnsi="仿宋_GB2312" w:cs="仿宋_GB2312" w:eastAsia="仿宋_GB2312"/>
                <w:sz w:val="24"/>
              </w:rPr>
              <w:t>10000元至30000元(含)，结案后1-2个工作日进行赔付；</w:t>
            </w:r>
          </w:p>
          <w:p>
            <w:pPr>
              <w:pStyle w:val="null3"/>
              <w:ind w:firstLine="480"/>
              <w:jc w:val="both"/>
            </w:pPr>
            <w:r>
              <w:rPr>
                <w:rFonts w:ascii="仿宋_GB2312" w:hAnsi="仿宋_GB2312" w:cs="仿宋_GB2312" w:eastAsia="仿宋_GB2312"/>
                <w:sz w:val="24"/>
              </w:rPr>
              <w:t>估损金额在人民币</w:t>
            </w:r>
            <w:r>
              <w:rPr>
                <w:rFonts w:ascii="仿宋_GB2312" w:hAnsi="仿宋_GB2312" w:cs="仿宋_GB2312" w:eastAsia="仿宋_GB2312"/>
                <w:sz w:val="24"/>
              </w:rPr>
              <w:t>30000元至50000元(含)，结案后3-5个工作日进行赔付;</w:t>
            </w:r>
          </w:p>
          <w:p>
            <w:pPr>
              <w:pStyle w:val="null3"/>
              <w:ind w:firstLine="480"/>
              <w:jc w:val="both"/>
            </w:pPr>
            <w:r>
              <w:rPr>
                <w:rFonts w:ascii="仿宋_GB2312" w:hAnsi="仿宋_GB2312" w:cs="仿宋_GB2312" w:eastAsia="仿宋_GB2312"/>
                <w:sz w:val="24"/>
              </w:rPr>
              <w:t>估损金额在人民币</w:t>
            </w:r>
            <w:r>
              <w:rPr>
                <w:rFonts w:ascii="仿宋_GB2312" w:hAnsi="仿宋_GB2312" w:cs="仿宋_GB2312" w:eastAsia="仿宋_GB2312"/>
                <w:sz w:val="24"/>
              </w:rPr>
              <w:t>50000元至100000元(含)以上，结案后5-7个工作日进行赔付；估损金额在人民币100000元以上，5个工作日内定损;结案后10个工作日进行赔付;特殊、稀有、老旧车型应会同被保险人共同确定损失金额，结案后5-7个工作日进行赔付。</w:t>
            </w:r>
          </w:p>
          <w:p>
            <w:pPr>
              <w:pStyle w:val="null3"/>
              <w:ind w:firstLine="480"/>
              <w:jc w:val="both"/>
            </w:pPr>
            <w:r>
              <w:rPr>
                <w:rFonts w:ascii="仿宋_GB2312" w:hAnsi="仿宋_GB2312" w:cs="仿宋_GB2312" w:eastAsia="仿宋_GB2312"/>
                <w:sz w:val="24"/>
              </w:rPr>
              <w:t>4.赔款支付</w:t>
            </w:r>
          </w:p>
          <w:p>
            <w:pPr>
              <w:pStyle w:val="null3"/>
              <w:ind w:firstLine="480"/>
              <w:jc w:val="both"/>
            </w:pPr>
            <w:r>
              <w:rPr>
                <w:rFonts w:ascii="仿宋_GB2312" w:hAnsi="仿宋_GB2312" w:cs="仿宋_GB2312" w:eastAsia="仿宋_GB2312"/>
                <w:sz w:val="24"/>
              </w:rPr>
              <w:t>4.1若属于保险责任，但与被保险单位就赔偿金额未达成一致的，成交供应商可先行垫付相金额，因在短期内双方难以核定确切的损失金额，成交供应商根据采购人的书面申请(包括已发被认可的费用票据，预付赔款申请书)，在已核定拟赔金额之内，先行预付一定比例的赔款，同告知采购人被保险人理赔时索赔流程相关事宜，待损失金额一经确定，在规定的时间内支付余款；</w:t>
            </w:r>
          </w:p>
          <w:p>
            <w:pPr>
              <w:pStyle w:val="null3"/>
              <w:ind w:firstLine="480"/>
              <w:jc w:val="both"/>
            </w:pPr>
            <w:r>
              <w:rPr>
                <w:rFonts w:ascii="仿宋_GB2312" w:hAnsi="仿宋_GB2312" w:cs="仿宋_GB2312" w:eastAsia="仿宋_GB2312"/>
                <w:sz w:val="24"/>
              </w:rPr>
              <w:t>4.2如未按约定时间支付</w:t>
            </w:r>
            <w:r>
              <w:rPr>
                <w:rFonts w:ascii="仿宋_GB2312" w:hAnsi="仿宋_GB2312" w:cs="仿宋_GB2312" w:eastAsia="仿宋_GB2312"/>
                <w:sz w:val="24"/>
              </w:rPr>
              <w:t>赔</w:t>
            </w:r>
            <w:r>
              <w:rPr>
                <w:rFonts w:ascii="仿宋_GB2312" w:hAnsi="仿宋_GB2312" w:cs="仿宋_GB2312" w:eastAsia="仿宋_GB2312"/>
                <w:sz w:val="24"/>
              </w:rPr>
              <w:t>款，则按照实际拖延天数向被保险人支付赔款滞纳金，每超一日以未支付的赔偿金额为基数按</w:t>
            </w:r>
            <w:r>
              <w:rPr>
                <w:rFonts w:ascii="仿宋_GB2312" w:hAnsi="仿宋_GB2312" w:cs="仿宋_GB2312" w:eastAsia="仿宋_GB2312"/>
                <w:sz w:val="24"/>
              </w:rPr>
              <w:t>0.1%计算超过时间的赔款滞纳金。</w:t>
            </w:r>
          </w:p>
          <w:p>
            <w:pPr>
              <w:pStyle w:val="null3"/>
              <w:ind w:firstLine="480"/>
              <w:jc w:val="both"/>
            </w:pPr>
            <w:r>
              <w:rPr>
                <w:rFonts w:ascii="仿宋_GB2312" w:hAnsi="仿宋_GB2312" w:cs="仿宋_GB2312" w:eastAsia="仿宋_GB2312"/>
                <w:sz w:val="24"/>
              </w:rPr>
              <w:t>5.其他</w:t>
            </w:r>
          </w:p>
          <w:p>
            <w:pPr>
              <w:pStyle w:val="null3"/>
              <w:ind w:firstLine="480"/>
              <w:jc w:val="both"/>
            </w:pPr>
            <w:r>
              <w:rPr>
                <w:rFonts w:ascii="仿宋_GB2312" w:hAnsi="仿宋_GB2312" w:cs="仿宋_GB2312" w:eastAsia="仿宋_GB2312"/>
                <w:sz w:val="24"/>
              </w:rPr>
              <w:t>5.1保险与风险管理培训</w:t>
            </w:r>
          </w:p>
          <w:p>
            <w:pPr>
              <w:pStyle w:val="null3"/>
              <w:ind w:firstLine="480"/>
              <w:jc w:val="both"/>
            </w:pPr>
            <w:r>
              <w:rPr>
                <w:rFonts w:ascii="仿宋_GB2312" w:hAnsi="仿宋_GB2312" w:cs="仿宋_GB2312" w:eastAsia="仿宋_GB2312"/>
                <w:sz w:val="24"/>
              </w:rPr>
              <w:t>成交供应商应定期组织保险相关的培训活动，负责为相关岗位人员提供保险和风险管理培调培训内容包括但不限于</w:t>
            </w:r>
            <w:r>
              <w:rPr>
                <w:rFonts w:ascii="仿宋_GB2312" w:hAnsi="仿宋_GB2312" w:cs="仿宋_GB2312" w:eastAsia="仿宋_GB2312"/>
                <w:sz w:val="24"/>
              </w:rPr>
              <w:t>:保险责任介绍、风险识别及管理、潜在风险转移方法、理赔流程及索赔单证、典型案例等相关内容。</w:t>
            </w:r>
          </w:p>
          <w:p>
            <w:pPr>
              <w:pStyle w:val="null3"/>
              <w:ind w:firstLine="480"/>
              <w:jc w:val="both"/>
            </w:pPr>
            <w:r>
              <w:rPr>
                <w:rFonts w:ascii="仿宋_GB2312" w:hAnsi="仿宋_GB2312" w:cs="仿宋_GB2312" w:eastAsia="仿宋_GB2312"/>
                <w:sz w:val="24"/>
              </w:rPr>
              <w:t>5.2培训周期与费用</w:t>
            </w:r>
          </w:p>
          <w:p>
            <w:pPr>
              <w:pStyle w:val="null3"/>
              <w:ind w:firstLine="480"/>
              <w:jc w:val="both"/>
            </w:pPr>
            <w:r>
              <w:rPr>
                <w:rFonts w:ascii="仿宋_GB2312" w:hAnsi="仿宋_GB2312" w:cs="仿宋_GB2312" w:eastAsia="仿宋_GB2312"/>
                <w:sz w:val="24"/>
              </w:rPr>
              <w:t>培训以半年为一个周期，会议内容根据采购人需求而定，并在合理的情况下，由乙方承担培训费用。</w:t>
            </w:r>
          </w:p>
          <w:p>
            <w:pPr>
              <w:pStyle w:val="null3"/>
              <w:ind w:firstLine="480"/>
              <w:jc w:val="both"/>
            </w:pPr>
            <w:r>
              <w:rPr>
                <w:rFonts w:ascii="仿宋_GB2312" w:hAnsi="仿宋_GB2312" w:cs="仿宋_GB2312" w:eastAsia="仿宋_GB2312"/>
                <w:sz w:val="24"/>
              </w:rPr>
              <w:t>5.3车辆维修</w:t>
            </w:r>
          </w:p>
          <w:p>
            <w:pPr>
              <w:pStyle w:val="null3"/>
              <w:ind w:firstLine="480"/>
              <w:jc w:val="both"/>
            </w:pPr>
            <w:r>
              <w:rPr>
                <w:rFonts w:ascii="仿宋_GB2312" w:hAnsi="仿宋_GB2312" w:cs="仿宋_GB2312" w:eastAsia="仿宋_GB2312"/>
                <w:sz w:val="24"/>
              </w:rPr>
              <w:t>出险车辆的维修，应当在采购人指定的维修厂修理，若因车辆实际情况须返回车辆生产厂家维修的，成交供应商应送至车辆生产厂家进行维修。</w:t>
            </w:r>
          </w:p>
          <w:p>
            <w:pPr>
              <w:pStyle w:val="null3"/>
              <w:ind w:firstLine="480"/>
              <w:jc w:val="both"/>
            </w:pPr>
            <w:r>
              <w:rPr>
                <w:rFonts w:ascii="仿宋_GB2312" w:hAnsi="仿宋_GB2312" w:cs="仿宋_GB2312" w:eastAsia="仿宋_GB2312"/>
                <w:sz w:val="24"/>
              </w:rPr>
              <w:t>5.4拖车服务</w:t>
            </w:r>
          </w:p>
          <w:p>
            <w:pPr>
              <w:pStyle w:val="null3"/>
              <w:ind w:firstLine="480"/>
              <w:jc w:val="both"/>
            </w:pPr>
            <w:r>
              <w:rPr>
                <w:rFonts w:ascii="仿宋_GB2312" w:hAnsi="仿宋_GB2312" w:cs="仿宋_GB2312" w:eastAsia="仿宋_GB2312"/>
                <w:sz w:val="24"/>
              </w:rPr>
              <w:t>5.4.1成交供应商对于需要拖车的出险车辆应当提供拖车服务;若成交供应商无法或不能及时提供拖车服务，应当认可采购人提供的相关补偿救援费用，救援费用按照物价部门标准执行;拖车费用按照责任比例在保险车辆损失赔偿金额以外另行计算，最高可达到车辆损失险保险金额的数额</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5.4.2对于缺油、缺电、爆胎、发动机无法启动等情况无法行驶，成交供应商应提供免费紧急救援服务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6.车辆清单</w:t>
            </w:r>
            <w:r>
              <w:rPr>
                <w:rFonts w:ascii="仿宋_GB2312" w:hAnsi="仿宋_GB2312" w:cs="仿宋_GB2312" w:eastAsia="仿宋_GB2312"/>
                <w:sz w:val="24"/>
              </w:rPr>
              <w:t>（本项目采购预算包括但不限于以下车辆的交强险及商业险）</w:t>
            </w:r>
          </w:p>
          <w:tbl>
            <w:tblPr>
              <w:tblBorders>
                <w:top w:val="none" w:color="000000" w:sz="4"/>
                <w:left w:val="none" w:color="000000" w:sz="4"/>
                <w:bottom w:val="none" w:color="000000" w:sz="4"/>
                <w:right w:val="none" w:color="000000" w:sz="4"/>
                <w:insideH w:val="none"/>
                <w:insideV w:val="none"/>
              </w:tblBorders>
            </w:tblPr>
            <w:tblGrid>
              <w:gridCol w:w="365"/>
              <w:gridCol w:w="499"/>
              <w:gridCol w:w="450"/>
              <w:gridCol w:w="431"/>
              <w:gridCol w:w="242"/>
              <w:gridCol w:w="201"/>
              <w:gridCol w:w="365"/>
            </w:tblGrid>
            <w:tr>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车辆类型</w:t>
                  </w:r>
                </w:p>
              </w:tc>
              <w:tc>
                <w:tcPr>
                  <w:tcW w:type="dxa" w:w="4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车辆型号</w:t>
                  </w:r>
                </w:p>
              </w:tc>
              <w:tc>
                <w:tcPr>
                  <w:tcW w:type="dxa" w:w="4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厂牌</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颜色</w:t>
                  </w:r>
                </w:p>
              </w:tc>
              <w:tc>
                <w:tcPr>
                  <w:tcW w:type="dxa" w:w="2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燃料</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座位</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大型普通客车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NJ6713TR1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依维柯</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柴油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SVW71810HJ</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帕萨特轿车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一汽大众</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一汽大众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黑色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小型普通客车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JX6477DA-M</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江铃全顺</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蓝黑</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柴油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BYD7152WT6HEVB3</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中型普通客车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SH6591H4DB-NS</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柴油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微型</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SH6482N1GC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商务车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SH6482N1GC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BYD7152WT6HEVC2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BYD7152WT6HEVC2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BYD7153WT6HEV</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r>
                    <w:rPr>
                      <w:rFonts w:ascii="仿宋_GB2312" w:hAnsi="仿宋_GB2312" w:cs="仿宋_GB2312" w:eastAsia="仿宋_GB2312"/>
                      <w:sz w:val="21"/>
                    </w:rPr>
                    <w:t>L</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越野车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YQZ6430</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起亚狮跑</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FV7160BBAGG</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一汽捷达</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FV7160EBBGG</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一汽大众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黑色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中型普通客车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SH6591H4DB-NS</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柴油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BYD7152WT6HEVB4</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微型</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SH6482N1GC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BYD7152WT6HEVC2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BYD7152WT6HEVC2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BYD7152WT6HEVC2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MR7142D20</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吉利缤瑞</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越野车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HB6431BX</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现代途胜</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越野车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YQZ6430</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起亚狮跑</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大型普通客车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NJ6713TR1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依维柯</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柴油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SVW71810HJ</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帕萨特轿车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囚车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SC5028XQXH4</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重庆长安</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SVW7166HSD</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上海大众斯柯达</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FV7160EBBGG</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一汽捷达</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黑色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BYD7152WT6HEVB3</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小型普通客车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SH6482N1GC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小型普通客车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SH6482N1GC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小型普通客车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SH6482N1GC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中型普通客车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SH6591H4DB-NS</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柴油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多用途乘用车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LZ6510MQ16BM</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东风柳州</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商务车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SH6482N1GC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BYD7152WT6HEVC2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QCJ7200E3</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w:t>
                  </w:r>
                  <w:r>
                    <w:rPr>
                      <w:rFonts w:ascii="仿宋_GB2312" w:hAnsi="仿宋_GB2312" w:cs="仿宋_GB2312" w:eastAsia="仿宋_GB2312"/>
                      <w:sz w:val="21"/>
                    </w:rPr>
                    <w:t>G6</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YQZ6430E</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起亚狮跑</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HQ7182L05</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吉利帝豪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HQ7182L05</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吉利帝豪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HQ7182L05</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吉利帝豪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BYD7152WT6HEVB3</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小型普通客车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SH6482N1GC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小型普通客车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SH6482N2GC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BYD7008BEVA9</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纯电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中型客车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SH6591H4DB-NS</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柴油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BYD7152WT6HEVC2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57</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微型</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SH6482N1GC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商务车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SH6482N1GC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BYD7152WT6HEVC2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灰色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大型普通客车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NJ6713TR1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依维柯</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柴油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SVW71810HJ</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帕萨特轿车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SVW71810HJ</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帕萨特轿车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SVW72010KJ</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帕萨特轿车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小型普通客车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JX6477DA-M</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江铃全顺</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蓝黑</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柴油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小型普通客车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JX6477DA-M</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江铃全顺</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蓝黑</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柴油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66</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BYD7152WT6HEVC2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67</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BYD7152WT6HEVC2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68</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中型客车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SH6591H4DB-NS</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柴油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69</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中型客车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SH6591H4DB-NS</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柴油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中型客车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SH6591H4DB-NS</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柴油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BYD7153WT6HEV</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r>
                    <w:rPr>
                      <w:rFonts w:ascii="仿宋_GB2312" w:hAnsi="仿宋_GB2312" w:cs="仿宋_GB2312" w:eastAsia="仿宋_GB2312"/>
                      <w:sz w:val="21"/>
                    </w:rPr>
                    <w:t>L</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BYD7153WT6HEV</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r>
                    <w:rPr>
                      <w:rFonts w:ascii="仿宋_GB2312" w:hAnsi="仿宋_GB2312" w:cs="仿宋_GB2312" w:eastAsia="仿宋_GB2312"/>
                      <w:sz w:val="21"/>
                    </w:rPr>
                    <w:t>L</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73</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BYD7153WT6HEV</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r>
                    <w:rPr>
                      <w:rFonts w:ascii="仿宋_GB2312" w:hAnsi="仿宋_GB2312" w:cs="仿宋_GB2312" w:eastAsia="仿宋_GB2312"/>
                      <w:sz w:val="21"/>
                    </w:rPr>
                    <w:t>L</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74</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BYD7153WT6HEV</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r>
                    <w:rPr>
                      <w:rFonts w:ascii="仿宋_GB2312" w:hAnsi="仿宋_GB2312" w:cs="仿宋_GB2312" w:eastAsia="仿宋_GB2312"/>
                      <w:sz w:val="21"/>
                    </w:rPr>
                    <w:t>L</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越野车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BH6431BX</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现代途胜</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76</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越野车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YQZ6430</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现代途胜</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77</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越野车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YQZ6430</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起亚狮跑</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灰色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78</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SVW71810HJ</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帕萨特轿车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79</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HQ7182L05</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吉利帝豪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QCJ7200E3</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w:t>
                  </w:r>
                  <w:r>
                    <w:rPr>
                      <w:rFonts w:ascii="仿宋_GB2312" w:hAnsi="仿宋_GB2312" w:cs="仿宋_GB2312" w:eastAsia="仿宋_GB2312"/>
                      <w:sz w:val="21"/>
                    </w:rPr>
                    <w:t>F6</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越野车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YQZ6430AE</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起亚狮跑</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83</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轻型货车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JX1020PSD4</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江铃皮卡</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84</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救护车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JX5038XJHMB</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江铃全顺</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柴油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85</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中型普通客车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SH6591H4DB-NS</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柴油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86</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轻型厢式货车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SH5040XXYA9DB</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柴油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87</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中型客车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SH6591H4DB-NS</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柴油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88</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GTM7240V</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丰田凯美瑞</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黑色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89</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QCJ7200E3</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w:t>
                  </w:r>
                  <w:r>
                    <w:rPr>
                      <w:rFonts w:ascii="仿宋_GB2312" w:hAnsi="仿宋_GB2312" w:cs="仿宋_GB2312" w:eastAsia="仿宋_GB2312"/>
                      <w:sz w:val="21"/>
                    </w:rPr>
                    <w:t>F6</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越野车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YQZ6430</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起亚狮跑</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FV7160BBAGG</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一汽大众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黑色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HQ7182L05</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吉利帝豪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93</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BYD7152WT6HEVC2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94</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商务车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SH6522C1GC-A</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95</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中型普通客车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JTESX23P</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丰田海狮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96</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商务车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HQ7182L05</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通用别克</w:t>
                  </w:r>
                  <w:r>
                    <w:rPr>
                      <w:rFonts w:ascii="仿宋_GB2312" w:hAnsi="仿宋_GB2312" w:cs="仿宋_GB2312" w:eastAsia="仿宋_GB2312"/>
                      <w:sz w:val="21"/>
                    </w:rPr>
                    <w:t>GL8</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97</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98</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小型普通客车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SH6522C1GC-A</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黑色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99</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商务车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SH6522C1GC-A</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GAC6510MDA6C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广汽传祺</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黑色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BYD7150YT6HEV10</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比亚迪汉</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黑色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BYD7152WT6HEVC2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灰色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103</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BYD7153WT6HEV</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r>
                    <w:rPr>
                      <w:rFonts w:ascii="仿宋_GB2312" w:hAnsi="仿宋_GB2312" w:cs="仿宋_GB2312" w:eastAsia="仿宋_GB2312"/>
                      <w:sz w:val="21"/>
                    </w:rPr>
                    <w:t>L</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104</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BYD7153WT6HEV</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r>
                    <w:rPr>
                      <w:rFonts w:ascii="仿宋_GB2312" w:hAnsi="仿宋_GB2312" w:cs="仿宋_GB2312" w:eastAsia="仿宋_GB2312"/>
                      <w:sz w:val="21"/>
                    </w:rPr>
                    <w:t>L</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105</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BYD7153WT6HEV</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r>
                    <w:rPr>
                      <w:rFonts w:ascii="仿宋_GB2312" w:hAnsi="仿宋_GB2312" w:cs="仿宋_GB2312" w:eastAsia="仿宋_GB2312"/>
                      <w:sz w:val="21"/>
                    </w:rPr>
                    <w:t>L</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106</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BYD7153WT6HEV</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r>
                    <w:rPr>
                      <w:rFonts w:ascii="仿宋_GB2312" w:hAnsi="仿宋_GB2312" w:cs="仿宋_GB2312" w:eastAsia="仿宋_GB2312"/>
                      <w:sz w:val="21"/>
                    </w:rPr>
                    <w:t>L</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107</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BYD7153WT6HEV</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r>
                    <w:rPr>
                      <w:rFonts w:ascii="仿宋_GB2312" w:hAnsi="仿宋_GB2312" w:cs="仿宋_GB2312" w:eastAsia="仿宋_GB2312"/>
                      <w:sz w:val="21"/>
                    </w:rPr>
                    <w:t>L</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108</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BYD7153WT6HEV</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r>
                    <w:rPr>
                      <w:rFonts w:ascii="仿宋_GB2312" w:hAnsi="仿宋_GB2312" w:cs="仿宋_GB2312" w:eastAsia="仿宋_GB2312"/>
                      <w:sz w:val="21"/>
                    </w:rPr>
                    <w:t>L</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109</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BYD7153WT6HEV</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r>
                    <w:rPr>
                      <w:rFonts w:ascii="仿宋_GB2312" w:hAnsi="仿宋_GB2312" w:cs="仿宋_GB2312" w:eastAsia="仿宋_GB2312"/>
                      <w:sz w:val="21"/>
                    </w:rPr>
                    <w:t>L</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SVW7182QQD</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桑塔纳志俊</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大型普通客车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NJ6713TR1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依维柯</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柴油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越野车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DHW6453R4ASD</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本田</w:t>
                  </w:r>
                  <w:r>
                    <w:rPr>
                      <w:rFonts w:ascii="仿宋_GB2312" w:hAnsi="仿宋_GB2312" w:cs="仿宋_GB2312" w:eastAsia="仿宋_GB2312"/>
                      <w:sz w:val="21"/>
                    </w:rPr>
                    <w:t>CRV</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113</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一汽大众</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一汽大众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黑色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114</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囚车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SC5028XQXH4</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重庆长安</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115</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BYD7152WT6HEVB4</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116</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BYD7008BEVA9</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纯电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117</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BYD7152WT6HEVB4</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118</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BYD7152WT6HEVB4</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119</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BYD7152WT6HEVB4</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微型</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SH6482N1GC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微型</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SH6482N1GC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123</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BYD7152WT6HEVC2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124</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中型客车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SH6591H4DB-NS</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柴油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125</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BYD7152WT6HEVC2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126</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BYD7152WT6HEVC2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灰色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127</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FV7160BBMGG</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一汽大众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黑色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128</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BYD7152WT6HEVC2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129</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重型非载货专项作业车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DMT5250XZHWE</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迪马（沃尔沃改装）</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柴油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大型普通客车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NJ6713TR1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依维柯</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柴油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FV7160EBBGG</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一汽大众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黑色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囚车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SC5028XQXH4</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重庆长安</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133</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囚车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SC5028XQXH4</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重庆长安</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134</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BYD7152WT6HEVB3</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135</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BYD7152WT6HEVB3</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136</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137</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138</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越野车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BYD6461ST6A</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比亚迪宋</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139</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BYD7008BEVA9</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纯电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BYD7008BEVA9</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纯电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143</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微型</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SH6482N1GC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144</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BYD7152WT6HEVC2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145</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BYD7152WT6HEVC2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146</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越野车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BYD6461ST6D</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比亚迪宋</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147</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越野车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BYD6461ST6D</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比亚迪宋</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148</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BYD7152WT6HEVC2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灰色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149</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大型普通客车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NJ6713TR1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依维柯</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柴油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囚车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SC5028XQXH4</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重庆长安</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一汽大众</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一汽大众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黑色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HQ7182L05</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吉利帝豪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153</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BYD7152WT6HEVB4</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154</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BYD7152WT6HEVB4</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155</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156</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157</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微型</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SH6482N1GC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158</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BYD7152WT6HEVC2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159</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商务车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SH6482N1GC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中型客车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SH6591H4DB-NS</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柴油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越野车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YQZ6431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起亚狮跑</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大型普通客车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NJ6713TR1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依维柯</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柴油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163</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囚车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LEW6430JF</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上汽五菱</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164</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囚车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SC5028XQXH4</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重庆长安</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165</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商务车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江淮瑞风</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东风汽车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灰色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166</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HQ7182L05</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吉利帝豪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167</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BYD7152WT6HEVB3</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168</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BYD7152WT6HEVB3</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169</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小型普通客车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SH6482N1GC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多用途乘用车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LZ6510MQ16BM</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东风柳州</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BYD7008BEVA9</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纯电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173</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174</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175</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微型</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SH6482N1GC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176</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微型</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SH6482N1GC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177</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微型</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SH6482N1GC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178</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中型客车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SH6591H4DB-NS</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柴油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179</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BYD7152WT6HEVC2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BYD7153WT6HEV</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r>
                    <w:rPr>
                      <w:rFonts w:ascii="仿宋_GB2312" w:hAnsi="仿宋_GB2312" w:cs="仿宋_GB2312" w:eastAsia="仿宋_GB2312"/>
                      <w:sz w:val="21"/>
                    </w:rPr>
                    <w:t>L</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越野车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SCJ6490</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丰田霸道</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墨绿色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越野车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CFA2031H</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长丰三菱</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183</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越野车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SCT6491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丰田霸道</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墨绿色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184</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QCJ7200E3</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w:t>
                  </w:r>
                  <w:r>
                    <w:rPr>
                      <w:rFonts w:ascii="仿宋_GB2312" w:hAnsi="仿宋_GB2312" w:cs="仿宋_GB2312" w:eastAsia="仿宋_GB2312"/>
                      <w:sz w:val="21"/>
                    </w:rPr>
                    <w:t>F6</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185</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小型普通客车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SY6504WS1BH</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金杯海狮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186</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越野车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YQZ6430AE</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起亚狮跑</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187</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囚车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SC5028XQXH4</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重庆长安</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188</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SVW72010KJ</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帕萨特轿车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189</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FV7160BBMGG</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一汽捷达</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FV7160BBMGG</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一汽捷达</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FV7160BBMGG</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一汽捷达</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FV7160BBMGG</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一汽捷达</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193</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FV7160BBMGG</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一汽大众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黑色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194</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FV7160BBMGG</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一汽大众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黑色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195</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FV7160BBMGG</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一汽大众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黑色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196</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BYD7152WT6HEVB3</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灰色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197</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灰色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198</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199</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BYD7152WT6HEVB3</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灰色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BYD7152WT6HEVB3</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灰色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灰色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商务车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SH6522C1GC-A</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203</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中型客车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SH6591H4DB-NS</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柴油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204</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商务车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SH6522C1GC-A</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205</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BYD7152WT6HEVC2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206</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SVW7182QQD</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桑塔纳志俊</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207</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SVW7182QQD</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桑塔纳志俊</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208</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FV7160BBMGG</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一汽捷达</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209</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一汽大众</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一汽大众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黑色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中型普通客车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SH5041XYBA4D4</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蓝黑</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柴油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中型普通客车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SH6591H4DB-NS</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柴油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BYD7152WT6HEVB4</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213</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商务车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SH6482N1GC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214</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BYD7152WT6HEVC2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215</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HQ7182L05</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吉利帝豪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216</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越野车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YQZ6430AE</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起亚狮跑</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217</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大型普通客车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NJ6713TR1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依维柯</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柴油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218</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SVW7182QQD</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桑塔纳志俊</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219</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囚车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SC5028XQXH4</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重庆长安</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一汽大众</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一汽大众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黑色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HQ7182L05</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吉利帝豪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HQ7182L05</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吉利帝豪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223</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HQ7182L05</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吉利帝豪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224</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BYD7152WT6HEVB3</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225</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中型普通客车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SH6591H4DB-NS</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柴油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226</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227</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228</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229</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微型</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SH6482N1GC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中型普通客车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SH6591H4DB-NS</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柴油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BYD7152WT6HEVC2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越野车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YQZ6430</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起亚狮跑</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233</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大型普通客车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NJ6713TR1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依维柯</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柴油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234</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一汽大众</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一汽大众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黑色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235</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商务车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江淮瑞风</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东风汽车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银色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236</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HQ7182L05</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吉利帝豪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237</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BYD7152WT6HEVB3</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238</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239</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微型</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SH6482N1GC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243</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中型客车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SH6591H4DB-NS</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柴油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244</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BYD7152WT6HEVC2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245</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商务车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SH6482N1GC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246</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BYD7153WT6HEV</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r>
                    <w:rPr>
                      <w:rFonts w:ascii="仿宋_GB2312" w:hAnsi="仿宋_GB2312" w:cs="仿宋_GB2312" w:eastAsia="仿宋_GB2312"/>
                      <w:sz w:val="21"/>
                    </w:rPr>
                    <w:t>L</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247</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小型普通客车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SH6482N1GC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248</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BYD7152WT6HEVC2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灰色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249</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BYD7152WT6HEVC2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FV7160BBMGG</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一汽大众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黑色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商务车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SH6522C1GC-A</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BYD7152WT6HEVC2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253</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越野车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DHW6452B</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本田</w:t>
                  </w:r>
                  <w:r>
                    <w:rPr>
                      <w:rFonts w:ascii="仿宋_GB2312" w:hAnsi="仿宋_GB2312" w:cs="仿宋_GB2312" w:eastAsia="仿宋_GB2312"/>
                      <w:sz w:val="21"/>
                    </w:rPr>
                    <w:t>CRV</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254</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越野车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BH6431BX</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现代途胜</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255</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商务车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SGM6527AT</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别克</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256</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越野车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SCT6491E4</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丰田霸道</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257</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越野车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SGM6472ATA</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雪佛兰科帕奇</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258</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SVW71810HJ</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帕萨特轿车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259</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FV7160BBMGG</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一汽大众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黑色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FV7160BBAGG</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一汽大众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FV7160BBMGG</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一汽大众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多用途货车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CC1032PA21A</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长城牌</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263</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264</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265</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BYD7152WT6HEVB4</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266</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微型</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SH6482N1GC</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267</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商务车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SH6522C1GC-A</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上汽大通</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新制式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268</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小型轿车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BYD7152WT6HEVC2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比亚迪秦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灰色</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bl>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b/>
              </w:rPr>
              <w:t>商务要求</w:t>
            </w:r>
          </w:p>
          <w:p>
            <w:pPr>
              <w:pStyle w:val="null3"/>
              <w:ind w:firstLine="480"/>
              <w:jc w:val="left"/>
            </w:pPr>
            <w:r>
              <w:rPr>
                <w:rFonts w:ascii="仿宋_GB2312" w:hAnsi="仿宋_GB2312" w:cs="仿宋_GB2312" w:eastAsia="仿宋_GB2312"/>
                <w:sz w:val="24"/>
              </w:rPr>
              <w:t>（一）服务期及服务地点</w:t>
            </w:r>
          </w:p>
          <w:p>
            <w:pPr>
              <w:pStyle w:val="null3"/>
              <w:ind w:firstLine="480"/>
              <w:jc w:val="left"/>
            </w:pPr>
            <w:r>
              <w:rPr>
                <w:rFonts w:ascii="仿宋_GB2312" w:hAnsi="仿宋_GB2312" w:cs="仿宋_GB2312" w:eastAsia="仿宋_GB2312"/>
                <w:sz w:val="24"/>
              </w:rPr>
              <w:t>1、服务期：一年，以双方签订合同时约定的起止日期为准</w:t>
            </w:r>
          </w:p>
          <w:p>
            <w:pPr>
              <w:pStyle w:val="null3"/>
              <w:ind w:firstLine="480"/>
              <w:jc w:val="left"/>
            </w:pPr>
            <w:r>
              <w:rPr>
                <w:rFonts w:ascii="仿宋_GB2312" w:hAnsi="仿宋_GB2312" w:cs="仿宋_GB2312" w:eastAsia="仿宋_GB2312"/>
                <w:sz w:val="24"/>
              </w:rPr>
              <w:t>2、服务地点：西安市公安局雁塔分局。</w:t>
            </w:r>
          </w:p>
          <w:p>
            <w:pPr>
              <w:pStyle w:val="null3"/>
              <w:ind w:firstLine="480"/>
              <w:jc w:val="left"/>
            </w:pPr>
            <w:r>
              <w:rPr>
                <w:rFonts w:ascii="仿宋_GB2312" w:hAnsi="仿宋_GB2312" w:cs="仿宋_GB2312" w:eastAsia="仿宋_GB2312"/>
                <w:sz w:val="24"/>
              </w:rPr>
              <w:t>（二）付款及结算方式</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合同签订后</w:t>
            </w:r>
            <w:r>
              <w:rPr>
                <w:rFonts w:ascii="仿宋_GB2312" w:hAnsi="仿宋_GB2312" w:cs="仿宋_GB2312" w:eastAsia="仿宋_GB2312"/>
                <w:sz w:val="24"/>
              </w:rPr>
              <w:t>7个日历日内安排人员与采购单位就工作进行安排部署，根据各车辆车险到期情况，</w:t>
            </w:r>
            <w:r>
              <w:rPr>
                <w:rFonts w:ascii="仿宋_GB2312" w:hAnsi="仿宋_GB2312" w:cs="仿宋_GB2312" w:eastAsia="仿宋_GB2312"/>
                <w:sz w:val="24"/>
                <w:shd w:fill="FFFFFF" w:val="clear"/>
              </w:rPr>
              <w:t>提前</w:t>
            </w:r>
            <w:r>
              <w:rPr>
                <w:rFonts w:ascii="仿宋_GB2312" w:hAnsi="仿宋_GB2312" w:cs="仿宋_GB2312" w:eastAsia="仿宋_GB2312"/>
                <w:sz w:val="24"/>
                <w:shd w:fill="FFFFFF" w:val="clear"/>
              </w:rPr>
              <w:t>15个日历日</w:t>
            </w:r>
            <w:r>
              <w:rPr>
                <w:rFonts w:ascii="仿宋_GB2312" w:hAnsi="仿宋_GB2312" w:cs="仿宋_GB2312" w:eastAsia="仿宋_GB2312"/>
                <w:sz w:val="24"/>
                <w:shd w:fill="FFFFFF" w:val="clear"/>
              </w:rPr>
              <w:t>完成车辆续保手续，</w:t>
            </w:r>
            <w:r>
              <w:rPr>
                <w:rFonts w:ascii="仿宋_GB2312" w:hAnsi="仿宋_GB2312" w:cs="仿宋_GB2312" w:eastAsia="仿宋_GB2312"/>
                <w:sz w:val="24"/>
              </w:rPr>
              <w:t>视财政资金到位情况</w:t>
            </w:r>
            <w:r>
              <w:rPr>
                <w:rFonts w:ascii="仿宋_GB2312" w:hAnsi="仿宋_GB2312" w:cs="仿宋_GB2312" w:eastAsia="仿宋_GB2312"/>
                <w:sz w:val="24"/>
              </w:rPr>
              <w:t>按季度</w:t>
            </w:r>
            <w:r>
              <w:rPr>
                <w:rFonts w:ascii="仿宋_GB2312" w:hAnsi="仿宋_GB2312" w:cs="仿宋_GB2312" w:eastAsia="仿宋_GB2312"/>
                <w:sz w:val="24"/>
              </w:rPr>
              <w:t>支付</w:t>
            </w:r>
            <w:r>
              <w:rPr>
                <w:rFonts w:ascii="仿宋_GB2312" w:hAnsi="仿宋_GB2312" w:cs="仿宋_GB2312" w:eastAsia="仿宋_GB2312"/>
                <w:sz w:val="24"/>
              </w:rPr>
              <w:t>费用，每次付款前成交供应商应开具等额合法发票</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4"/>
              </w:rPr>
              <w:t>合同实施</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1）成交供应商应在合同签订后7个日历日内安排人员与采购单位就工作进行安排部署，根据各车辆车险到期情况，</w:t>
            </w:r>
            <w:r>
              <w:rPr>
                <w:rFonts w:ascii="仿宋_GB2312" w:hAnsi="仿宋_GB2312" w:cs="仿宋_GB2312" w:eastAsia="仿宋_GB2312"/>
                <w:sz w:val="24"/>
                <w:shd w:fill="FFFFFF" w:val="clear"/>
              </w:rPr>
              <w:t>提前</w:t>
            </w:r>
            <w:r>
              <w:rPr>
                <w:rFonts w:ascii="仿宋_GB2312" w:hAnsi="仿宋_GB2312" w:cs="仿宋_GB2312" w:eastAsia="仿宋_GB2312"/>
                <w:sz w:val="24"/>
                <w:shd w:fill="FFFFFF" w:val="clear"/>
              </w:rPr>
              <w:t>15个日历日</w:t>
            </w:r>
            <w:r>
              <w:rPr>
                <w:rFonts w:ascii="仿宋_GB2312" w:hAnsi="仿宋_GB2312" w:cs="仿宋_GB2312" w:eastAsia="仿宋_GB2312"/>
                <w:sz w:val="24"/>
                <w:shd w:fill="FFFFFF" w:val="clear"/>
              </w:rPr>
              <w:t>完成车辆续保手续</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2）若未能在服务期内完成合同规定的义务，由此对采购人造成的延误和一切损失，由成交供应商承担和赔偿。</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3）所有车辆须先完成续保手续，若未及时完成续保手续导致产生的所有问题由成交供应商承担和赔偿。最终的付款由采购人</w:t>
            </w:r>
            <w:r>
              <w:rPr>
                <w:rFonts w:ascii="仿宋_GB2312" w:hAnsi="仿宋_GB2312" w:cs="仿宋_GB2312" w:eastAsia="仿宋_GB2312"/>
                <w:sz w:val="24"/>
              </w:rPr>
              <w:t>视财政资金到位情况</w:t>
            </w:r>
            <w:r>
              <w:rPr>
                <w:rFonts w:ascii="仿宋_GB2312" w:hAnsi="仿宋_GB2312" w:cs="仿宋_GB2312" w:eastAsia="仿宋_GB2312"/>
                <w:sz w:val="24"/>
              </w:rPr>
              <w:t>按季度</w:t>
            </w:r>
            <w:r>
              <w:rPr>
                <w:rFonts w:ascii="仿宋_GB2312" w:hAnsi="仿宋_GB2312" w:cs="仿宋_GB2312" w:eastAsia="仿宋_GB2312"/>
                <w:sz w:val="24"/>
              </w:rPr>
              <w:t>支付</w:t>
            </w:r>
            <w:r>
              <w:rPr>
                <w:rFonts w:ascii="仿宋_GB2312" w:hAnsi="仿宋_GB2312" w:cs="仿宋_GB2312" w:eastAsia="仿宋_GB2312"/>
                <w:sz w:val="24"/>
              </w:rPr>
              <w:t>费用，每次付款前成交供应商应开具等额合法发票</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4）甲方在支付保险费时，按乙方所承诺的商业险自主定价系数进行审核，审核后支付实际的保险费。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须具备完成本项目所需的管理人员、技术人员等</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须具备完成本项目所需的设施设备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满足采购人的采购需求，达到相关行业的国家标准。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合同签订后7个日历日内安排人员与采购单位就工作进行安排部署，根据各车辆车险到期情况，提前15个日历日完成车辆续保手续，视财政资金到位情况按季度支付费用，每次付款前成交供应商应开具等额合法发票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7个日历日内安排人员与采购单位就工作进行安排部署，根据各车辆车险到期情况，提前15个日历日完成车辆续保手续，视财政资金到位情况按季度支付费用，每次付款前成交供应商应开具等额合法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7个日历日内安排人员与采购单位就工作进行安排部署，根据各车辆车险到期情况，提前15个日历日完成车辆续保手续，视财政资金到位情况按季度支付费用，每次付款前成交供应商应开具等额合法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7个日历日内安排人员与采购单位就工作进行安排部署，根据各车辆车险到期情况，提前15个日历日完成车辆续保手续，视财政资金到位情况按季度支付费用，每次付款前成交供应商应开具等额合法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出具弃标函发送至代理机构邮箱：shaanxihuahai@163.com）。否则，采购代理机构可以向财政部门反映情况并提供相应的佐证。供应商一年内累计出现三次该情形，将被监管部门记录为失信行为。 2、纸质版响应文件要求：成交供应商在领取成交通知书前，须向采购代理机构提供纸质版响应文件3套（1正2副），U盘2份（包括响应文件的全部内容）且提供的响应文件必须与在陕西省政府采购综合管理平台的项目电子化交易系统中提交的电子响应文件内容一致，纸质版响应文件必须装订成册签字盖章。 3、支付约定以第八章拟签订采购合同文本为准。 4、磋商文件凡是法定代表人之处，非法人单位的负责人均参照执行。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提供2024年度经审计的财务报告（包括审计报告、资产负债表、利润表、现金流量表、所有者权益变动表（没有可不提供）及附注，成立时间至响应文件提交截止时间不足一年的可提供成立后任意时段的资产负债表），或响应文件提交截止时间三个月内基本账户开户银行出具的资信证明及基本存款账户信息（以上两种形式的资料提供任何一种即可）； 3.提供具有履行合同所必需的设备和专业技术能力的承诺； 4.提供响应文件提交截止时间前一年内已缴纳的至少一个月的纳税证明或完税证明（任意税种，个人所得税和印花税除外），纳税证明或完税证明上应有代收机构或税务机关的公章或业务专用章，依法免税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上传2024年度经审计的财务报告（包括审计报告、资产负债表、利润表、现金流量表、所有者权益变动表（没有可不提供）及附注，成立时间至响应文件提交截止时间不足一年的可提供成立后任意时段的资产负债表），或响应文件提交截止时间三个月内基本账户开户银行出具的资信证明及基本存款账户信息（以上两种形式的资料提供任何一种即可），并进行电子签章。</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保险许可证</w:t>
            </w:r>
          </w:p>
        </w:tc>
        <w:tc>
          <w:tcPr>
            <w:tcW w:type="dxa" w:w="3322"/>
          </w:tcPr>
          <w:p>
            <w:pPr>
              <w:pStyle w:val="null3"/>
            </w:pPr>
            <w:r>
              <w:rPr>
                <w:rFonts w:ascii="仿宋_GB2312" w:hAnsi="仿宋_GB2312" w:cs="仿宋_GB2312" w:eastAsia="仿宋_GB2312"/>
              </w:rPr>
              <w:t>供应商须具有经营机动车辆保险业务资格，提供保险监督管理机构批准的《保险许可证》。（总公司取得的相关资质和指标，分支机构经总公司有效授权视为拥有同等资质和指标，总公司只允许授权1家分支机构参与投标）</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报价明显低于其他有效供应商的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磋商报价表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中小企业声明函 保密承诺书 磋商报价表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技术和商务偏离表 合同条款响应</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1.报价形式、报价货币符合磋商文件要求；2.未超出采购预算或磋商文件规定的最高限价</w:t>
            </w:r>
          </w:p>
        </w:tc>
        <w:tc>
          <w:tcPr>
            <w:tcW w:type="dxa" w:w="1661"/>
          </w:tcPr>
          <w:p>
            <w:pPr>
              <w:pStyle w:val="null3"/>
            </w:pPr>
            <w:r>
              <w:rPr>
                <w:rFonts w:ascii="仿宋_GB2312" w:hAnsi="仿宋_GB2312" w:cs="仿宋_GB2312" w:eastAsia="仿宋_GB2312"/>
              </w:rPr>
              <w:t>标的清单 磋商报价表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保密承诺书</w:t>
            </w:r>
          </w:p>
        </w:tc>
        <w:tc>
          <w:tcPr>
            <w:tcW w:type="dxa" w:w="3322"/>
          </w:tcPr>
          <w:p>
            <w:pPr>
              <w:pStyle w:val="null3"/>
            </w:pPr>
            <w:r>
              <w:rPr>
                <w:rFonts w:ascii="仿宋_GB2312" w:hAnsi="仿宋_GB2312" w:cs="仿宋_GB2312" w:eastAsia="仿宋_GB2312"/>
              </w:rPr>
              <w:t>供应商需要提交保密承诺书（格式后附）</w:t>
            </w:r>
          </w:p>
        </w:tc>
        <w:tc>
          <w:tcPr>
            <w:tcW w:type="dxa" w:w="1661"/>
          </w:tcPr>
          <w:p>
            <w:pPr>
              <w:pStyle w:val="null3"/>
            </w:pPr>
            <w:r>
              <w:rPr>
                <w:rFonts w:ascii="仿宋_GB2312" w:hAnsi="仿宋_GB2312" w:cs="仿宋_GB2312" w:eastAsia="仿宋_GB2312"/>
              </w:rPr>
              <w:t>保密承诺书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服务方案 技术和商务偏离表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保障范围</w:t>
            </w:r>
          </w:p>
        </w:tc>
        <w:tc>
          <w:tcPr>
            <w:tcW w:type="dxa" w:w="2492"/>
          </w:tcPr>
          <w:p>
            <w:pPr>
              <w:pStyle w:val="null3"/>
            </w:pPr>
            <w:r>
              <w:rPr>
                <w:rFonts w:ascii="仿宋_GB2312" w:hAnsi="仿宋_GB2312" w:cs="仿宋_GB2312" w:eastAsia="仿宋_GB2312"/>
              </w:rPr>
              <w:t>根据供应商针对本项目的车辆保险投保保障范围进行综合评分： 完全符合竞争性磋商文件的保险保障要求，措辞严谨，描述清晰，保障全面，对保险保障范围进行实质性扩展和提升得 4 分； 有明确的保障范围、保险保障要求措辞合理且内容较完善，对保障范围有提升的得 3 分； 基本符合保障范围及保险保障要求，对保障范围有部分提升的得2分； 部分符合保障范围及保险保障要求得 1 分； 无内容不得分。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根据供应商针对本项目提供的整体服务方案，包括但不限于： ①上门服务方案②接报案服务方案 ③限时查勘方案 ④理赔单证收集方案 ⑤限时赔付方案 ⑥预付赔款方案⑦保险培训及提供服务手册方案⑧理赔清单递交方案 ⑨人伤赔偿处理方案⑩代为追偿方案⑪拖车服务方案。 根据每一项方案内容进行综合评审。 方案内容科学具体，针对性强，得 2 分； 方案内容不够具体，针对性有待考究，得 1 分； 无内容不得分。</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根据供应商提供的各项管理制度情况：包括但不限于： ①保险理赔管理制度②人员管理制度③设备管理制度④用户投诉受理制度⑤档案管理⑥培训制度及方案。 根据每一项方案内容进行综合评审。 方案内容科学具体，针对性强，得 2分； 方案内容不够具体，针对性有待考究，得 1 分； 无内容不得分。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项目负责人有丰富的承保工作经验且曾承担过相关工作的主要负责人；提供相关证明材料（证明材料中需注明项目负责人姓名），每提供一份得1分，满分3分。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根据项目需求投入设施设备，设施设备配置合理，数量充足，完全满足采购要求，得4分，评审内容有缺陷（缺陷指内容明显错误，或内容表述前后矛盾、内容不完整、配置简单、数量不足、缺少关键点，或不适用本项目特性等）扣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拟投入人员配备</w:t>
            </w:r>
          </w:p>
        </w:tc>
        <w:tc>
          <w:tcPr>
            <w:tcW w:type="dxa" w:w="2492"/>
          </w:tcPr>
          <w:p>
            <w:pPr>
              <w:pStyle w:val="null3"/>
            </w:pPr>
            <w:r>
              <w:rPr>
                <w:rFonts w:ascii="仿宋_GB2312" w:hAnsi="仿宋_GB2312" w:cs="仿宋_GB2312" w:eastAsia="仿宋_GB2312"/>
              </w:rPr>
              <w:t>服务团队人员应包含承保、理赔、风险管理和协调沟通不同专业 能力和职能的人员，根据团队人员构成情况、人员数量、职责情况进行综合评分： 服务团队人员构成专业全面，职责明确合理，充分满足本项目采购要求得 5 分； 服务团队人员构成较全面，职责较明确合理，能够满足本项目采购要求得 4 分； 服务团队人员构成基本全面，职责基本明确合理，基本满足本项目采购要求得 3 分； 服务团队人员专业构成不够全面，职责不清晰，不能满足本项目采购要求得 2 分； 服务团队人员专业构成存在缺陷，职责混乱得1 分。 无内容不得分。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出险限时查勘承诺</w:t>
            </w:r>
          </w:p>
        </w:tc>
        <w:tc>
          <w:tcPr>
            <w:tcW w:type="dxa" w:w="2492"/>
          </w:tcPr>
          <w:p>
            <w:pPr>
              <w:pStyle w:val="null3"/>
            </w:pPr>
            <w:r>
              <w:rPr>
                <w:rFonts w:ascii="仿宋_GB2312" w:hAnsi="仿宋_GB2312" w:cs="仿宋_GB2312" w:eastAsia="仿宋_GB2312"/>
              </w:rPr>
              <w:t>根据供应商对出现车辆事故出险响应时效承诺情况进行评分： 接到被保险单位的出险报案后，派出的查勘人员，市内30分钟内赶赴出险地点；郊县1小时内到达；省内12小时内派员或委托当地乙方保险公司代为现场查勘，处理流程清晰迅速得4分； 接到被保险单位的出险报案后，派出的查勘人员，市内1小时内赶赴出险地点；郊县2小时内到达；省内24小时内派员或委托当地乙方保险公司代为现场查勘，处理流程清晰迅速得2分； 其他情形不得分。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客户 服务方案</w:t>
            </w:r>
          </w:p>
        </w:tc>
        <w:tc>
          <w:tcPr>
            <w:tcW w:type="dxa" w:w="2492"/>
          </w:tcPr>
          <w:p>
            <w:pPr>
              <w:pStyle w:val="null3"/>
            </w:pPr>
            <w:r>
              <w:rPr>
                <w:rFonts w:ascii="仿宋_GB2312" w:hAnsi="仿宋_GB2312" w:cs="仿宋_GB2312" w:eastAsia="仿宋_GB2312"/>
              </w:rPr>
              <w:t>结合本项目实际情况，提供客户服务方案； 方案内容科学具体，针对性强，得 5 分； 方案内容较为具体，有一定的针对性，得 4 分；方案内容具体，具有针对性，得 3 分； 方案内容基本具体，部分具有针对性得 2 分； 方案内容不够具体，针对性有待考究，得 1 分；无内容不得分。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结合本项目实际情况，提供详细完整的服务质量保证措施。 措施详细完整、可行性、针对性强，能高质量的确保项目服务质量，得 5 分； 措施相对详细完整、可行性、针对性强，能确保项目服务质量，得 4 分； 保障措施完整，有一定的可行性及针对性以保证项目质量，得 3分； 保障措施基本完整、可行，得 2 分； 保障措施简单、合理性、可行性有待考究，得 1 分； 无内容不得分。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针对本项目可能出现的异常或突发情况，提供具体、可行的应急 预案。 方案内容科学具体，针对性强，得 4分； 方案内容较为具体，有一定的针对性，得3 分； 方案内容具体，具有针对性，得 2 分； 方案内容不够具体，针对性有待考究，得 1 分； 无内容不得分。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保密制度</w:t>
            </w:r>
          </w:p>
        </w:tc>
        <w:tc>
          <w:tcPr>
            <w:tcW w:type="dxa" w:w="2492"/>
          </w:tcPr>
          <w:p>
            <w:pPr>
              <w:pStyle w:val="null3"/>
            </w:pPr>
            <w:r>
              <w:rPr>
                <w:rFonts w:ascii="仿宋_GB2312" w:hAnsi="仿宋_GB2312" w:cs="仿宋_GB2312" w:eastAsia="仿宋_GB2312"/>
              </w:rPr>
              <w:t>针对本项目有合理全面的保密制度。 保密制度科学合理、可操作性强，得4分； 保密制度科学合理、有一定的可操作性，得 3分； 保密制度比较合理、具有可操作性，得 2分； 保密制度不够合理，不完整、需要补充后方可使用，得 1 分； 无内容不得分。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关键点分 析及解决</w:t>
            </w:r>
          </w:p>
        </w:tc>
        <w:tc>
          <w:tcPr>
            <w:tcW w:type="dxa" w:w="2492"/>
          </w:tcPr>
          <w:p>
            <w:pPr>
              <w:pStyle w:val="null3"/>
            </w:pPr>
            <w:r>
              <w:rPr>
                <w:rFonts w:ascii="仿宋_GB2312" w:hAnsi="仿宋_GB2312" w:cs="仿宋_GB2312" w:eastAsia="仿宋_GB2312"/>
              </w:rPr>
              <w:t>根据本项目的实际情况，提出有针对性的关键点分析及解决方案， 关键点分析准确，解决方案针对性强，得 4 分； 关键点分析较准确、解决方案有一定的针对性和可行性，得 3 分； 对重点、难点分析基本准确，解决方案针对性和可行性一般，得2分； 对重点、难点有分析不准确，解决方案合理性、可行性有待考究，得 1 分； 无内容不得分。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针对本项目实际情况，提供实质性的合理化建议。 建议内容科学可行，有针对性且内容丰富得4分； 建议内容较为可行，有一定的针对性得 3 分； 建议内容基本可行，部分具有针对性得 2 分； 建议内容简单，不完整，不具有针对性得 1 分。 无内容不得分。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提供供应商2022年1月至响应文件提交截止日类似项目业绩（以合同复印件为准），每提供一份业绩得2分，最高得10分。若提供虚假业绩，一经发现，按无效磋商处理。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1、经初审合格的竞争性磋商响应文件，其磋商报价为有效磋商报价。 2、满足竞争性磋商文件实质性要求且最终报价最低的供应商的价格为磋商基准价（即自主定价系数最低），其价格分为满分 10 分。 3、磋商报价得分=（磋商基准价/最终磋商报价）×10。 4、磋商报价不完整的，不进入磋商基准价的计算，本项得 0 分。 5、符合竞争性磋商文件规定的小微企业、监狱企业、残疾人福利企业优惠条件的供应商，价格给予 10%的扣除，用扣除后的价格参与评审。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详见附件：保密承诺书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