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CA38D6">
      <w:pPr>
        <w:shd w:val="clear"/>
        <w:jc w:val="center"/>
        <w:rPr>
          <w:rFonts w:hint="eastAsia" w:ascii="仿宋" w:hAnsi="仿宋" w:cs="仿宋"/>
          <w:b/>
          <w:bCs/>
          <w:color w:val="auto"/>
          <w:sz w:val="32"/>
          <w:szCs w:val="32"/>
          <w:highlight w:val="none"/>
          <w:lang w:eastAsia="zh-CN"/>
        </w:rPr>
      </w:pPr>
    </w:p>
    <w:p w14:paraId="50330F22">
      <w:pPr>
        <w:shd w:val="clear"/>
        <w:jc w:val="center"/>
        <w:rPr>
          <w:rFonts w:hint="eastAsia" w:ascii="仿宋" w:hAnsi="仿宋" w:cs="仿宋"/>
          <w:b/>
          <w:bCs/>
          <w:color w:val="auto"/>
          <w:sz w:val="32"/>
          <w:szCs w:val="32"/>
          <w:highlight w:val="none"/>
          <w:lang w:eastAsia="zh-CN"/>
        </w:rPr>
      </w:pPr>
    </w:p>
    <w:p w14:paraId="69A1FA4B">
      <w:pPr>
        <w:shd w:val="clear"/>
        <w:jc w:val="center"/>
        <w:rPr>
          <w:rFonts w:hint="eastAsia" w:ascii="仿宋" w:hAnsi="仿宋" w:cs="仿宋"/>
          <w:b/>
          <w:bCs/>
          <w:color w:val="auto"/>
          <w:sz w:val="32"/>
          <w:szCs w:val="32"/>
          <w:highlight w:val="none"/>
          <w:lang w:eastAsia="zh-CN"/>
        </w:rPr>
      </w:pPr>
    </w:p>
    <w:p w14:paraId="3672C2EF">
      <w:pPr>
        <w:shd w:val="clear"/>
        <w:jc w:val="both"/>
        <w:rPr>
          <w:rFonts w:hint="eastAsia" w:ascii="仿宋" w:hAnsi="仿宋" w:cs="仿宋"/>
          <w:b/>
          <w:bCs/>
          <w:color w:val="auto"/>
          <w:sz w:val="32"/>
          <w:szCs w:val="32"/>
          <w:highlight w:val="none"/>
          <w:lang w:eastAsia="zh-CN"/>
        </w:rPr>
      </w:pPr>
    </w:p>
    <w:p w14:paraId="6A928631">
      <w:pPr>
        <w:shd w:val="clear"/>
        <w:jc w:val="center"/>
        <w:rPr>
          <w:rFonts w:hint="eastAsia" w:ascii="仿宋" w:hAnsi="仿宋" w:cs="仿宋"/>
          <w:b/>
          <w:bCs/>
          <w:color w:val="auto"/>
          <w:sz w:val="32"/>
          <w:szCs w:val="32"/>
          <w:highlight w:val="none"/>
          <w:lang w:val="en-US" w:eastAsia="zh-CN"/>
        </w:rPr>
      </w:pPr>
      <w:r>
        <w:rPr>
          <w:rFonts w:hint="eastAsia" w:ascii="仿宋" w:hAnsi="仿宋" w:cs="仿宋"/>
          <w:b/>
          <w:bCs/>
          <w:color w:val="auto"/>
          <w:sz w:val="44"/>
          <w:szCs w:val="44"/>
          <w:highlight w:val="none"/>
          <w:lang w:val="en-US" w:eastAsia="zh-CN"/>
        </w:rPr>
        <w:t>公务车辆保险采购项目</w:t>
      </w:r>
    </w:p>
    <w:p w14:paraId="1A3EBBF0">
      <w:pPr>
        <w:pStyle w:val="2"/>
        <w:shd w:val="clear"/>
        <w:rPr>
          <w:rFonts w:hint="eastAsia"/>
          <w:color w:val="auto"/>
          <w:highlight w:val="none"/>
        </w:rPr>
      </w:pPr>
    </w:p>
    <w:p w14:paraId="46CE1B74">
      <w:pPr>
        <w:shd w:val="clear"/>
        <w:jc w:val="center"/>
        <w:rPr>
          <w:rFonts w:hint="eastAsia" w:ascii="仿宋" w:hAnsi="仿宋" w:eastAsia="仿宋" w:cs="仿宋"/>
          <w:b/>
          <w:color w:val="auto"/>
          <w:sz w:val="48"/>
          <w:szCs w:val="48"/>
          <w:highlight w:val="none"/>
        </w:rPr>
      </w:pPr>
    </w:p>
    <w:p w14:paraId="432E8F3B">
      <w:pPr>
        <w:shd w:val="clear"/>
        <w:jc w:val="center"/>
        <w:rPr>
          <w:rFonts w:hint="eastAsia" w:ascii="宋体" w:hAnsi="宋体" w:eastAsia="宋体" w:cs="宋体"/>
          <w:b/>
          <w:color w:val="auto"/>
          <w:sz w:val="48"/>
          <w:szCs w:val="48"/>
          <w:highlight w:val="none"/>
        </w:rPr>
      </w:pPr>
    </w:p>
    <w:p w14:paraId="370EE976">
      <w:pPr>
        <w:shd w:val="clear"/>
        <w:jc w:val="center"/>
        <w:rPr>
          <w:rFonts w:hint="eastAsia" w:ascii="宋体" w:hAnsi="宋体" w:eastAsia="宋体" w:cs="宋体"/>
          <w:b/>
          <w:color w:val="auto"/>
          <w:sz w:val="48"/>
          <w:szCs w:val="48"/>
          <w:highlight w:val="none"/>
        </w:rPr>
      </w:pPr>
      <w:r>
        <w:rPr>
          <w:rFonts w:hint="eastAsia" w:ascii="宋体" w:hAnsi="宋体" w:eastAsia="宋体" w:cs="宋体"/>
          <w:b/>
          <w:color w:val="auto"/>
          <w:sz w:val="48"/>
          <w:szCs w:val="48"/>
          <w:highlight w:val="none"/>
        </w:rPr>
        <w:t>采 购 合 同</w:t>
      </w:r>
    </w:p>
    <w:p w14:paraId="050D5831">
      <w:pPr>
        <w:shd w:val="clear"/>
        <w:spacing w:line="360" w:lineRule="auto"/>
        <w:jc w:val="cente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eastAsia="zh-CN"/>
        </w:rPr>
        <w:t>（</w:t>
      </w:r>
      <w:r>
        <w:rPr>
          <w:rFonts w:hint="eastAsia" w:ascii="宋体" w:hAnsi="宋体" w:eastAsia="宋体" w:cs="宋体"/>
          <w:b/>
          <w:color w:val="auto"/>
          <w:sz w:val="28"/>
          <w:szCs w:val="28"/>
          <w:highlight w:val="none"/>
        </w:rPr>
        <w:t>项目编号：</w:t>
      </w:r>
      <w:r>
        <w:rPr>
          <w:rFonts w:hint="eastAsia" w:ascii="宋体" w:hAnsi="宋体" w:eastAsia="宋体" w:cs="宋体"/>
          <w:color w:val="auto"/>
          <w:sz w:val="28"/>
          <w:szCs w:val="28"/>
          <w:highlight w:val="none"/>
          <w:lang w:val="en-US" w:eastAsia="zh-CN"/>
        </w:rPr>
        <w:t>)</w:t>
      </w:r>
    </w:p>
    <w:p w14:paraId="5AEC6888">
      <w:pPr>
        <w:shd w:val="clear"/>
        <w:jc w:val="center"/>
        <w:rPr>
          <w:rFonts w:hint="eastAsia" w:ascii="宋体" w:hAnsi="宋体" w:eastAsia="宋体" w:cs="宋体"/>
          <w:b/>
          <w:color w:val="auto"/>
          <w:sz w:val="48"/>
          <w:szCs w:val="48"/>
          <w:highlight w:val="none"/>
        </w:rPr>
      </w:pPr>
    </w:p>
    <w:p w14:paraId="6B836BC0">
      <w:pPr>
        <w:shd w:val="clear"/>
        <w:jc w:val="center"/>
        <w:rPr>
          <w:rFonts w:hint="eastAsia" w:ascii="宋体" w:hAnsi="宋体" w:eastAsia="宋体" w:cs="宋体"/>
          <w:color w:val="auto"/>
          <w:sz w:val="48"/>
          <w:szCs w:val="48"/>
          <w:highlight w:val="none"/>
        </w:rPr>
      </w:pPr>
    </w:p>
    <w:p w14:paraId="63D41AA4">
      <w:pPr>
        <w:shd w:val="clear"/>
        <w:jc w:val="center"/>
        <w:rPr>
          <w:rFonts w:hint="eastAsia" w:ascii="宋体" w:hAnsi="宋体" w:eastAsia="宋体" w:cs="宋体"/>
          <w:color w:val="auto"/>
          <w:sz w:val="48"/>
          <w:szCs w:val="48"/>
          <w:highlight w:val="none"/>
        </w:rPr>
      </w:pPr>
    </w:p>
    <w:p w14:paraId="7FE84501">
      <w:pPr>
        <w:shd w:val="clea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 xml:space="preserve"> </w:t>
      </w:r>
    </w:p>
    <w:p w14:paraId="39D173A0">
      <w:pPr>
        <w:shd w:val="clear"/>
        <w:rPr>
          <w:rFonts w:hint="eastAsia" w:ascii="宋体" w:hAnsi="宋体" w:eastAsia="宋体" w:cs="宋体"/>
          <w:b/>
          <w:bCs/>
          <w:color w:val="auto"/>
          <w:sz w:val="28"/>
          <w:szCs w:val="28"/>
          <w:highlight w:val="none"/>
          <w:lang w:val="en-US" w:eastAsia="zh-CN"/>
        </w:rPr>
      </w:pPr>
    </w:p>
    <w:p w14:paraId="407A4229">
      <w:pPr>
        <w:shd w:val="clea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 xml:space="preserve"> </w:t>
      </w:r>
    </w:p>
    <w:p w14:paraId="188E5349">
      <w:pPr>
        <w:shd w:val="clear"/>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 xml:space="preserve"> </w:t>
      </w:r>
      <w:r>
        <w:rPr>
          <w:rFonts w:hint="eastAsia" w:ascii="宋体" w:hAnsi="宋体" w:eastAsia="宋体" w:cs="宋体"/>
          <w:b/>
          <w:bCs/>
          <w:color w:val="auto"/>
          <w:sz w:val="28"/>
          <w:szCs w:val="28"/>
          <w:highlight w:val="none"/>
        </w:rPr>
        <w:t xml:space="preserve">年 </w:t>
      </w:r>
      <w:r>
        <w:rPr>
          <w:rFonts w:hint="eastAsia" w:ascii="宋体" w:hAnsi="宋体" w:eastAsia="宋体" w:cs="宋体"/>
          <w:b/>
          <w:bCs/>
          <w:color w:val="auto"/>
          <w:sz w:val="28"/>
          <w:szCs w:val="28"/>
          <w:highlight w:val="none"/>
          <w:lang w:val="en-US" w:eastAsia="zh-CN"/>
        </w:rPr>
        <w:t xml:space="preserve">  </w:t>
      </w:r>
      <w:r>
        <w:rPr>
          <w:rFonts w:hint="eastAsia" w:ascii="宋体" w:hAnsi="宋体" w:eastAsia="宋体" w:cs="宋体"/>
          <w:b/>
          <w:bCs/>
          <w:color w:val="auto"/>
          <w:sz w:val="28"/>
          <w:szCs w:val="28"/>
          <w:highlight w:val="none"/>
        </w:rPr>
        <w:t>月</w:t>
      </w:r>
      <w:r>
        <w:rPr>
          <w:rFonts w:hint="eastAsia" w:ascii="宋体" w:hAnsi="宋体" w:eastAsia="宋体" w:cs="宋体"/>
          <w:b/>
          <w:bCs/>
          <w:color w:val="auto"/>
          <w:sz w:val="28"/>
          <w:szCs w:val="28"/>
          <w:highlight w:val="none"/>
          <w:lang w:val="en-US" w:eastAsia="zh-CN"/>
        </w:rPr>
        <w:t xml:space="preserve">   日</w:t>
      </w:r>
    </w:p>
    <w:p w14:paraId="29BD0224">
      <w:pPr>
        <w:shd w:val="clear"/>
        <w:rPr>
          <w:rFonts w:hint="eastAsia" w:ascii="宋体" w:hAnsi="宋体" w:eastAsia="宋体" w:cs="宋体"/>
          <w:b/>
          <w:color w:val="auto"/>
          <w:sz w:val="24"/>
          <w:szCs w:val="24"/>
          <w:highlight w:val="none"/>
        </w:rPr>
      </w:pPr>
    </w:p>
    <w:p w14:paraId="4CC33064">
      <w:pPr>
        <w:keepNext w:val="0"/>
        <w:keepLines w:val="0"/>
        <w:pageBreakBefore w:val="0"/>
        <w:widowControl/>
        <w:shd w:val="clear"/>
        <w:kinsoku/>
        <w:wordWrap/>
        <w:overflowPunct/>
        <w:topLinePunct w:val="0"/>
        <w:autoSpaceDE/>
        <w:autoSpaceDN/>
        <w:bidi w:val="0"/>
        <w:adjustRightInd w:val="0"/>
        <w:snapToGrid/>
        <w:spacing w:line="360" w:lineRule="auto"/>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highlight w:val="none"/>
        </w:rPr>
        <w:br w:type="page"/>
      </w:r>
      <w:r>
        <w:rPr>
          <w:rFonts w:hint="eastAsia" w:ascii="宋体" w:hAnsi="宋体" w:eastAsia="宋体" w:cs="宋体"/>
          <w:color w:val="auto"/>
          <w:sz w:val="24"/>
          <w:szCs w:val="24"/>
        </w:rPr>
        <w:t>（注：本合同格式仅供参考，具体条款内容由采购人和成交人协商确定，但不得改变竞争性磋商文件、磋商响应文件、成交通知书等实质性内容。）</w:t>
      </w:r>
    </w:p>
    <w:p w14:paraId="5C32F39F">
      <w:pPr>
        <w:keepNext w:val="0"/>
        <w:keepLines w:val="0"/>
        <w:pageBreakBefore w:val="0"/>
        <w:widowControl/>
        <w:shd w:val="clear"/>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采购人（甲方）：</w:t>
      </w:r>
    </w:p>
    <w:p w14:paraId="0089F3BA">
      <w:pPr>
        <w:keepNext w:val="0"/>
        <w:keepLines w:val="0"/>
        <w:pageBreakBefore w:val="0"/>
        <w:widowControl/>
        <w:shd w:val="clear"/>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供应商（乙方）：</w:t>
      </w:r>
    </w:p>
    <w:p w14:paraId="7EFAC34D">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lang w:val="en-US" w:eastAsia="zh-CN" w:bidi="ar"/>
        </w:rPr>
        <w:t>依据《中华人民共和国民法典》和《中华人民共和国政府采购法》及相关法律法规的规定，经双方在平等、自愿、互利</w:t>
      </w:r>
      <w:r>
        <w:rPr>
          <w:rFonts w:hint="eastAsia" w:ascii="宋体" w:hAnsi="宋体" w:eastAsia="宋体" w:cs="宋体"/>
          <w:color w:val="auto"/>
          <w:kern w:val="0"/>
          <w:sz w:val="24"/>
          <w:szCs w:val="24"/>
          <w:highlight w:val="none"/>
          <w:lang w:val="en-US" w:eastAsia="zh-CN" w:bidi="ar"/>
        </w:rPr>
        <w:t>的基础上，签订本合同，共同信守。</w:t>
      </w:r>
    </w:p>
    <w:p w14:paraId="0403F654">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甲方与乙方根据“公务车辆保险采购项目”的磋商结果和竞争性磋商文件及竞争性磋商响应文件的内容，签订以下服务合同：</w:t>
      </w:r>
    </w:p>
    <w:p w14:paraId="17D31346">
      <w:pPr>
        <w:keepNext w:val="0"/>
        <w:keepLines w:val="0"/>
        <w:pageBreakBefore w:val="0"/>
        <w:widowControl/>
        <w:suppressLineNumbers w:val="0"/>
        <w:kinsoku/>
        <w:wordWrap/>
        <w:overflowPunct/>
        <w:topLinePunct w:val="0"/>
        <w:autoSpaceDE/>
        <w:autoSpaceDN/>
        <w:bidi w:val="0"/>
        <w:snapToGrid/>
        <w:spacing w:line="360" w:lineRule="auto"/>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kern w:val="0"/>
          <w:sz w:val="24"/>
          <w:szCs w:val="24"/>
          <w:highlight w:val="none"/>
          <w:lang w:val="en-US" w:eastAsia="zh-CN" w:bidi="ar"/>
        </w:rPr>
        <w:t>一、项目名称：</w:t>
      </w:r>
      <w:r>
        <w:rPr>
          <w:rFonts w:hint="eastAsia" w:ascii="宋体" w:hAnsi="宋体" w:eastAsia="宋体" w:cs="宋体"/>
          <w:color w:val="auto"/>
          <w:kern w:val="0"/>
          <w:sz w:val="24"/>
          <w:szCs w:val="24"/>
          <w:highlight w:val="none"/>
          <w:lang w:val="en-US" w:eastAsia="zh-CN" w:bidi="ar"/>
        </w:rPr>
        <w:t>公务车辆保险采购项目</w:t>
      </w:r>
    </w:p>
    <w:p w14:paraId="780A9613">
      <w:pPr>
        <w:keepNext w:val="0"/>
        <w:keepLines w:val="0"/>
        <w:pageBreakBefore w:val="0"/>
        <w:widowControl/>
        <w:suppressLineNumbers w:val="0"/>
        <w:kinsoku/>
        <w:wordWrap/>
        <w:overflowPunct/>
        <w:topLinePunct w:val="0"/>
        <w:autoSpaceDE/>
        <w:autoSpaceDN/>
        <w:bidi w:val="0"/>
        <w:snapToGrid/>
        <w:spacing w:line="360" w:lineRule="auto"/>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kern w:val="0"/>
          <w:sz w:val="24"/>
          <w:szCs w:val="24"/>
          <w:highlight w:val="none"/>
          <w:lang w:val="en-US" w:eastAsia="zh-CN" w:bidi="ar"/>
        </w:rPr>
        <w:t>二、投保车辆明细：</w:t>
      </w:r>
      <w:r>
        <w:rPr>
          <w:rFonts w:hint="eastAsia" w:ascii="宋体" w:hAnsi="宋体" w:eastAsia="宋体" w:cs="宋体"/>
          <w:color w:val="auto"/>
          <w:kern w:val="0"/>
          <w:sz w:val="24"/>
          <w:szCs w:val="24"/>
          <w:highlight w:val="none"/>
          <w:lang w:val="en-US" w:eastAsia="zh-CN" w:bidi="ar"/>
        </w:rPr>
        <w:t>详见</w:t>
      </w:r>
      <w:r>
        <w:rPr>
          <w:rFonts w:hint="eastAsia" w:ascii="宋体" w:hAnsi="宋体" w:eastAsia="宋体" w:cs="宋体"/>
          <w:bCs/>
          <w:i w:val="0"/>
          <w:iCs w:val="0"/>
          <w:caps w:val="0"/>
          <w:color w:val="auto"/>
          <w:spacing w:val="0"/>
          <w:sz w:val="24"/>
          <w:szCs w:val="24"/>
          <w:highlight w:val="none"/>
          <w:shd w:val="clear" w:fill="FFFFFF"/>
        </w:rPr>
        <w:t>磋商项目技术、服务、商务及其他要求</w:t>
      </w:r>
    </w:p>
    <w:p w14:paraId="20FEDE44">
      <w:pPr>
        <w:keepNext w:val="0"/>
        <w:keepLines w:val="0"/>
        <w:pageBreakBefore w:val="0"/>
        <w:widowControl/>
        <w:suppressLineNumbers w:val="0"/>
        <w:kinsoku/>
        <w:wordWrap/>
        <w:overflowPunct/>
        <w:topLinePunct w:val="0"/>
        <w:autoSpaceDE/>
        <w:autoSpaceDN/>
        <w:bidi w:val="0"/>
        <w:snapToGrid/>
        <w:spacing w:line="360" w:lineRule="auto"/>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kern w:val="0"/>
          <w:sz w:val="24"/>
          <w:szCs w:val="24"/>
          <w:highlight w:val="none"/>
          <w:lang w:val="en-US" w:eastAsia="zh-CN" w:bidi="ar"/>
        </w:rPr>
        <w:t>三、车辆险种:</w:t>
      </w:r>
    </w:p>
    <w:p w14:paraId="11A2D512">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（一）车辆承保的是交强险和商业险套单</w:t>
      </w:r>
      <w:r>
        <w:rPr>
          <w:rFonts w:hint="eastAsia" w:ascii="宋体" w:hAnsi="宋体" w:eastAsia="宋体" w:cs="宋体"/>
          <w:color w:val="auto"/>
          <w:sz w:val="24"/>
          <w:szCs w:val="24"/>
          <w:highlight w:val="none"/>
          <w:lang w:eastAsia="zh-CN"/>
        </w:rPr>
        <w:t>；</w:t>
      </w:r>
    </w:p>
    <w:p w14:paraId="2CFA355E">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（二）交强险事故有责限额：</w:t>
      </w:r>
    </w:p>
    <w:p w14:paraId="411BFE68">
      <w:pPr>
        <w:keepNext w:val="0"/>
        <w:keepLines w:val="0"/>
        <w:pageBreakBefore w:val="0"/>
        <w:widowControl/>
        <w:suppressLineNumbers w:val="0"/>
        <w:kinsoku/>
        <w:wordWrap/>
        <w:overflowPunct/>
        <w:topLinePunct w:val="0"/>
        <w:autoSpaceDE/>
        <w:autoSpaceDN/>
        <w:bidi w:val="0"/>
        <w:snapToGrid/>
        <w:spacing w:line="360" w:lineRule="auto"/>
        <w:ind w:firstLine="960" w:firstLineChars="4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责任限额死亡伤残赔偿限额：¥180000元</w:t>
      </w:r>
      <w:r>
        <w:rPr>
          <w:rFonts w:hint="eastAsia" w:ascii="宋体" w:hAnsi="宋体" w:eastAsia="宋体" w:cs="宋体"/>
          <w:color w:val="auto"/>
          <w:sz w:val="24"/>
          <w:szCs w:val="24"/>
          <w:highlight w:val="none"/>
          <w:lang w:eastAsia="zh-CN"/>
        </w:rPr>
        <w:t>；</w:t>
      </w:r>
    </w:p>
    <w:p w14:paraId="661415E0">
      <w:pPr>
        <w:keepNext w:val="0"/>
        <w:keepLines w:val="0"/>
        <w:pageBreakBefore w:val="0"/>
        <w:widowControl/>
        <w:suppressLineNumbers w:val="0"/>
        <w:kinsoku/>
        <w:wordWrap/>
        <w:overflowPunct/>
        <w:topLinePunct w:val="0"/>
        <w:autoSpaceDE/>
        <w:autoSpaceDN/>
        <w:bidi w:val="0"/>
        <w:snapToGrid/>
        <w:spacing w:line="360" w:lineRule="auto"/>
        <w:ind w:firstLine="960" w:firstLineChars="4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医疗费用赔偿限额：¥18000元</w:t>
      </w:r>
      <w:r>
        <w:rPr>
          <w:rFonts w:hint="eastAsia" w:ascii="宋体" w:hAnsi="宋体" w:eastAsia="宋体" w:cs="宋体"/>
          <w:color w:val="auto"/>
          <w:sz w:val="24"/>
          <w:szCs w:val="24"/>
          <w:highlight w:val="none"/>
          <w:lang w:eastAsia="zh-CN"/>
        </w:rPr>
        <w:t>；</w:t>
      </w:r>
    </w:p>
    <w:p w14:paraId="44275712">
      <w:pPr>
        <w:keepNext w:val="0"/>
        <w:keepLines w:val="0"/>
        <w:pageBreakBefore w:val="0"/>
        <w:widowControl/>
        <w:suppressLineNumbers w:val="0"/>
        <w:kinsoku/>
        <w:wordWrap/>
        <w:overflowPunct/>
        <w:topLinePunct w:val="0"/>
        <w:autoSpaceDE/>
        <w:autoSpaceDN/>
        <w:bidi w:val="0"/>
        <w:snapToGrid/>
        <w:spacing w:line="360" w:lineRule="auto"/>
        <w:ind w:firstLine="960" w:firstLineChars="4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财产损失赔偿限额：¥2000元</w:t>
      </w:r>
      <w:r>
        <w:rPr>
          <w:rFonts w:hint="eastAsia" w:ascii="宋体" w:hAnsi="宋体" w:eastAsia="宋体" w:cs="宋体"/>
          <w:color w:val="auto"/>
          <w:sz w:val="24"/>
          <w:szCs w:val="24"/>
          <w:highlight w:val="none"/>
          <w:lang w:eastAsia="zh-CN"/>
        </w:rPr>
        <w:t>；</w:t>
      </w:r>
    </w:p>
    <w:p w14:paraId="10AE0F1F">
      <w:pPr>
        <w:keepNext w:val="0"/>
        <w:keepLines w:val="0"/>
        <w:pageBreakBefore w:val="0"/>
        <w:widowControl/>
        <w:suppressLineNumbers w:val="0"/>
        <w:kinsoku/>
        <w:wordWrap/>
        <w:overflowPunct/>
        <w:topLinePunct w:val="0"/>
        <w:autoSpaceDE/>
        <w:autoSpaceDN/>
        <w:bidi w:val="0"/>
        <w:snapToGrid/>
        <w:spacing w:line="360" w:lineRule="auto"/>
        <w:ind w:firstLine="960" w:firstLineChars="4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无责任死亡伤残赔偿限额：¥18000元</w:t>
      </w:r>
      <w:r>
        <w:rPr>
          <w:rFonts w:hint="eastAsia" w:ascii="宋体" w:hAnsi="宋体" w:eastAsia="宋体" w:cs="宋体"/>
          <w:color w:val="auto"/>
          <w:sz w:val="24"/>
          <w:szCs w:val="24"/>
          <w:highlight w:val="none"/>
          <w:lang w:eastAsia="zh-CN"/>
        </w:rPr>
        <w:t>；</w:t>
      </w:r>
    </w:p>
    <w:p w14:paraId="169BB322">
      <w:pPr>
        <w:keepNext w:val="0"/>
        <w:keepLines w:val="0"/>
        <w:pageBreakBefore w:val="0"/>
        <w:widowControl/>
        <w:suppressLineNumbers w:val="0"/>
        <w:kinsoku/>
        <w:wordWrap/>
        <w:overflowPunct/>
        <w:topLinePunct w:val="0"/>
        <w:autoSpaceDE/>
        <w:autoSpaceDN/>
        <w:bidi w:val="0"/>
        <w:snapToGrid/>
        <w:spacing w:line="360" w:lineRule="auto"/>
        <w:ind w:firstLine="960" w:firstLineChars="4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无责任医疗费用赔偿限额：¥1800元</w:t>
      </w:r>
      <w:r>
        <w:rPr>
          <w:rFonts w:hint="eastAsia" w:ascii="宋体" w:hAnsi="宋体" w:eastAsia="宋体" w:cs="宋体"/>
          <w:color w:val="auto"/>
          <w:sz w:val="24"/>
          <w:szCs w:val="24"/>
          <w:highlight w:val="none"/>
          <w:lang w:eastAsia="zh-CN"/>
        </w:rPr>
        <w:t>；</w:t>
      </w:r>
    </w:p>
    <w:p w14:paraId="55C3C16F">
      <w:pPr>
        <w:keepNext w:val="0"/>
        <w:keepLines w:val="0"/>
        <w:pageBreakBefore w:val="0"/>
        <w:widowControl/>
        <w:suppressLineNumbers w:val="0"/>
        <w:kinsoku/>
        <w:wordWrap/>
        <w:overflowPunct/>
        <w:topLinePunct w:val="0"/>
        <w:autoSpaceDE/>
        <w:autoSpaceDN/>
        <w:bidi w:val="0"/>
        <w:snapToGrid/>
        <w:spacing w:line="360" w:lineRule="auto"/>
        <w:ind w:firstLine="960" w:firstLineChars="4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无责任财产损失赔偿限额：¥100元</w:t>
      </w:r>
      <w:r>
        <w:rPr>
          <w:rFonts w:hint="eastAsia" w:ascii="宋体" w:hAnsi="宋体" w:eastAsia="宋体" w:cs="宋体"/>
          <w:color w:val="auto"/>
          <w:sz w:val="24"/>
          <w:szCs w:val="24"/>
          <w:highlight w:val="none"/>
          <w:lang w:eastAsia="zh-CN"/>
        </w:rPr>
        <w:t>；</w:t>
      </w:r>
    </w:p>
    <w:p w14:paraId="608208DF">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（三）商业险承保保项：1、车损险(包含①车损险②盗抢险③自燃险④发动机涉水险⑤玻璃玻碎险⑥无法找到第三方)</w:t>
      </w:r>
      <w:r>
        <w:rPr>
          <w:rFonts w:hint="eastAsia" w:ascii="宋体" w:hAnsi="宋体" w:eastAsia="宋体" w:cs="宋体"/>
          <w:color w:val="auto"/>
          <w:sz w:val="24"/>
          <w:szCs w:val="24"/>
          <w:highlight w:val="none"/>
          <w:lang w:eastAsia="zh-CN"/>
        </w:rPr>
        <w:t>；</w:t>
      </w:r>
    </w:p>
    <w:p w14:paraId="3E1BC8DE">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（四）三责险保额：100万</w:t>
      </w:r>
      <w:r>
        <w:rPr>
          <w:rFonts w:hint="eastAsia" w:ascii="宋体" w:hAnsi="宋体" w:eastAsia="宋体" w:cs="宋体"/>
          <w:color w:val="auto"/>
          <w:sz w:val="24"/>
          <w:szCs w:val="24"/>
          <w:highlight w:val="none"/>
          <w:lang w:eastAsia="zh-CN"/>
        </w:rPr>
        <w:t>；</w:t>
      </w:r>
    </w:p>
    <w:p w14:paraId="4195DB25">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（五）车上人员险保额：1万（车司机和乘客）</w:t>
      </w:r>
      <w:r>
        <w:rPr>
          <w:rFonts w:hint="eastAsia" w:ascii="宋体" w:hAnsi="宋体" w:eastAsia="宋体" w:cs="宋体"/>
          <w:color w:val="auto"/>
          <w:sz w:val="24"/>
          <w:szCs w:val="24"/>
          <w:highlight w:val="none"/>
          <w:lang w:eastAsia="zh-CN"/>
        </w:rPr>
        <w:t>；</w:t>
      </w:r>
    </w:p>
    <w:p w14:paraId="3C0ACE34">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（六）道路救援（2次）包括：单程50公里以内拖车、送油、送水、送防冻液、搭电、轮胎充气、更换轮胎。</w:t>
      </w:r>
    </w:p>
    <w:p w14:paraId="567D3E2C">
      <w:pPr>
        <w:keepNext w:val="0"/>
        <w:keepLines w:val="0"/>
        <w:pageBreakBefore w:val="0"/>
        <w:widowControl/>
        <w:suppressLineNumbers w:val="0"/>
        <w:kinsoku/>
        <w:wordWrap/>
        <w:overflowPunct/>
        <w:topLinePunct w:val="0"/>
        <w:autoSpaceDE/>
        <w:autoSpaceDN/>
        <w:bidi w:val="0"/>
        <w:snapToGrid/>
        <w:spacing w:line="360" w:lineRule="auto"/>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kern w:val="0"/>
          <w:sz w:val="24"/>
          <w:szCs w:val="24"/>
          <w:highlight w:val="none"/>
          <w:lang w:val="en-US" w:eastAsia="zh-CN" w:bidi="ar"/>
        </w:rPr>
        <w:t>四、合同价款及保险费计算系数</w:t>
      </w:r>
    </w:p>
    <w:p w14:paraId="5A61BDBF">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1、合同暂定总价：</w:t>
      </w:r>
      <w:r>
        <w:rPr>
          <w:rFonts w:hint="eastAsia" w:ascii="宋体" w:hAnsi="宋体" w:eastAsia="宋体" w:cs="宋体"/>
          <w:color w:val="auto"/>
          <w:kern w:val="0"/>
          <w:sz w:val="24"/>
          <w:szCs w:val="24"/>
          <w:highlight w:val="none"/>
          <w:u w:val="single"/>
          <w:lang w:val="en-US" w:eastAsia="zh-CN" w:bidi="ar"/>
        </w:rPr>
        <w:t xml:space="preserve"> 50 </w:t>
      </w:r>
      <w:r>
        <w:rPr>
          <w:rFonts w:hint="eastAsia" w:ascii="宋体" w:hAnsi="宋体" w:eastAsia="宋体" w:cs="宋体"/>
          <w:color w:val="auto"/>
          <w:kern w:val="0"/>
          <w:sz w:val="24"/>
          <w:szCs w:val="24"/>
          <w:highlight w:val="none"/>
          <w:lang w:val="en-US" w:eastAsia="zh-CN" w:bidi="ar"/>
        </w:rPr>
        <w:t xml:space="preserve"> 万元。</w:t>
      </w:r>
    </w:p>
    <w:p w14:paraId="5A1F56CD">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2、乙方提供的保险费计算系数为本次招标采购确定的计算系数(自主定价系数)，本合同商业险自主定价系数为：</w:t>
      </w:r>
      <w:r>
        <w:rPr>
          <w:rFonts w:hint="eastAsia" w:ascii="宋体" w:hAnsi="宋体" w:eastAsia="宋体" w:cs="宋体"/>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w:t>
      </w:r>
    </w:p>
    <w:p w14:paraId="6F1D5D30">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3、最终结算根据乙方成交自主定价系数及相关行业标准，结合被保险车辆及相关险种据实结算，结算总金额不得高于本项目采购预算；</w:t>
      </w:r>
    </w:p>
    <w:p w14:paraId="71415B45">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4、如国家政策改变或计算系数调整，则乙方总体计算系数应及时调整，并提供最优惠保费。</w:t>
      </w:r>
    </w:p>
    <w:p w14:paraId="5D6D865B">
      <w:pPr>
        <w:keepNext w:val="0"/>
        <w:keepLines w:val="0"/>
        <w:pageBreakBefore w:val="0"/>
        <w:widowControl/>
        <w:suppressLineNumbers w:val="0"/>
        <w:kinsoku/>
        <w:wordWrap/>
        <w:overflowPunct/>
        <w:topLinePunct w:val="0"/>
        <w:autoSpaceDE/>
        <w:autoSpaceDN/>
        <w:bidi w:val="0"/>
        <w:snapToGrid/>
        <w:spacing w:line="360" w:lineRule="auto"/>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kern w:val="0"/>
          <w:sz w:val="24"/>
          <w:szCs w:val="24"/>
          <w:highlight w:val="none"/>
          <w:lang w:val="en-US" w:eastAsia="zh-CN" w:bidi="ar"/>
        </w:rPr>
        <w:t>五、结算</w:t>
      </w:r>
    </w:p>
    <w:p w14:paraId="766A6D98">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合同签订后7个日历日内安排人员与采购单位就工作进行安排部署，根据各车辆车险到期情况，提前15个日历日内完成车辆续保手续，视财政资金到位情况按季度支付费用，每次付款前成交供应商应开具等额合法发票。</w:t>
      </w:r>
    </w:p>
    <w:p w14:paraId="052CA495">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2.甲方在支付保险费时，按乙方所承诺的商业险自主定价系数进行审核，审核后支付实际的保险费。</w:t>
      </w:r>
    </w:p>
    <w:p w14:paraId="5E1A7CB3">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乙方账户信息：</w:t>
      </w:r>
    </w:p>
    <w:p w14:paraId="29FF5647">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户名:</w:t>
      </w:r>
    </w:p>
    <w:p w14:paraId="4615D5E1">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账号:</w:t>
      </w:r>
    </w:p>
    <w:p w14:paraId="75C96028">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开户行:</w:t>
      </w:r>
    </w:p>
    <w:p w14:paraId="27926AF0">
      <w:pPr>
        <w:keepNext w:val="0"/>
        <w:keepLines w:val="0"/>
        <w:pageBreakBefore w:val="0"/>
        <w:widowControl/>
        <w:numPr>
          <w:ilvl w:val="0"/>
          <w:numId w:val="1"/>
        </w:numPr>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结算方式:采取银行转账方式支付。付款前，乙方须按照甲方要求提供等额发票。</w:t>
      </w:r>
    </w:p>
    <w:p w14:paraId="5227352B">
      <w:pPr>
        <w:keepNext w:val="0"/>
        <w:keepLines w:val="0"/>
        <w:pageBreakBefore w:val="0"/>
        <w:widowControl/>
        <w:numPr>
          <w:ilvl w:val="0"/>
          <w:numId w:val="1"/>
        </w:numPr>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发票</w:t>
      </w:r>
    </w:p>
    <w:p w14:paraId="1EA5BFB1">
      <w:pPr>
        <w:keepNext w:val="0"/>
        <w:keepLines w:val="0"/>
        <w:pageBreakBefore w:val="0"/>
        <w:widowControl/>
        <w:numPr>
          <w:ilvl w:val="0"/>
          <w:numId w:val="0"/>
        </w:numPr>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3.1车辆保险保单生效后7个工作日内，乙方应按甲方要求出具合法有效的增值税专用发票;因乙方延迟送达、开票信息错误等导致提供的增值税专用发票不能通过税务部门认证的，甲方有权拒绝接收。由此造成的付款延期由乙方自行承担。</w:t>
      </w:r>
    </w:p>
    <w:p w14:paraId="51D64B08">
      <w:pPr>
        <w:keepNext w:val="0"/>
        <w:keepLines w:val="0"/>
        <w:pageBreakBefore w:val="0"/>
        <w:widowControl/>
        <w:numPr>
          <w:ilvl w:val="0"/>
          <w:numId w:val="0"/>
        </w:numPr>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3.2乙方账户变更、纳税人身份、纳税方式变化等须及时通知甲方，并签订合同变更或补充协议，由此造成甲方付款延期、成本增加税款损失等责任由乙方承担，甲方有权据此调整乙方的合同总价。</w:t>
      </w:r>
    </w:p>
    <w:p w14:paraId="3C43A39A">
      <w:pPr>
        <w:keepNext w:val="0"/>
        <w:keepLines w:val="0"/>
        <w:pageBreakBefore w:val="0"/>
        <w:widowControl/>
        <w:numPr>
          <w:ilvl w:val="0"/>
          <w:numId w:val="0"/>
        </w:numPr>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3.3甲乙双方应相互履行在发票开具方面的协助义务。合同行过程中，双方协商变更履行内容或方式，如涉及价款等增值税专用发票记载项目发生变化的，发票开具方应作废、重开、补开增值税专用发票;如遇一方发票丢失，发票开具方应向合同相对方提供专用发票记账联复印件及主管税务机关出具的丢失增值税专用发票的《证明单》，协助合同相对方处理好补办手续。</w:t>
      </w:r>
    </w:p>
    <w:p w14:paraId="6AC72184">
      <w:pPr>
        <w:keepNext w:val="0"/>
        <w:keepLines w:val="0"/>
        <w:pageBreakBefore w:val="0"/>
        <w:widowControl/>
        <w:suppressLineNumbers w:val="0"/>
        <w:kinsoku/>
        <w:wordWrap/>
        <w:overflowPunct/>
        <w:topLinePunct w:val="0"/>
        <w:autoSpaceDE/>
        <w:autoSpaceDN/>
        <w:bidi w:val="0"/>
        <w:snapToGrid/>
        <w:spacing w:line="360" w:lineRule="auto"/>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kern w:val="0"/>
          <w:sz w:val="24"/>
          <w:szCs w:val="24"/>
          <w:highlight w:val="none"/>
          <w:lang w:val="en-US" w:eastAsia="zh-CN" w:bidi="ar"/>
        </w:rPr>
        <w:t>六、服务期限：</w:t>
      </w:r>
      <w:r>
        <w:rPr>
          <w:rFonts w:hint="eastAsia" w:ascii="宋体" w:hAnsi="宋体" w:eastAsia="宋体" w:cs="宋体"/>
          <w:color w:val="auto"/>
          <w:kern w:val="0"/>
          <w:sz w:val="24"/>
          <w:szCs w:val="24"/>
          <w:highlight w:val="none"/>
          <w:lang w:val="en-US" w:eastAsia="zh-CN" w:bidi="ar"/>
        </w:rPr>
        <w:t>一年（自2025年</w:t>
      </w:r>
      <w:r>
        <w:rPr>
          <w:rFonts w:hint="eastAsia" w:ascii="宋体" w:hAnsi="宋体" w:eastAsia="宋体" w:cs="宋体"/>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月</w:t>
      </w:r>
      <w:r>
        <w:rPr>
          <w:rFonts w:hint="eastAsia" w:ascii="宋体" w:hAnsi="宋体" w:eastAsia="宋体" w:cs="宋体"/>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日至2026年</w:t>
      </w:r>
      <w:r>
        <w:rPr>
          <w:rFonts w:hint="eastAsia" w:ascii="宋体" w:hAnsi="宋体" w:eastAsia="宋体" w:cs="宋体"/>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月</w:t>
      </w:r>
      <w:r>
        <w:rPr>
          <w:rFonts w:hint="eastAsia" w:ascii="宋体" w:hAnsi="宋体" w:eastAsia="宋体" w:cs="宋体"/>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日）；</w:t>
      </w:r>
    </w:p>
    <w:p w14:paraId="54EFA933">
      <w:pPr>
        <w:keepNext w:val="0"/>
        <w:keepLines w:val="0"/>
        <w:pageBreakBefore w:val="0"/>
        <w:widowControl/>
        <w:suppressLineNumbers w:val="0"/>
        <w:kinsoku/>
        <w:wordWrap/>
        <w:overflowPunct/>
        <w:topLinePunct w:val="0"/>
        <w:autoSpaceDE/>
        <w:autoSpaceDN/>
        <w:bidi w:val="0"/>
        <w:snapToGrid/>
        <w:spacing w:line="360" w:lineRule="auto"/>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kern w:val="0"/>
          <w:sz w:val="24"/>
          <w:szCs w:val="24"/>
          <w:highlight w:val="none"/>
          <w:lang w:val="en-US" w:eastAsia="zh-CN" w:bidi="ar"/>
        </w:rPr>
        <w:t>七、参保及承保</w:t>
      </w:r>
    </w:p>
    <w:p w14:paraId="353E5D76">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1、甲方各单位年度内参保的车辆，须对车辆进行登记并填写《机动车辆登记表》，甲方对单位性质、经费来源进行审核确认后，按规定办理参保手续。</w:t>
      </w:r>
    </w:p>
    <w:p w14:paraId="2C298016">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2、甲方与乙方签订完具体的保险文书后，乙方将参保车辆的保险单(正本)、保险费发票及保险卡交甲方留存。</w:t>
      </w:r>
    </w:p>
    <w:p w14:paraId="4A57E307">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3、乙方具体负责上述车辆的承保工作，并专人负责与车属单位车辆管理部门的联系，负责车辆的承保和理赔工作。</w:t>
      </w:r>
    </w:p>
    <w:p w14:paraId="17941DEF">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4、确定服务专员及其职责，并保证专人专车进行定向服务:</w:t>
      </w:r>
    </w:p>
    <w:p w14:paraId="6F90C9E8">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项目经理:</w:t>
      </w:r>
    </w:p>
    <w:p w14:paraId="3CF62874">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服务助理:</w:t>
      </w:r>
    </w:p>
    <w:p w14:paraId="1AB8CA36">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服务专员:</w:t>
      </w:r>
    </w:p>
    <w:p w14:paraId="05CC8E17">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5、乙方将建立完整的VIP客户车辆档案，专用电脑管理，做好业务维护工作。将被保险单位的保险车辆厂牌型号、车牌号、投保险种和保险费等列出车辆保险到期清单，及时提示被保险人按时到期续保;</w:t>
      </w:r>
    </w:p>
    <w:p w14:paraId="61C1FC1F">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6、承保服务现场专项服务小组成员保证全年365天，每天24小时随叫随到；</w:t>
      </w:r>
    </w:p>
    <w:p w14:paraId="25C3EB41">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7、乙方承诺:提前办理投保手续，确保12小时内出具正式保险单，提供保险卡；乙方将严格履行保险合同，积极与甲方联系，确定车辆信息无误后，在保险到期前15天办理好保险手续，协助各单位填写《机动车辆保险投保单》和《交强险投保单》，完成出单事宜，并将保单正本、保险卡、保险发票派专人送达车属单位;</w:t>
      </w:r>
    </w:p>
    <w:p w14:paraId="6A0A8E38">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lang w:val="en-US" w:eastAsia="zh-CN" w:bidi="ar"/>
        </w:rPr>
        <w:t>8、乙方</w:t>
      </w:r>
      <w:r>
        <w:rPr>
          <w:rFonts w:hint="eastAsia" w:ascii="宋体" w:hAnsi="宋体" w:eastAsia="宋体" w:cs="宋体"/>
          <w:color w:val="auto"/>
          <w:kern w:val="0"/>
          <w:sz w:val="24"/>
          <w:szCs w:val="24"/>
          <w:highlight w:val="none"/>
          <w:lang w:val="en-US" w:eastAsia="zh-CN" w:bidi="ar"/>
        </w:rPr>
        <w:t>承诺:在收到甲方及用车单位的车辆信息变更通知后，将在1日内完成保单批改手续并送达被保险人。</w:t>
      </w:r>
    </w:p>
    <w:p w14:paraId="06E2A34A">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9、</w:t>
      </w:r>
      <w:r>
        <w:rPr>
          <w:rFonts w:hint="default" w:ascii="宋体" w:hAnsi="宋体" w:eastAsia="宋体" w:cs="宋体"/>
          <w:color w:val="auto"/>
          <w:kern w:val="0"/>
          <w:sz w:val="24"/>
          <w:szCs w:val="24"/>
          <w:highlight w:val="none"/>
          <w:lang w:val="en-US" w:eastAsia="zh-CN" w:bidi="ar"/>
        </w:rPr>
        <w:t>成交供应商应在合同签订后7个日历日内安排人员与采购单位就工作进行安排部署</w:t>
      </w:r>
      <w:r>
        <w:rPr>
          <w:rFonts w:hint="eastAsia" w:ascii="宋体" w:hAnsi="宋体" w:eastAsia="宋体" w:cs="宋体"/>
          <w:color w:val="auto"/>
          <w:kern w:val="0"/>
          <w:sz w:val="24"/>
          <w:szCs w:val="24"/>
          <w:highlight w:val="none"/>
          <w:lang w:val="en-US" w:eastAsia="zh-CN" w:bidi="ar"/>
        </w:rPr>
        <w:t>，根据各车辆车险到期情况，提前15个日历日内完成该车辆续保手续</w:t>
      </w:r>
      <w:r>
        <w:rPr>
          <w:rFonts w:hint="default" w:ascii="宋体" w:hAnsi="宋体" w:eastAsia="宋体" w:cs="宋体"/>
          <w:color w:val="auto"/>
          <w:kern w:val="0"/>
          <w:sz w:val="24"/>
          <w:szCs w:val="24"/>
          <w:highlight w:val="none"/>
          <w:lang w:val="en-US" w:eastAsia="zh-CN" w:bidi="ar"/>
        </w:rPr>
        <w:t>；</w:t>
      </w:r>
    </w:p>
    <w:p w14:paraId="43976A1D">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10、</w:t>
      </w:r>
      <w:r>
        <w:rPr>
          <w:rFonts w:hint="default" w:ascii="宋体" w:hAnsi="宋体" w:eastAsia="宋体" w:cs="宋体"/>
          <w:color w:val="auto"/>
          <w:kern w:val="0"/>
          <w:sz w:val="24"/>
          <w:szCs w:val="24"/>
          <w:highlight w:val="none"/>
          <w:lang w:val="en-US" w:eastAsia="zh-CN" w:bidi="ar"/>
        </w:rPr>
        <w:t>若未能在服务期内完成合同规定的义务，由此对采购人造成的延误和一切损失，由成交供应商承担和赔偿。</w:t>
      </w:r>
    </w:p>
    <w:p w14:paraId="651400BA">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11、所有车辆须先完成续保手续，若未及时完成续保手续导致产生的所有问题由成交供应商承担和赔偿。最终的付款由采购人视财政资金到位情况按季度支付费用，每次付款前成交供应商应开具等额合法发票。</w:t>
      </w:r>
    </w:p>
    <w:p w14:paraId="259E6B5C">
      <w:pPr>
        <w:keepNext w:val="0"/>
        <w:keepLines w:val="0"/>
        <w:pageBreakBefore w:val="0"/>
        <w:widowControl/>
        <w:suppressLineNumbers w:val="0"/>
        <w:kinsoku/>
        <w:wordWrap/>
        <w:overflowPunct/>
        <w:topLinePunct w:val="0"/>
        <w:autoSpaceDE/>
        <w:autoSpaceDN/>
        <w:bidi w:val="0"/>
        <w:snapToGrid/>
        <w:spacing w:line="360" w:lineRule="auto"/>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kern w:val="0"/>
          <w:sz w:val="24"/>
          <w:szCs w:val="24"/>
          <w:highlight w:val="none"/>
          <w:lang w:val="en-US" w:eastAsia="zh-CN" w:bidi="ar"/>
        </w:rPr>
        <w:t>八、理赔、报案</w:t>
      </w:r>
    </w:p>
    <w:p w14:paraId="608711B6">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1、车辆出险后，可以各种形式向乙方报案。乙方热线服务中心电话:</w:t>
      </w:r>
      <w:r>
        <w:rPr>
          <w:rFonts w:hint="eastAsia" w:ascii="宋体" w:hAnsi="宋体" w:eastAsia="宋体" w:cs="宋体"/>
          <w:color w:val="auto"/>
          <w:kern w:val="0"/>
          <w:sz w:val="24"/>
          <w:szCs w:val="24"/>
          <w:u w:val="single"/>
          <w:lang w:val="en-US" w:eastAsia="zh-CN" w:bidi="ar"/>
        </w:rPr>
        <w:t xml:space="preserve">     </w:t>
      </w:r>
      <w:r>
        <w:rPr>
          <w:rFonts w:hint="eastAsia" w:ascii="宋体" w:hAnsi="宋体" w:eastAsia="宋体" w:cs="宋体"/>
          <w:color w:val="auto"/>
          <w:kern w:val="0"/>
          <w:sz w:val="24"/>
          <w:szCs w:val="24"/>
          <w:lang w:val="en-US" w:eastAsia="zh-CN" w:bidi="ar"/>
        </w:rPr>
        <w:t>，乙方昼夜24小时接受报案。</w:t>
      </w:r>
    </w:p>
    <w:p w14:paraId="3F82503B">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2、定损:</w:t>
      </w:r>
    </w:p>
    <w:p w14:paraId="413FD459">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乙方接到车辆出险报案后，市区范围内定损人员应于2小时内赶赴现场，以“快速、准确、台理”的原则尽快定损。乙方为甲方投保车辆提供24小时定损服务。对于在异地出险的上述车辆乙方定损人员将尽快赶赴现场或尽快委托当地保险公司代查勘定损，以便尽快修复车辆、处理事故、申请索赔。时限要求如下:</w:t>
      </w:r>
    </w:p>
    <w:p w14:paraId="314E8FD6">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估损金额在人民币10000元以下的，当场定损；</w:t>
      </w:r>
    </w:p>
    <w:p w14:paraId="0A77B0D7">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估损金额在人民币10000元至30000元(含)，1个工作日内定损；</w:t>
      </w:r>
    </w:p>
    <w:p w14:paraId="768ED42F">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估损金额在人民币30000元至50000元(含)，2个工作日内定损；</w:t>
      </w:r>
    </w:p>
    <w:p w14:paraId="6F97CE3E">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估损金额在人民币50000元至100000元(含)以上，7个工作日内定损；</w:t>
      </w:r>
    </w:p>
    <w:p w14:paraId="1300D1AD">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估损金额在人民币100000元以上，10个工作日内定损；</w:t>
      </w:r>
    </w:p>
    <w:p w14:paraId="417E24F5">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特殊、稀有、老旧车型应会同被保险人共同确定损失金额，7个工作日内定损。</w:t>
      </w:r>
    </w:p>
    <w:p w14:paraId="5D7A7F11">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3、理赔:</w:t>
      </w:r>
    </w:p>
    <w:p w14:paraId="2AECFE1D">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在投保期内的一切事故索赔事宜，由甲方作为受益人持保险卡直接与乙方联系办理索赔。</w:t>
      </w:r>
    </w:p>
    <w:p w14:paraId="01CB5D0C">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b/>
          <w:bCs/>
          <w:color w:val="auto"/>
          <w:kern w:val="0"/>
          <w:sz w:val="24"/>
          <w:szCs w:val="24"/>
          <w:lang w:val="en-US" w:eastAsia="zh-CN" w:bidi="ar"/>
        </w:rPr>
      </w:pPr>
      <w:r>
        <w:rPr>
          <w:rFonts w:hint="eastAsia" w:ascii="宋体" w:hAnsi="宋体" w:eastAsia="宋体" w:cs="宋体"/>
          <w:color w:val="auto"/>
          <w:kern w:val="0"/>
          <w:sz w:val="24"/>
          <w:szCs w:val="24"/>
          <w:lang w:val="en-US" w:eastAsia="zh-CN" w:bidi="ar"/>
        </w:rPr>
        <w:t>对于上述处理的索赔，乙方承诺在收到客户提交真实有效完整的报案案件索赔材料后，自与被保险人达成赔偿保险金协议之日起，保险赔款金额。</w:t>
      </w:r>
    </w:p>
    <w:p w14:paraId="1A24E897">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估损金额在人民币10000元以下的，结案当日进行赔付；</w:t>
      </w:r>
    </w:p>
    <w:p w14:paraId="7CD9AE94">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估损金额在人民币10000元至30000元(含)，结案后1-2个工作日进行赔付；</w:t>
      </w:r>
    </w:p>
    <w:p w14:paraId="153C372D">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估损金额在人民币30000元至50000元(含)，结案后3-5个工作日进行赔付；</w:t>
      </w:r>
    </w:p>
    <w:p w14:paraId="2F7141F0">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估损金额在人民币50000元至100000元(含)以上，结案后5-7个工作日进行赔付；</w:t>
      </w:r>
    </w:p>
    <w:p w14:paraId="0F023E2A">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估损金额在人民币100000元以上，5个工作日内定损;结案后10个工作日进行赔付；</w:t>
      </w:r>
    </w:p>
    <w:p w14:paraId="0B0B8127">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特殊、稀有、老旧车型应会同被保险人共同确定损失金额，结案后5-7个工作日进行赔付。</w:t>
      </w:r>
    </w:p>
    <w:p w14:paraId="597A0773">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赔付事宜办理完结后，由乙方将保险公司的处理意见书、交通管理部门的裁决书(复印件)以及赔付情况一并报甲方备案。甲方将监督、检查乙方合同执行情况。</w:t>
      </w:r>
    </w:p>
    <w:p w14:paraId="0657DF06">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4、理赔过程中的服务:</w:t>
      </w:r>
    </w:p>
    <w:p w14:paraId="0B51AA58">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4.1上述投保车辆出险后乙方承诺对单车肇事且定损金额在3000元以下的，由乙方现场查勘或由甲方提供现场照片证明事故原因即可索赔；</w:t>
      </w:r>
    </w:p>
    <w:p w14:paraId="62EC488E">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 xml:space="preserve">4.2发生重大保险事故，保险责任确立后对损失确认部分，乙方可预付赔款，预付比例可不做限制(可以大于 50%)，做到迅速、及时。  </w:t>
      </w:r>
    </w:p>
    <w:p w14:paraId="29885B89">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4.3对涉及人伤且金额超过3万元的案件，提供交警证明，医疗相关单证可及时预付赔款。</w:t>
      </w:r>
    </w:p>
    <w:p w14:paraId="5292A776">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4.4对责任明确、不涉及人伤的纯车损追尾事故，经乙方现场查勘，事故双方无异议可免提供交警证明。</w:t>
      </w:r>
    </w:p>
    <w:p w14:paraId="253EE510">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4.5因责任单位车辆较多，对于同一被保险人车辆互碰纳入保险责任范围予以赔付。</w:t>
      </w:r>
    </w:p>
    <w:p w14:paraId="0562A190">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4.6发生人伤后，对于因本次碰撞事故导致受损的其他物品纳入第三者理赔范围。</w:t>
      </w:r>
    </w:p>
    <w:p w14:paraId="7AF455CC">
      <w:pPr>
        <w:keepNext w:val="0"/>
        <w:keepLines w:val="0"/>
        <w:pageBreakBefore w:val="0"/>
        <w:widowControl/>
        <w:suppressLineNumbers w:val="0"/>
        <w:kinsoku/>
        <w:wordWrap/>
        <w:overflowPunct/>
        <w:topLinePunct w:val="0"/>
        <w:autoSpaceDE/>
        <w:autoSpaceDN/>
        <w:bidi w:val="0"/>
        <w:snapToGrid/>
        <w:spacing w:line="360" w:lineRule="auto"/>
        <w:ind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bCs/>
          <w:color w:val="auto"/>
          <w:kern w:val="0"/>
          <w:sz w:val="24"/>
          <w:szCs w:val="24"/>
          <w:lang w:val="en-US" w:eastAsia="zh-CN" w:bidi="ar"/>
        </w:rPr>
        <w:t>九、甲、乙双方的权利和义务</w:t>
      </w:r>
    </w:p>
    <w:p w14:paraId="7AD96377">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1、甲方的投保车辆有按规定缴纳保险费的义务。若合同签署期限内，乙方保险公司未发生服务质量，或发生有损甲方权益问题，甲方严格按照合同规定将合同载明车辆全部交由合同签署乙方保险公司承担。</w:t>
      </w:r>
    </w:p>
    <w:p w14:paraId="33D65F04">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2、乙方必须严格履行各项服务承诺，当甲方被保险车辆出险时乙,方应及时响应处理。甲方在合同有效期内有权对乙方进行检查、监督，在合同期内，乙方有下列情形之一者，取消其保险，终止合同，并在三年内不得参与统一保险投标；</w:t>
      </w:r>
    </w:p>
    <w:p w14:paraId="0F3683EB">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(1)服务态度差造成恶劣影响的；</w:t>
      </w:r>
    </w:p>
    <w:p w14:paraId="59B67B77">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(2)一年内被有效投诉5次以上的；</w:t>
      </w:r>
    </w:p>
    <w:p w14:paraId="33BC1026">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(3)车辆发生事故、交警部门已做出结论，乙方不能及时理赔的。</w:t>
      </w:r>
    </w:p>
    <w:p w14:paraId="47735E77">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3、乙方各经办人员有协助甲方事故车辆索赔的义务。</w:t>
      </w:r>
    </w:p>
    <w:p w14:paraId="3BB79D21">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4、对疑难案件的处理，双方应本着互谅互让的精神，以解决问题的原则友好协商</w:t>
      </w:r>
    </w:p>
    <w:p w14:paraId="24B4DF9B">
      <w:pPr>
        <w:keepNext w:val="0"/>
        <w:keepLines w:val="0"/>
        <w:pageBreakBefore w:val="0"/>
        <w:widowControl/>
        <w:suppressLineNumbers w:val="0"/>
        <w:kinsoku/>
        <w:wordWrap/>
        <w:overflowPunct/>
        <w:topLinePunct w:val="0"/>
        <w:autoSpaceDE/>
        <w:autoSpaceDN/>
        <w:bidi w:val="0"/>
        <w:snapToGrid/>
        <w:spacing w:line="360" w:lineRule="auto"/>
        <w:ind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bCs/>
          <w:color w:val="auto"/>
          <w:kern w:val="0"/>
          <w:sz w:val="24"/>
          <w:szCs w:val="24"/>
          <w:lang w:val="en-US" w:eastAsia="zh-CN" w:bidi="ar"/>
        </w:rPr>
        <w:t>十、本合同有效期</w:t>
      </w:r>
      <w:r>
        <w:rPr>
          <w:rFonts w:hint="eastAsia" w:ascii="宋体" w:hAnsi="宋体" w:eastAsia="宋体" w:cs="宋体"/>
          <w:b w:val="0"/>
          <w:bCs w:val="0"/>
          <w:color w:val="auto"/>
          <w:kern w:val="0"/>
          <w:sz w:val="24"/>
          <w:szCs w:val="24"/>
          <w:u w:val="single"/>
          <w:lang w:val="en-US" w:eastAsia="zh-CN" w:bidi="ar"/>
        </w:rPr>
        <w:t xml:space="preserve">     年    月    日</w:t>
      </w:r>
      <w:r>
        <w:rPr>
          <w:rFonts w:hint="eastAsia" w:ascii="宋体" w:hAnsi="宋体" w:eastAsia="宋体" w:cs="宋体"/>
          <w:color w:val="auto"/>
          <w:kern w:val="0"/>
          <w:sz w:val="24"/>
          <w:szCs w:val="24"/>
          <w:lang w:val="en-US" w:eastAsia="zh-CN" w:bidi="ar"/>
        </w:rPr>
        <w:t>至</w:t>
      </w:r>
      <w:r>
        <w:rPr>
          <w:rFonts w:hint="eastAsia" w:ascii="宋体" w:hAnsi="宋体" w:eastAsia="宋体" w:cs="宋体"/>
          <w:b w:val="0"/>
          <w:bCs w:val="0"/>
          <w:color w:val="auto"/>
          <w:kern w:val="0"/>
          <w:sz w:val="24"/>
          <w:szCs w:val="24"/>
          <w:u w:val="single"/>
          <w:lang w:val="en-US" w:eastAsia="zh-CN" w:bidi="ar"/>
        </w:rPr>
        <w:t xml:space="preserve">     年    月    日</w:t>
      </w:r>
      <w:r>
        <w:rPr>
          <w:rFonts w:hint="eastAsia" w:ascii="宋体" w:hAnsi="宋体" w:eastAsia="宋体" w:cs="宋体"/>
          <w:color w:val="auto"/>
          <w:kern w:val="0"/>
          <w:sz w:val="24"/>
          <w:szCs w:val="24"/>
          <w:lang w:val="en-US" w:eastAsia="zh-CN" w:bidi="ar"/>
        </w:rPr>
        <w:t>。</w:t>
      </w:r>
    </w:p>
    <w:p w14:paraId="575BCD5D">
      <w:pPr>
        <w:keepNext w:val="0"/>
        <w:keepLines w:val="0"/>
        <w:pageBreakBefore w:val="0"/>
        <w:widowControl/>
        <w:suppressLineNumbers w:val="0"/>
        <w:kinsoku/>
        <w:wordWrap/>
        <w:overflowPunct/>
        <w:topLinePunct w:val="0"/>
        <w:autoSpaceDE/>
        <w:autoSpaceDN/>
        <w:bidi w:val="0"/>
        <w:snapToGrid/>
        <w:spacing w:line="360" w:lineRule="auto"/>
        <w:ind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bCs/>
          <w:color w:val="auto"/>
          <w:kern w:val="0"/>
          <w:sz w:val="24"/>
          <w:szCs w:val="24"/>
          <w:lang w:val="en-US" w:eastAsia="zh-CN" w:bidi="ar"/>
        </w:rPr>
        <w:t>十一、签订合同后甲方如发现乙方在计算保险费出具保单时与响应文件的承诺不一致，高出响应文件计算的保险费。甲方有权终止合同。</w:t>
      </w:r>
    </w:p>
    <w:p w14:paraId="58997F63">
      <w:pPr>
        <w:keepNext w:val="0"/>
        <w:keepLines w:val="0"/>
        <w:pageBreakBefore w:val="0"/>
        <w:widowControl/>
        <w:suppressLineNumbers w:val="0"/>
        <w:kinsoku/>
        <w:wordWrap/>
        <w:overflowPunct/>
        <w:topLinePunct w:val="0"/>
        <w:autoSpaceDE/>
        <w:autoSpaceDN/>
        <w:bidi w:val="0"/>
        <w:snapToGrid/>
        <w:spacing w:line="360" w:lineRule="auto"/>
        <w:ind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bCs/>
          <w:color w:val="auto"/>
          <w:kern w:val="0"/>
          <w:sz w:val="24"/>
          <w:szCs w:val="24"/>
          <w:lang w:val="en-US" w:eastAsia="zh-CN" w:bidi="ar"/>
        </w:rPr>
        <w:t>十二、合同组成部分</w:t>
      </w:r>
    </w:p>
    <w:p w14:paraId="6A7BD651">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竞争性磋商文件、乙方的响应文件和成交通知书，为本合同不可分割的组成部分，具有同等的法律效力。</w:t>
      </w:r>
    </w:p>
    <w:p w14:paraId="77259FAF">
      <w:pPr>
        <w:keepNext w:val="0"/>
        <w:keepLines w:val="0"/>
        <w:pageBreakBefore w:val="0"/>
        <w:widowControl/>
        <w:suppressLineNumbers w:val="0"/>
        <w:kinsoku/>
        <w:wordWrap/>
        <w:overflowPunct/>
        <w:topLinePunct w:val="0"/>
        <w:autoSpaceDE/>
        <w:autoSpaceDN/>
        <w:bidi w:val="0"/>
        <w:snapToGrid/>
        <w:spacing w:line="360" w:lineRule="auto"/>
        <w:ind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bCs/>
          <w:color w:val="auto"/>
          <w:kern w:val="0"/>
          <w:sz w:val="24"/>
          <w:szCs w:val="24"/>
          <w:lang w:val="en-US" w:eastAsia="zh-CN" w:bidi="ar"/>
        </w:rPr>
        <w:t>十三、合同未尽事宜</w:t>
      </w:r>
    </w:p>
    <w:p w14:paraId="03231ED0">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本合同未尽事宜，甲乙双方应本着平等互利、友好协商的原则解决，也可以补充协议的形式解决。</w:t>
      </w:r>
    </w:p>
    <w:p w14:paraId="085E2E33">
      <w:pPr>
        <w:keepNext w:val="0"/>
        <w:keepLines w:val="0"/>
        <w:pageBreakBefore w:val="0"/>
        <w:widowControl/>
        <w:suppressLineNumbers w:val="0"/>
        <w:kinsoku/>
        <w:wordWrap/>
        <w:overflowPunct/>
        <w:topLinePunct w:val="0"/>
        <w:autoSpaceDE/>
        <w:autoSpaceDN/>
        <w:bidi w:val="0"/>
        <w:snapToGrid/>
        <w:spacing w:line="360" w:lineRule="auto"/>
        <w:ind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bCs/>
          <w:color w:val="auto"/>
          <w:kern w:val="0"/>
          <w:sz w:val="24"/>
          <w:szCs w:val="24"/>
          <w:lang w:val="en-US" w:eastAsia="zh-CN" w:bidi="ar"/>
        </w:rPr>
        <w:t>十四、争议</w:t>
      </w:r>
    </w:p>
    <w:p w14:paraId="67285C5E">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本合同在履行过程中发生的争议，由双方当事人协商解决，协商不成的提交甲方所在地人民法院诉讼。</w:t>
      </w:r>
    </w:p>
    <w:p w14:paraId="6239B15A">
      <w:pPr>
        <w:keepNext w:val="0"/>
        <w:keepLines w:val="0"/>
        <w:pageBreakBefore w:val="0"/>
        <w:widowControl/>
        <w:suppressLineNumbers w:val="0"/>
        <w:kinsoku/>
        <w:wordWrap/>
        <w:overflowPunct/>
        <w:topLinePunct w:val="0"/>
        <w:autoSpaceDE/>
        <w:autoSpaceDN/>
        <w:bidi w:val="0"/>
        <w:snapToGrid/>
        <w:spacing w:line="360" w:lineRule="auto"/>
        <w:ind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bCs/>
          <w:color w:val="auto"/>
          <w:kern w:val="0"/>
          <w:sz w:val="24"/>
          <w:szCs w:val="24"/>
          <w:lang w:val="en-US" w:eastAsia="zh-CN" w:bidi="ar"/>
        </w:rPr>
        <w:t>十五、其他</w:t>
      </w:r>
    </w:p>
    <w:p w14:paraId="20C213EE">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1、乙方响应文件中的服务承诺为本合同附件，具有同等的法律效力；</w:t>
      </w:r>
    </w:p>
    <w:p w14:paraId="01761F9F">
      <w:pPr>
        <w:keepNext w:val="0"/>
        <w:keepLines w:val="0"/>
        <w:pageBreakBefore w:val="0"/>
        <w:widowControl/>
        <w:suppressLineNumbers w:val="0"/>
        <w:kinsoku/>
        <w:wordWrap/>
        <w:overflowPunct/>
        <w:topLinePunct w:val="0"/>
        <w:autoSpaceDE/>
        <w:autoSpaceDN/>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2、本合同一式捌份，甲方执陆份乙方执贰份，自双方签字盖章之日起生效。</w:t>
      </w:r>
    </w:p>
    <w:p w14:paraId="1ED5B54A">
      <w:pPr>
        <w:widowControl/>
        <w:shd w:val="clear"/>
        <w:tabs>
          <w:tab w:val="left" w:pos="8391"/>
        </w:tabs>
        <w:autoSpaceDE w:val="0"/>
        <w:autoSpaceDN w:val="0"/>
        <w:snapToGrid w:val="0"/>
        <w:spacing w:line="360" w:lineRule="auto"/>
        <w:ind w:right="-69" w:firstLine="840" w:firstLineChars="350"/>
        <w:textAlignment w:val="bottom"/>
        <w:rPr>
          <w:rFonts w:hint="eastAsia" w:ascii="宋体" w:hAnsi="宋体" w:eastAsia="宋体" w:cs="宋体"/>
          <w:color w:val="auto"/>
          <w:sz w:val="24"/>
          <w:szCs w:val="24"/>
        </w:rPr>
      </w:pPr>
    </w:p>
    <w:tbl>
      <w:tblPr>
        <w:tblStyle w:val="5"/>
        <w:tblW w:w="0" w:type="auto"/>
        <w:jc w:val="center"/>
        <w:tblLayout w:type="fixed"/>
        <w:tblCellMar>
          <w:top w:w="0" w:type="dxa"/>
          <w:left w:w="108" w:type="dxa"/>
          <w:bottom w:w="0" w:type="dxa"/>
          <w:right w:w="108" w:type="dxa"/>
        </w:tblCellMar>
      </w:tblPr>
      <w:tblGrid>
        <w:gridCol w:w="4470"/>
        <w:gridCol w:w="4425"/>
      </w:tblGrid>
      <w:tr w14:paraId="33719114">
        <w:tblPrEx>
          <w:tblCellMar>
            <w:top w:w="0" w:type="dxa"/>
            <w:left w:w="108" w:type="dxa"/>
            <w:bottom w:w="0" w:type="dxa"/>
            <w:right w:w="108" w:type="dxa"/>
          </w:tblCellMar>
        </w:tblPrEx>
        <w:trPr>
          <w:jc w:val="center"/>
        </w:trPr>
        <w:tc>
          <w:tcPr>
            <w:tcW w:w="4470" w:type="dxa"/>
            <w:noWrap w:val="0"/>
            <w:vAlign w:val="top"/>
          </w:tcPr>
          <w:p w14:paraId="34279B27">
            <w:pPr>
              <w:widowControl/>
              <w:shd w:val="clear"/>
              <w:autoSpaceDE w:val="0"/>
              <w:autoSpaceDN w:val="0"/>
              <w:snapToGrid w:val="0"/>
              <w:spacing w:line="360" w:lineRule="auto"/>
              <w:ind w:right="-154"/>
              <w:textAlignment w:val="bottom"/>
              <w:rPr>
                <w:rFonts w:hint="eastAsia" w:ascii="宋体" w:hAnsi="宋体" w:eastAsia="宋体" w:cs="宋体"/>
                <w:color w:val="auto"/>
                <w:sz w:val="24"/>
                <w:szCs w:val="24"/>
              </w:rPr>
            </w:pPr>
            <w:r>
              <w:rPr>
                <w:rFonts w:hint="eastAsia" w:ascii="宋体" w:hAnsi="宋体" w:eastAsia="宋体" w:cs="宋体"/>
                <w:color w:val="auto"/>
                <w:sz w:val="24"/>
                <w:szCs w:val="24"/>
              </w:rPr>
              <w:t>甲方名称</w:t>
            </w:r>
            <w:r>
              <w:rPr>
                <w:rFonts w:hint="eastAsia" w:ascii="宋体" w:hAnsi="宋体" w:eastAsia="宋体" w:cs="宋体"/>
                <w:color w:val="auto"/>
                <w:spacing w:val="-20"/>
                <w:sz w:val="24"/>
                <w:szCs w:val="24"/>
              </w:rPr>
              <w:t>（盖章）</w:t>
            </w:r>
            <w:r>
              <w:rPr>
                <w:rFonts w:hint="eastAsia" w:ascii="宋体" w:hAnsi="宋体" w:eastAsia="宋体" w:cs="宋体"/>
                <w:color w:val="auto"/>
                <w:sz w:val="24"/>
                <w:szCs w:val="24"/>
              </w:rPr>
              <w:t>:</w:t>
            </w:r>
          </w:p>
          <w:p w14:paraId="30F59B1A">
            <w:pPr>
              <w:widowControl/>
              <w:shd w:val="clear"/>
              <w:autoSpaceDE w:val="0"/>
              <w:autoSpaceDN w:val="0"/>
              <w:snapToGrid w:val="0"/>
              <w:spacing w:line="360" w:lineRule="auto"/>
              <w:ind w:right="-154"/>
              <w:textAlignment w:val="bottom"/>
              <w:rPr>
                <w:rFonts w:hint="eastAsia" w:ascii="宋体" w:hAnsi="宋体" w:eastAsia="宋体" w:cs="宋体"/>
                <w:color w:val="auto"/>
                <w:sz w:val="24"/>
                <w:szCs w:val="24"/>
              </w:rPr>
            </w:pPr>
            <w:r>
              <w:rPr>
                <w:rFonts w:hint="eastAsia" w:ascii="宋体" w:hAnsi="宋体" w:eastAsia="宋体" w:cs="宋体"/>
                <w:color w:val="auto"/>
                <w:sz w:val="24"/>
                <w:szCs w:val="24"/>
              </w:rPr>
              <w:t>地址：</w:t>
            </w:r>
          </w:p>
          <w:p w14:paraId="2776BDF0">
            <w:pPr>
              <w:widowControl/>
              <w:shd w:val="clear"/>
              <w:autoSpaceDE w:val="0"/>
              <w:autoSpaceDN w:val="0"/>
              <w:snapToGrid w:val="0"/>
              <w:spacing w:line="360" w:lineRule="auto"/>
              <w:ind w:right="-154"/>
              <w:textAlignment w:val="bottom"/>
              <w:rPr>
                <w:rFonts w:hint="eastAsia" w:ascii="宋体" w:hAnsi="宋体" w:eastAsia="宋体" w:cs="宋体"/>
                <w:color w:val="auto"/>
                <w:sz w:val="24"/>
                <w:szCs w:val="24"/>
              </w:rPr>
            </w:pPr>
            <w:r>
              <w:rPr>
                <w:rFonts w:hint="eastAsia" w:ascii="宋体" w:hAnsi="宋体" w:eastAsia="宋体" w:cs="宋体"/>
                <w:color w:val="auto"/>
                <w:sz w:val="24"/>
                <w:szCs w:val="24"/>
              </w:rPr>
              <w:t>代表人（签字）：</w:t>
            </w:r>
          </w:p>
          <w:p w14:paraId="10C657B4">
            <w:pPr>
              <w:widowControl/>
              <w:shd w:val="clear"/>
              <w:autoSpaceDE w:val="0"/>
              <w:autoSpaceDN w:val="0"/>
              <w:snapToGrid w:val="0"/>
              <w:spacing w:line="360" w:lineRule="auto"/>
              <w:ind w:right="-154"/>
              <w:textAlignment w:val="bottom"/>
              <w:rPr>
                <w:rFonts w:hint="eastAsia" w:ascii="宋体" w:hAnsi="宋体" w:eastAsia="宋体" w:cs="宋体"/>
                <w:color w:val="auto"/>
                <w:sz w:val="24"/>
                <w:szCs w:val="24"/>
              </w:rPr>
            </w:pPr>
            <w:r>
              <w:rPr>
                <w:rFonts w:hint="eastAsia" w:ascii="宋体" w:hAnsi="宋体" w:eastAsia="宋体" w:cs="宋体"/>
                <w:color w:val="auto"/>
                <w:sz w:val="24"/>
                <w:szCs w:val="24"/>
              </w:rPr>
              <w:t>电话：</w:t>
            </w:r>
          </w:p>
          <w:p w14:paraId="6DED57C7">
            <w:pPr>
              <w:widowControl/>
              <w:shd w:val="clear"/>
              <w:autoSpaceDE w:val="0"/>
              <w:autoSpaceDN w:val="0"/>
              <w:snapToGrid w:val="0"/>
              <w:spacing w:line="360" w:lineRule="auto"/>
              <w:ind w:right="-154"/>
              <w:textAlignment w:val="bottom"/>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p w14:paraId="0FCC5FC6">
            <w:pPr>
              <w:widowControl/>
              <w:shd w:val="clear"/>
              <w:autoSpaceDE w:val="0"/>
              <w:autoSpaceDN w:val="0"/>
              <w:snapToGrid w:val="0"/>
              <w:spacing w:line="360" w:lineRule="auto"/>
              <w:ind w:right="-154"/>
              <w:textAlignment w:val="bottom"/>
              <w:rPr>
                <w:rFonts w:hint="eastAsia" w:ascii="宋体" w:hAnsi="宋体" w:eastAsia="宋体" w:cs="宋体"/>
                <w:color w:val="auto"/>
                <w:sz w:val="24"/>
                <w:szCs w:val="24"/>
              </w:rPr>
            </w:pPr>
            <w:r>
              <w:rPr>
                <w:rFonts w:hint="eastAsia" w:ascii="宋体" w:hAnsi="宋体" w:eastAsia="宋体" w:cs="宋体"/>
                <w:color w:val="auto"/>
                <w:sz w:val="24"/>
                <w:szCs w:val="24"/>
              </w:rPr>
              <w:t>帐号：</w:t>
            </w:r>
          </w:p>
        </w:tc>
        <w:tc>
          <w:tcPr>
            <w:tcW w:w="4425" w:type="dxa"/>
            <w:noWrap w:val="0"/>
            <w:vAlign w:val="top"/>
          </w:tcPr>
          <w:p w14:paraId="3DB0C6DA">
            <w:pPr>
              <w:widowControl/>
              <w:shd w:val="clear"/>
              <w:autoSpaceDE w:val="0"/>
              <w:autoSpaceDN w:val="0"/>
              <w:snapToGrid w:val="0"/>
              <w:spacing w:line="360" w:lineRule="auto"/>
              <w:ind w:right="-154"/>
              <w:textAlignment w:val="bottom"/>
              <w:rPr>
                <w:rFonts w:hint="eastAsia" w:ascii="宋体" w:hAnsi="宋体" w:eastAsia="宋体" w:cs="宋体"/>
                <w:color w:val="auto"/>
                <w:sz w:val="24"/>
                <w:szCs w:val="24"/>
              </w:rPr>
            </w:pPr>
            <w:r>
              <w:rPr>
                <w:rFonts w:hint="eastAsia" w:ascii="宋体" w:hAnsi="宋体" w:eastAsia="宋体" w:cs="宋体"/>
                <w:color w:val="auto"/>
                <w:sz w:val="24"/>
                <w:szCs w:val="24"/>
              </w:rPr>
              <w:t>乙方名称</w:t>
            </w:r>
            <w:r>
              <w:rPr>
                <w:rFonts w:hint="eastAsia" w:ascii="宋体" w:hAnsi="宋体" w:eastAsia="宋体" w:cs="宋体"/>
                <w:color w:val="auto"/>
                <w:spacing w:val="-20"/>
                <w:sz w:val="24"/>
                <w:szCs w:val="24"/>
              </w:rPr>
              <w:t>（盖章）</w:t>
            </w:r>
            <w:r>
              <w:rPr>
                <w:rFonts w:hint="eastAsia" w:ascii="宋体" w:hAnsi="宋体" w:eastAsia="宋体" w:cs="宋体"/>
                <w:color w:val="auto"/>
                <w:sz w:val="24"/>
                <w:szCs w:val="24"/>
              </w:rPr>
              <w:t>:</w:t>
            </w:r>
          </w:p>
          <w:p w14:paraId="2BCA2400">
            <w:pPr>
              <w:widowControl/>
              <w:shd w:val="clear"/>
              <w:autoSpaceDE w:val="0"/>
              <w:autoSpaceDN w:val="0"/>
              <w:snapToGrid w:val="0"/>
              <w:spacing w:line="360" w:lineRule="auto"/>
              <w:ind w:right="-154"/>
              <w:textAlignment w:val="bottom"/>
              <w:rPr>
                <w:rFonts w:hint="eastAsia" w:ascii="宋体" w:hAnsi="宋体" w:eastAsia="宋体" w:cs="宋体"/>
                <w:color w:val="auto"/>
                <w:sz w:val="24"/>
                <w:szCs w:val="24"/>
              </w:rPr>
            </w:pPr>
            <w:r>
              <w:rPr>
                <w:rFonts w:hint="eastAsia" w:ascii="宋体" w:hAnsi="宋体" w:eastAsia="宋体" w:cs="宋体"/>
                <w:color w:val="auto"/>
                <w:sz w:val="24"/>
                <w:szCs w:val="24"/>
              </w:rPr>
              <w:t>地址：</w:t>
            </w:r>
          </w:p>
          <w:p w14:paraId="32514381">
            <w:pPr>
              <w:widowControl/>
              <w:shd w:val="clear"/>
              <w:autoSpaceDE w:val="0"/>
              <w:autoSpaceDN w:val="0"/>
              <w:snapToGrid w:val="0"/>
              <w:spacing w:line="360" w:lineRule="auto"/>
              <w:ind w:right="-154"/>
              <w:textAlignment w:val="bottom"/>
              <w:rPr>
                <w:rFonts w:hint="eastAsia" w:ascii="宋体" w:hAnsi="宋体" w:eastAsia="宋体" w:cs="宋体"/>
                <w:color w:val="auto"/>
                <w:sz w:val="24"/>
                <w:szCs w:val="24"/>
              </w:rPr>
            </w:pPr>
            <w:r>
              <w:rPr>
                <w:rFonts w:hint="eastAsia" w:ascii="宋体" w:hAnsi="宋体" w:eastAsia="宋体" w:cs="宋体"/>
                <w:color w:val="auto"/>
                <w:sz w:val="24"/>
                <w:szCs w:val="24"/>
              </w:rPr>
              <w:t>代表人（签字）：</w:t>
            </w:r>
          </w:p>
          <w:p w14:paraId="3053F12E">
            <w:pPr>
              <w:widowControl/>
              <w:shd w:val="clear"/>
              <w:autoSpaceDE w:val="0"/>
              <w:autoSpaceDN w:val="0"/>
              <w:snapToGrid w:val="0"/>
              <w:spacing w:line="360" w:lineRule="auto"/>
              <w:ind w:right="-154"/>
              <w:textAlignment w:val="bottom"/>
              <w:rPr>
                <w:rFonts w:hint="eastAsia" w:ascii="宋体" w:hAnsi="宋体" w:eastAsia="宋体" w:cs="宋体"/>
                <w:color w:val="auto"/>
                <w:sz w:val="24"/>
                <w:szCs w:val="24"/>
              </w:rPr>
            </w:pPr>
            <w:r>
              <w:rPr>
                <w:rFonts w:hint="eastAsia" w:ascii="宋体" w:hAnsi="宋体" w:eastAsia="宋体" w:cs="宋体"/>
                <w:color w:val="auto"/>
                <w:sz w:val="24"/>
                <w:szCs w:val="24"/>
              </w:rPr>
              <w:t>电话：</w:t>
            </w:r>
          </w:p>
          <w:p w14:paraId="1F642634">
            <w:pPr>
              <w:widowControl/>
              <w:shd w:val="clear"/>
              <w:autoSpaceDE w:val="0"/>
              <w:autoSpaceDN w:val="0"/>
              <w:snapToGrid w:val="0"/>
              <w:spacing w:line="360" w:lineRule="auto"/>
              <w:ind w:right="-154"/>
              <w:textAlignment w:val="bottom"/>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p w14:paraId="71970C0D">
            <w:pPr>
              <w:widowControl/>
              <w:shd w:val="clear"/>
              <w:autoSpaceDE w:val="0"/>
              <w:autoSpaceDN w:val="0"/>
              <w:snapToGrid w:val="0"/>
              <w:spacing w:line="360" w:lineRule="auto"/>
              <w:ind w:right="-154"/>
              <w:textAlignment w:val="bottom"/>
              <w:rPr>
                <w:rFonts w:hint="eastAsia" w:ascii="宋体" w:hAnsi="宋体" w:eastAsia="宋体" w:cs="宋体"/>
                <w:color w:val="auto"/>
                <w:sz w:val="24"/>
                <w:szCs w:val="24"/>
              </w:rPr>
            </w:pPr>
            <w:r>
              <w:rPr>
                <w:rFonts w:hint="eastAsia" w:ascii="宋体" w:hAnsi="宋体" w:eastAsia="宋体" w:cs="宋体"/>
                <w:color w:val="auto"/>
                <w:sz w:val="24"/>
                <w:szCs w:val="24"/>
              </w:rPr>
              <w:t>帐号：</w:t>
            </w:r>
          </w:p>
        </w:tc>
      </w:tr>
    </w:tbl>
    <w:p w14:paraId="3681D9E6">
      <w:pPr>
        <w:pStyle w:val="3"/>
        <w:shd w:val="clear"/>
        <w:rPr>
          <w:rFonts w:hint="eastAsia"/>
          <w:color w:val="auto"/>
        </w:rPr>
      </w:pPr>
    </w:p>
    <w:p w14:paraId="74A1AC70">
      <w:bookmarkStart w:id="0" w:name="_GoBack"/>
      <w:bookmarkEnd w:id="0"/>
    </w:p>
    <w:sectPr>
      <w:footerReference r:id="rId3" w:type="default"/>
      <w:pgSz w:w="11906" w:h="16838"/>
      <w:pgMar w:top="1417" w:right="1417" w:bottom="1417"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93606">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2F60BF">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52F60BF">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9D18FC"/>
    <w:multiLevelType w:val="singleLevel"/>
    <w:tmpl w:val="549D18FC"/>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CE70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afterLines="0"/>
    </w:pPr>
    <w:rPr>
      <w:rFonts w:ascii="Times New Roman"/>
      <w:kern w:val="2"/>
      <w:sz w:val="21"/>
    </w:rPr>
  </w:style>
  <w:style w:type="paragraph" w:styleId="3">
    <w:name w:val="Body Text Indent 2"/>
    <w:basedOn w:val="1"/>
    <w:qFormat/>
    <w:uiPriority w:val="99"/>
    <w:pPr>
      <w:spacing w:line="480" w:lineRule="exact"/>
      <w:ind w:left="-1"/>
    </w:pPr>
    <w:rPr>
      <w:sz w:val="24"/>
      <w:szCs w:val="24"/>
    </w:rPr>
  </w:style>
  <w:style w:type="paragraph" w:styleId="4">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2025-09-24T12:13:58Z</dcterms:created>
  <dc:creator>Ice</dc:creator>
  <cp:lastModifiedBy>王小臭</cp:lastModifiedBy>
  <dcterms:modified xsi:type="dcterms:W3CDTF">2025-09-24T12:14:04Z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eyJoZGlkIjoiYTNlOGUxZjdjYTkyYTEzMTUyZjRhZTQ0ZTQ0M2UwY2IiLCJ1c2VySWQiOiI2NjgyMTAyNjYifQ==</vt:lpwstr>
  </property>
  <property fmtid="{D5CDD505-2E9C-101B-9397-08002B2CF9AE}" pid="4" name="ICV">
    <vt:lpwstr>53B4E241A7EA4A748A33FE93D349C72E_12</vt:lpwstr>
  </property>
</Properties>
</file>