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C01D92">
      <w:pPr>
        <w:keepNext w:val="0"/>
        <w:keepLines w:val="0"/>
        <w:widowControl/>
        <w:suppressLineNumbers w:val="0"/>
        <w:shd w:val="clear"/>
        <w:jc w:val="center"/>
        <w:rPr>
          <w:rFonts w:hint="default" w:ascii="宋体" w:hAnsi="宋体" w:eastAsia="宋体" w:cs="宋体"/>
          <w:b/>
          <w:bCs/>
          <w:color w:val="auto"/>
          <w:kern w:val="0"/>
          <w:sz w:val="34"/>
          <w:szCs w:val="34"/>
          <w:highlight w:val="none"/>
          <w:lang w:val="en-US" w:eastAsia="zh-CN" w:bidi="ar"/>
        </w:rPr>
      </w:pPr>
      <w:r>
        <w:rPr>
          <w:rFonts w:hint="eastAsia" w:ascii="宋体" w:hAnsi="宋体" w:eastAsia="宋体" w:cs="宋体"/>
          <w:b/>
          <w:bCs/>
          <w:color w:val="auto"/>
          <w:kern w:val="0"/>
          <w:sz w:val="34"/>
          <w:szCs w:val="34"/>
          <w:highlight w:val="none"/>
          <w:lang w:val="en-US" w:eastAsia="zh-CN" w:bidi="ar"/>
        </w:rPr>
        <w:t>磋商报价表</w:t>
      </w:r>
    </w:p>
    <w:p w14:paraId="5BD633D6">
      <w:pPr>
        <w:keepNext w:val="0"/>
        <w:keepLines w:val="0"/>
        <w:widowControl/>
        <w:suppressLineNumbers w:val="0"/>
        <w:shd w:val="clear"/>
        <w:jc w:val="center"/>
        <w:rPr>
          <w:rFonts w:hint="eastAsia" w:ascii="宋体" w:hAnsi="宋体" w:eastAsia="宋体" w:cs="宋体"/>
          <w:b/>
          <w:bCs/>
          <w:color w:val="auto"/>
          <w:kern w:val="0"/>
          <w:sz w:val="34"/>
          <w:szCs w:val="34"/>
          <w:highlight w:val="none"/>
          <w:lang w:val="en-US" w:eastAsia="zh-CN" w:bidi="ar"/>
        </w:rPr>
      </w:pPr>
    </w:p>
    <w:p w14:paraId="4A581D12">
      <w:pPr>
        <w:keepNext w:val="0"/>
        <w:keepLines w:val="0"/>
        <w:widowControl/>
        <w:suppressLineNumbers w:val="0"/>
        <w:shd w:val="clear"/>
        <w:jc w:val="center"/>
        <w:rPr>
          <w:rFonts w:hint="eastAsia" w:ascii="宋体" w:hAnsi="宋体" w:eastAsia="宋体" w:cs="宋体"/>
          <w:b/>
          <w:bCs/>
          <w:color w:val="auto"/>
          <w:kern w:val="0"/>
          <w:sz w:val="30"/>
          <w:szCs w:val="30"/>
          <w:highlight w:val="none"/>
          <w:lang w:val="en-US" w:eastAsia="zh-CN" w:bidi="ar"/>
        </w:rPr>
      </w:pPr>
      <w:r>
        <w:rPr>
          <w:rFonts w:hint="eastAsia" w:ascii="宋体" w:hAnsi="宋体" w:eastAsia="宋体" w:cs="宋体"/>
          <w:b/>
          <w:bCs/>
          <w:color w:val="auto"/>
          <w:kern w:val="0"/>
          <w:sz w:val="30"/>
          <w:szCs w:val="30"/>
          <w:highlight w:val="none"/>
          <w:lang w:val="en-US" w:eastAsia="zh-CN" w:bidi="ar"/>
        </w:rPr>
        <w:t>磋商报价表（首次）</w:t>
      </w:r>
    </w:p>
    <w:p w14:paraId="017C0DAC">
      <w:pPr>
        <w:spacing w:line="480" w:lineRule="auto"/>
        <w:rPr>
          <w:rFonts w:hint="eastAsia"/>
          <w:color w:val="auto"/>
          <w:sz w:val="24"/>
          <w:highlight w:val="none"/>
        </w:rPr>
      </w:pPr>
      <w:r>
        <w:rPr>
          <w:rFonts w:hint="eastAsia"/>
          <w:color w:val="auto"/>
          <w:sz w:val="24"/>
          <w:highlight w:val="none"/>
          <w:lang w:val="en-US" w:eastAsia="zh-CN"/>
        </w:rPr>
        <w:t>项目</w:t>
      </w:r>
      <w:r>
        <w:rPr>
          <w:rFonts w:hint="eastAsia"/>
          <w:color w:val="auto"/>
          <w:sz w:val="24"/>
          <w:highlight w:val="none"/>
        </w:rPr>
        <w:t>编号：</w:t>
      </w:r>
    </w:p>
    <w:p w14:paraId="1695C838">
      <w:pPr>
        <w:spacing w:line="480" w:lineRule="auto"/>
        <w:rPr>
          <w:rFonts w:hint="eastAsia"/>
          <w:color w:val="auto"/>
          <w:sz w:val="24"/>
          <w:highlight w:val="none"/>
          <w:lang w:val="en-US" w:eastAsia="zh-CN"/>
        </w:rPr>
      </w:pPr>
      <w:r>
        <w:rPr>
          <w:rFonts w:hint="eastAsia" w:ascii="宋体" w:hAnsi="宋体" w:eastAsia="宋体" w:cs="宋体"/>
          <w:color w:val="auto"/>
          <w:kern w:val="0"/>
          <w:sz w:val="24"/>
          <w:szCs w:val="24"/>
          <w:highlight w:val="none"/>
          <w:lang w:val="en-US" w:eastAsia="zh-CN" w:bidi="ar"/>
        </w:rPr>
        <w:t>项目名称：</w:t>
      </w:r>
    </w:p>
    <w:p w14:paraId="55835425">
      <w:pPr>
        <w:spacing w:line="480" w:lineRule="auto"/>
        <w:rPr>
          <w:rFonts w:hint="eastAsia"/>
          <w:color w:val="auto"/>
          <w:sz w:val="24"/>
          <w:highlight w:val="none"/>
        </w:rPr>
      </w:pPr>
      <w:r>
        <w:rPr>
          <w:rFonts w:hint="eastAsia"/>
          <w:color w:val="auto"/>
          <w:sz w:val="24"/>
          <w:highlight w:val="none"/>
          <w:lang w:val="en-US" w:eastAsia="zh-CN"/>
        </w:rPr>
        <w:t>供应商</w:t>
      </w:r>
      <w:r>
        <w:rPr>
          <w:rFonts w:hint="eastAsia"/>
          <w:color w:val="auto"/>
          <w:sz w:val="24"/>
          <w:highlight w:val="none"/>
        </w:rPr>
        <w:t>名称：</w:t>
      </w:r>
    </w:p>
    <w:tbl>
      <w:tblPr>
        <w:tblStyle w:val="3"/>
        <w:tblW w:w="8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268"/>
        <w:gridCol w:w="2153"/>
        <w:gridCol w:w="1747"/>
        <w:gridCol w:w="1747"/>
      </w:tblGrid>
      <w:tr w14:paraId="21C7E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trPr>
        <w:tc>
          <w:tcPr>
            <w:tcW w:w="817" w:type="dxa"/>
            <w:vAlign w:val="center"/>
          </w:tcPr>
          <w:p w14:paraId="5396A5D7">
            <w:pPr>
              <w:rPr>
                <w:color w:val="auto"/>
                <w:highlight w:val="none"/>
              </w:rPr>
            </w:pPr>
            <w:r>
              <w:rPr>
                <w:color w:val="auto"/>
                <w:highlight w:val="none"/>
              </w:rPr>
              <w:t>序号</w:t>
            </w:r>
          </w:p>
        </w:tc>
        <w:tc>
          <w:tcPr>
            <w:tcW w:w="2268" w:type="dxa"/>
            <w:vAlign w:val="center"/>
          </w:tcPr>
          <w:p w14:paraId="15F4A3C2">
            <w:pPr>
              <w:rPr>
                <w:color w:val="auto"/>
                <w:highlight w:val="none"/>
              </w:rPr>
            </w:pPr>
            <w:r>
              <w:rPr>
                <w:color w:val="auto"/>
                <w:highlight w:val="none"/>
              </w:rPr>
              <w:t>采购项目名称</w:t>
            </w:r>
            <w:r>
              <w:rPr>
                <w:rFonts w:hint="eastAsia"/>
                <w:color w:val="auto"/>
                <w:highlight w:val="none"/>
              </w:rPr>
              <w:t>/包名称</w:t>
            </w:r>
          </w:p>
        </w:tc>
        <w:tc>
          <w:tcPr>
            <w:tcW w:w="2153" w:type="dxa"/>
            <w:vAlign w:val="center"/>
          </w:tcPr>
          <w:p w14:paraId="4A1862C5">
            <w:pPr>
              <w:jc w:val="center"/>
              <w:rPr>
                <w:color w:val="auto"/>
                <w:highlight w:val="none"/>
              </w:rPr>
            </w:pPr>
            <w:r>
              <w:rPr>
                <w:rFonts w:hint="default"/>
                <w:color w:val="auto"/>
                <w:highlight w:val="none"/>
                <w:lang w:val="en-US" w:eastAsia="zh-CN"/>
              </w:rPr>
              <w:t>自主定价系数</w:t>
            </w:r>
          </w:p>
        </w:tc>
        <w:tc>
          <w:tcPr>
            <w:tcW w:w="1747" w:type="dxa"/>
            <w:vAlign w:val="center"/>
          </w:tcPr>
          <w:p w14:paraId="0A118014">
            <w:pPr>
              <w:jc w:val="center"/>
              <w:rPr>
                <w:rFonts w:hint="default" w:eastAsiaTheme="minorEastAsia"/>
                <w:color w:val="auto"/>
                <w:highlight w:val="none"/>
                <w:lang w:val="en-US" w:eastAsia="zh-CN"/>
              </w:rPr>
            </w:pPr>
            <w:r>
              <w:rPr>
                <w:rFonts w:hint="eastAsia"/>
                <w:color w:val="auto"/>
                <w:highlight w:val="none"/>
                <w:lang w:val="en-US" w:eastAsia="zh-CN"/>
              </w:rPr>
              <w:t>总报价（元）</w:t>
            </w:r>
          </w:p>
        </w:tc>
        <w:tc>
          <w:tcPr>
            <w:tcW w:w="1747" w:type="dxa"/>
            <w:vAlign w:val="center"/>
          </w:tcPr>
          <w:p w14:paraId="340C347D">
            <w:pPr>
              <w:jc w:val="center"/>
              <w:rPr>
                <w:color w:val="auto"/>
                <w:highlight w:val="none"/>
              </w:rPr>
            </w:pPr>
            <w:r>
              <w:rPr>
                <w:rFonts w:hint="eastAsia"/>
                <w:color w:val="auto"/>
                <w:highlight w:val="none"/>
                <w:lang w:val="en-US" w:eastAsia="zh-CN"/>
              </w:rPr>
              <w:t>服务期</w:t>
            </w:r>
          </w:p>
        </w:tc>
      </w:tr>
      <w:tr w14:paraId="48258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17" w:type="dxa"/>
            <w:vAlign w:val="center"/>
          </w:tcPr>
          <w:p w14:paraId="7128856C">
            <w:pPr>
              <w:rPr>
                <w:color w:val="auto"/>
                <w:highlight w:val="none"/>
              </w:rPr>
            </w:pPr>
            <w:r>
              <w:rPr>
                <w:rFonts w:hint="eastAsia"/>
                <w:color w:val="auto"/>
                <w:highlight w:val="none"/>
              </w:rPr>
              <w:t>1</w:t>
            </w:r>
          </w:p>
        </w:tc>
        <w:tc>
          <w:tcPr>
            <w:tcW w:w="2268" w:type="dxa"/>
            <w:vAlign w:val="center"/>
          </w:tcPr>
          <w:p w14:paraId="277670EA">
            <w:pPr>
              <w:rPr>
                <w:color w:val="auto"/>
                <w:highlight w:val="none"/>
              </w:rPr>
            </w:pPr>
          </w:p>
        </w:tc>
        <w:tc>
          <w:tcPr>
            <w:tcW w:w="2153" w:type="dxa"/>
            <w:vAlign w:val="center"/>
          </w:tcPr>
          <w:p w14:paraId="7EBA4158">
            <w:pPr>
              <w:rPr>
                <w:color w:val="auto"/>
                <w:highlight w:val="none"/>
              </w:rPr>
            </w:pPr>
          </w:p>
        </w:tc>
        <w:tc>
          <w:tcPr>
            <w:tcW w:w="1747" w:type="dxa"/>
            <w:vAlign w:val="center"/>
          </w:tcPr>
          <w:p w14:paraId="4DE05DEA">
            <w:pPr>
              <w:rPr>
                <w:color w:val="auto"/>
                <w:highlight w:val="none"/>
              </w:rPr>
            </w:pPr>
          </w:p>
        </w:tc>
        <w:tc>
          <w:tcPr>
            <w:tcW w:w="1747" w:type="dxa"/>
            <w:vAlign w:val="center"/>
          </w:tcPr>
          <w:p w14:paraId="71431D19">
            <w:pPr>
              <w:rPr>
                <w:color w:val="auto"/>
                <w:highlight w:val="none"/>
              </w:rPr>
            </w:pPr>
          </w:p>
        </w:tc>
      </w:tr>
    </w:tbl>
    <w:p w14:paraId="31C130AD">
      <w:pPr>
        <w:rPr>
          <w:color w:val="auto"/>
          <w:highlight w:val="none"/>
        </w:rPr>
      </w:pPr>
    </w:p>
    <w:p w14:paraId="131BB8AE">
      <w:pPr>
        <w:keepNext w:val="0"/>
        <w:keepLines w:val="0"/>
        <w:widowControl/>
        <w:suppressLineNumbers w:val="0"/>
        <w:shd w:val="clear"/>
        <w:jc w:val="center"/>
        <w:rPr>
          <w:rFonts w:hint="eastAsia" w:ascii="宋体" w:hAnsi="宋体" w:eastAsia="宋体" w:cs="宋体"/>
          <w:b/>
          <w:bCs/>
          <w:color w:val="auto"/>
          <w:kern w:val="0"/>
          <w:sz w:val="34"/>
          <w:szCs w:val="34"/>
          <w:highlight w:val="none"/>
          <w:lang w:val="en-US" w:eastAsia="zh-CN" w:bidi="ar"/>
        </w:rPr>
      </w:pPr>
    </w:p>
    <w:p w14:paraId="4A9DB4EA">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auto"/>
        <w:rPr>
          <w:rFonts w:hint="default" w:ascii="宋体" w:hAnsi="宋体" w:eastAsia="宋体" w:cs="宋体"/>
          <w:color w:val="auto"/>
          <w:kern w:val="0"/>
          <w:sz w:val="24"/>
          <w:szCs w:val="24"/>
          <w:highlight w:val="none"/>
          <w:lang w:val="en-US" w:eastAsia="zh-CN" w:bidi="ar"/>
        </w:rPr>
      </w:pPr>
      <w:r>
        <w:rPr>
          <w:rFonts w:hint="default" w:ascii="宋体" w:hAnsi="宋体" w:eastAsia="宋体" w:cs="宋体"/>
          <w:color w:val="auto"/>
          <w:kern w:val="0"/>
          <w:sz w:val="24"/>
          <w:szCs w:val="24"/>
          <w:highlight w:val="none"/>
          <w:lang w:val="en-US" w:eastAsia="zh-CN" w:bidi="ar"/>
        </w:rPr>
        <w:t>备注：</w:t>
      </w:r>
      <w:r>
        <w:rPr>
          <w:rFonts w:hint="eastAsia" w:ascii="宋体" w:hAnsi="宋体" w:eastAsia="宋体" w:cs="宋体"/>
          <w:color w:val="auto"/>
          <w:kern w:val="0"/>
          <w:sz w:val="24"/>
          <w:szCs w:val="24"/>
          <w:highlight w:val="none"/>
          <w:lang w:val="en-US" w:eastAsia="zh-CN" w:bidi="ar"/>
        </w:rPr>
        <w:t>1、</w:t>
      </w:r>
      <w:r>
        <w:rPr>
          <w:rFonts w:hint="default" w:ascii="宋体" w:hAnsi="宋体" w:eastAsia="宋体" w:cs="宋体"/>
          <w:color w:val="auto"/>
          <w:kern w:val="0"/>
          <w:sz w:val="24"/>
          <w:szCs w:val="24"/>
          <w:highlight w:val="none"/>
          <w:lang w:val="en-US" w:eastAsia="zh-CN" w:bidi="ar"/>
        </w:rPr>
        <w:t>自主定价系数根据《中国银保监会关于进一步扩大商业车险自主定价系数浮动范围等有关事项的通知》银保监规〔2022〕23 号进行自主报价</w:t>
      </w:r>
      <w:r>
        <w:rPr>
          <w:rFonts w:hint="eastAsia" w:ascii="宋体" w:hAnsi="宋体" w:eastAsia="宋体" w:cs="宋体"/>
          <w:color w:val="auto"/>
          <w:kern w:val="0"/>
          <w:sz w:val="24"/>
          <w:szCs w:val="24"/>
          <w:highlight w:val="none"/>
          <w:lang w:val="en-US" w:eastAsia="zh-CN" w:bidi="ar"/>
        </w:rPr>
        <w:t>，未按此文件要求报价将导致响应文件无效</w:t>
      </w:r>
      <w:r>
        <w:rPr>
          <w:rFonts w:hint="default" w:ascii="宋体" w:hAnsi="宋体" w:eastAsia="宋体" w:cs="宋体"/>
          <w:color w:val="auto"/>
          <w:kern w:val="0"/>
          <w:sz w:val="24"/>
          <w:szCs w:val="24"/>
          <w:highlight w:val="none"/>
          <w:lang w:val="en-US" w:eastAsia="zh-CN" w:bidi="ar"/>
        </w:rPr>
        <w:t>。</w:t>
      </w:r>
    </w:p>
    <w:p w14:paraId="3C406B15">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auto"/>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2、总报价填写采购预算，不允许变更，如未按要求填写将导致响应文件无效。</w:t>
      </w:r>
    </w:p>
    <w:p w14:paraId="77E97A3D">
      <w:pPr>
        <w:shd w:val="clear"/>
        <w:rPr>
          <w:rFonts w:hint="eastAsia" w:asciiTheme="majorEastAsia" w:hAnsiTheme="majorEastAsia" w:eastAsiaTheme="majorEastAsia" w:cstheme="majorEastAsia"/>
          <w:b/>
          <w:color w:val="auto"/>
          <w:sz w:val="36"/>
          <w:highlight w:val="none"/>
        </w:rPr>
      </w:pPr>
    </w:p>
    <w:p w14:paraId="7380A130">
      <w:pPr>
        <w:shd w:val="clear"/>
        <w:rPr>
          <w:rFonts w:hint="eastAsia" w:asciiTheme="majorEastAsia" w:hAnsiTheme="majorEastAsia" w:eastAsiaTheme="majorEastAsia" w:cstheme="majorEastAsia"/>
          <w:b/>
          <w:color w:val="auto"/>
          <w:sz w:val="36"/>
          <w:highlight w:val="none"/>
        </w:rPr>
      </w:pPr>
      <w:r>
        <w:rPr>
          <w:rFonts w:hint="eastAsia" w:asciiTheme="majorEastAsia" w:hAnsiTheme="majorEastAsia" w:eastAsiaTheme="majorEastAsia" w:cstheme="majorEastAsia"/>
          <w:b/>
          <w:color w:val="auto"/>
          <w:sz w:val="36"/>
          <w:highlight w:val="none"/>
        </w:rPr>
        <w:br w:type="page"/>
      </w:r>
    </w:p>
    <w:p w14:paraId="79A320D6">
      <w:pPr>
        <w:keepNext w:val="0"/>
        <w:keepLines w:val="0"/>
        <w:widowControl/>
        <w:suppressLineNumbers w:val="0"/>
        <w:shd w:val="clear"/>
        <w:jc w:val="center"/>
        <w:rPr>
          <w:rFonts w:hint="eastAsia" w:ascii="宋体" w:hAnsi="宋体" w:eastAsia="宋体" w:cs="宋体"/>
          <w:b/>
          <w:bCs/>
          <w:color w:val="auto"/>
          <w:kern w:val="0"/>
          <w:sz w:val="30"/>
          <w:szCs w:val="30"/>
          <w:highlight w:val="none"/>
          <w:lang w:val="en-US" w:eastAsia="zh-CN" w:bidi="ar"/>
        </w:rPr>
      </w:pPr>
      <w:r>
        <w:rPr>
          <w:rFonts w:hint="eastAsia" w:ascii="宋体" w:hAnsi="宋体" w:eastAsia="宋体" w:cs="宋体"/>
          <w:b/>
          <w:bCs/>
          <w:color w:val="auto"/>
          <w:kern w:val="0"/>
          <w:sz w:val="30"/>
          <w:szCs w:val="30"/>
          <w:highlight w:val="none"/>
          <w:lang w:val="en-US" w:eastAsia="zh-CN" w:bidi="ar"/>
        </w:rPr>
        <w:t>磋商报价表（最终）</w:t>
      </w:r>
    </w:p>
    <w:p w14:paraId="37B39004">
      <w:pPr>
        <w:spacing w:line="480" w:lineRule="auto"/>
        <w:rPr>
          <w:rFonts w:hint="eastAsia"/>
          <w:color w:val="auto"/>
          <w:sz w:val="24"/>
          <w:highlight w:val="none"/>
        </w:rPr>
      </w:pPr>
      <w:r>
        <w:rPr>
          <w:rFonts w:hint="eastAsia"/>
          <w:color w:val="auto"/>
          <w:sz w:val="24"/>
          <w:highlight w:val="none"/>
          <w:lang w:val="en-US" w:eastAsia="zh-CN"/>
        </w:rPr>
        <w:t>项目</w:t>
      </w:r>
      <w:r>
        <w:rPr>
          <w:rFonts w:hint="eastAsia"/>
          <w:color w:val="auto"/>
          <w:sz w:val="24"/>
          <w:highlight w:val="none"/>
        </w:rPr>
        <w:t>编号：</w:t>
      </w:r>
    </w:p>
    <w:p w14:paraId="4B484114">
      <w:pPr>
        <w:spacing w:line="480" w:lineRule="auto"/>
        <w:rPr>
          <w:rFonts w:hint="eastAsia"/>
          <w:color w:val="auto"/>
          <w:sz w:val="24"/>
          <w:highlight w:val="none"/>
          <w:lang w:val="en-US" w:eastAsia="zh-CN"/>
        </w:rPr>
      </w:pPr>
      <w:r>
        <w:rPr>
          <w:rFonts w:hint="eastAsia" w:ascii="宋体" w:hAnsi="宋体" w:eastAsia="宋体" w:cs="宋体"/>
          <w:color w:val="auto"/>
          <w:kern w:val="0"/>
          <w:sz w:val="24"/>
          <w:szCs w:val="24"/>
          <w:highlight w:val="none"/>
          <w:lang w:val="en-US" w:eastAsia="zh-CN" w:bidi="ar"/>
        </w:rPr>
        <w:t>项目名称：</w:t>
      </w:r>
    </w:p>
    <w:p w14:paraId="673C80E4">
      <w:pPr>
        <w:spacing w:line="480" w:lineRule="auto"/>
        <w:rPr>
          <w:rFonts w:hint="eastAsia"/>
          <w:color w:val="auto"/>
          <w:sz w:val="24"/>
          <w:highlight w:val="none"/>
        </w:rPr>
      </w:pPr>
      <w:r>
        <w:rPr>
          <w:rFonts w:hint="eastAsia"/>
          <w:color w:val="auto"/>
          <w:sz w:val="24"/>
          <w:highlight w:val="none"/>
          <w:lang w:val="en-US" w:eastAsia="zh-CN"/>
        </w:rPr>
        <w:t>供应商</w:t>
      </w:r>
      <w:r>
        <w:rPr>
          <w:rFonts w:hint="eastAsia"/>
          <w:color w:val="auto"/>
          <w:sz w:val="24"/>
          <w:highlight w:val="none"/>
        </w:rPr>
        <w:t>名称：</w:t>
      </w:r>
    </w:p>
    <w:tbl>
      <w:tblPr>
        <w:tblStyle w:val="3"/>
        <w:tblW w:w="8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268"/>
        <w:gridCol w:w="2153"/>
        <w:gridCol w:w="1747"/>
        <w:gridCol w:w="1747"/>
      </w:tblGrid>
      <w:tr w14:paraId="5F34B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trPr>
        <w:tc>
          <w:tcPr>
            <w:tcW w:w="817" w:type="dxa"/>
            <w:vAlign w:val="center"/>
          </w:tcPr>
          <w:p w14:paraId="4EDAE01C">
            <w:pPr>
              <w:rPr>
                <w:color w:val="auto"/>
                <w:highlight w:val="none"/>
              </w:rPr>
            </w:pPr>
            <w:r>
              <w:rPr>
                <w:color w:val="auto"/>
                <w:highlight w:val="none"/>
              </w:rPr>
              <w:t>序号</w:t>
            </w:r>
          </w:p>
        </w:tc>
        <w:tc>
          <w:tcPr>
            <w:tcW w:w="2268" w:type="dxa"/>
            <w:vAlign w:val="center"/>
          </w:tcPr>
          <w:p w14:paraId="182E6ADC">
            <w:pPr>
              <w:rPr>
                <w:color w:val="auto"/>
                <w:highlight w:val="none"/>
              </w:rPr>
            </w:pPr>
            <w:r>
              <w:rPr>
                <w:color w:val="auto"/>
                <w:highlight w:val="none"/>
              </w:rPr>
              <w:t>采购项目名称</w:t>
            </w:r>
            <w:r>
              <w:rPr>
                <w:rFonts w:hint="eastAsia"/>
                <w:color w:val="auto"/>
                <w:highlight w:val="none"/>
              </w:rPr>
              <w:t>/包名称</w:t>
            </w:r>
          </w:p>
        </w:tc>
        <w:tc>
          <w:tcPr>
            <w:tcW w:w="2153" w:type="dxa"/>
            <w:vAlign w:val="center"/>
          </w:tcPr>
          <w:p w14:paraId="44AF253F">
            <w:pPr>
              <w:jc w:val="center"/>
              <w:rPr>
                <w:color w:val="auto"/>
                <w:highlight w:val="none"/>
              </w:rPr>
            </w:pPr>
            <w:r>
              <w:rPr>
                <w:rFonts w:hint="default"/>
                <w:color w:val="auto"/>
                <w:highlight w:val="none"/>
                <w:lang w:val="en-US" w:eastAsia="zh-CN"/>
              </w:rPr>
              <w:t>自主定价系数</w:t>
            </w:r>
          </w:p>
        </w:tc>
        <w:tc>
          <w:tcPr>
            <w:tcW w:w="1747" w:type="dxa"/>
            <w:vAlign w:val="center"/>
          </w:tcPr>
          <w:p w14:paraId="6185CCED">
            <w:pPr>
              <w:jc w:val="center"/>
              <w:rPr>
                <w:rFonts w:hint="default" w:eastAsiaTheme="minorEastAsia"/>
                <w:color w:val="auto"/>
                <w:highlight w:val="none"/>
                <w:lang w:val="en-US" w:eastAsia="zh-CN"/>
              </w:rPr>
            </w:pPr>
            <w:r>
              <w:rPr>
                <w:rFonts w:hint="eastAsia"/>
                <w:color w:val="auto"/>
                <w:highlight w:val="none"/>
                <w:lang w:val="en-US" w:eastAsia="zh-CN"/>
              </w:rPr>
              <w:t>总报价（元）</w:t>
            </w:r>
          </w:p>
        </w:tc>
        <w:tc>
          <w:tcPr>
            <w:tcW w:w="1747" w:type="dxa"/>
            <w:vAlign w:val="center"/>
          </w:tcPr>
          <w:p w14:paraId="478F5C8A">
            <w:pPr>
              <w:jc w:val="center"/>
              <w:rPr>
                <w:color w:val="auto"/>
                <w:highlight w:val="none"/>
              </w:rPr>
            </w:pPr>
            <w:r>
              <w:rPr>
                <w:rFonts w:hint="eastAsia"/>
                <w:color w:val="auto"/>
                <w:highlight w:val="none"/>
                <w:lang w:val="en-US" w:eastAsia="zh-CN"/>
              </w:rPr>
              <w:t>服务期</w:t>
            </w:r>
          </w:p>
        </w:tc>
      </w:tr>
      <w:tr w14:paraId="1F30E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17" w:type="dxa"/>
            <w:vAlign w:val="center"/>
          </w:tcPr>
          <w:p w14:paraId="60792D14">
            <w:pPr>
              <w:rPr>
                <w:color w:val="auto"/>
                <w:highlight w:val="none"/>
              </w:rPr>
            </w:pPr>
            <w:r>
              <w:rPr>
                <w:rFonts w:hint="eastAsia"/>
                <w:color w:val="auto"/>
                <w:highlight w:val="none"/>
              </w:rPr>
              <w:t>1</w:t>
            </w:r>
          </w:p>
        </w:tc>
        <w:tc>
          <w:tcPr>
            <w:tcW w:w="2268" w:type="dxa"/>
            <w:vAlign w:val="center"/>
          </w:tcPr>
          <w:p w14:paraId="44119918">
            <w:pPr>
              <w:rPr>
                <w:color w:val="auto"/>
                <w:highlight w:val="none"/>
              </w:rPr>
            </w:pPr>
          </w:p>
        </w:tc>
        <w:tc>
          <w:tcPr>
            <w:tcW w:w="2153" w:type="dxa"/>
            <w:vAlign w:val="center"/>
          </w:tcPr>
          <w:p w14:paraId="6A18E103">
            <w:pPr>
              <w:rPr>
                <w:color w:val="auto"/>
                <w:highlight w:val="none"/>
              </w:rPr>
            </w:pPr>
          </w:p>
        </w:tc>
        <w:tc>
          <w:tcPr>
            <w:tcW w:w="1747" w:type="dxa"/>
            <w:vAlign w:val="center"/>
          </w:tcPr>
          <w:p w14:paraId="1CD5466F">
            <w:pPr>
              <w:rPr>
                <w:color w:val="auto"/>
                <w:highlight w:val="none"/>
              </w:rPr>
            </w:pPr>
          </w:p>
        </w:tc>
        <w:tc>
          <w:tcPr>
            <w:tcW w:w="1747" w:type="dxa"/>
            <w:vAlign w:val="center"/>
          </w:tcPr>
          <w:p w14:paraId="37509CE0">
            <w:pPr>
              <w:rPr>
                <w:color w:val="auto"/>
                <w:highlight w:val="none"/>
              </w:rPr>
            </w:pPr>
          </w:p>
        </w:tc>
      </w:tr>
    </w:tbl>
    <w:p w14:paraId="200AA474">
      <w:pPr>
        <w:rPr>
          <w:color w:val="auto"/>
          <w:highlight w:val="none"/>
        </w:rPr>
      </w:pPr>
    </w:p>
    <w:p w14:paraId="5587C02A">
      <w:pPr>
        <w:keepNext w:val="0"/>
        <w:keepLines w:val="0"/>
        <w:widowControl/>
        <w:suppressLineNumbers w:val="0"/>
        <w:shd w:val="clear"/>
        <w:jc w:val="center"/>
        <w:rPr>
          <w:rFonts w:hint="eastAsia" w:ascii="宋体" w:hAnsi="宋体" w:eastAsia="宋体" w:cs="宋体"/>
          <w:b/>
          <w:bCs/>
          <w:color w:val="auto"/>
          <w:kern w:val="0"/>
          <w:sz w:val="34"/>
          <w:szCs w:val="34"/>
          <w:highlight w:val="none"/>
          <w:lang w:val="en-US" w:eastAsia="zh-CN" w:bidi="ar"/>
        </w:rPr>
      </w:pPr>
    </w:p>
    <w:p w14:paraId="4B220210">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auto"/>
        <w:rPr>
          <w:rFonts w:hint="default" w:ascii="宋体" w:hAnsi="宋体" w:eastAsia="宋体" w:cs="宋体"/>
          <w:color w:val="auto"/>
          <w:kern w:val="0"/>
          <w:sz w:val="24"/>
          <w:szCs w:val="24"/>
          <w:highlight w:val="none"/>
          <w:lang w:val="en-US" w:eastAsia="zh-CN" w:bidi="ar"/>
        </w:rPr>
      </w:pPr>
      <w:r>
        <w:rPr>
          <w:rFonts w:hint="default" w:ascii="宋体" w:hAnsi="宋体" w:eastAsia="宋体" w:cs="宋体"/>
          <w:color w:val="auto"/>
          <w:kern w:val="0"/>
          <w:sz w:val="24"/>
          <w:szCs w:val="24"/>
          <w:highlight w:val="none"/>
          <w:lang w:val="en-US" w:eastAsia="zh-CN" w:bidi="ar"/>
        </w:rPr>
        <w:t>备注：</w:t>
      </w:r>
      <w:r>
        <w:rPr>
          <w:rFonts w:hint="eastAsia" w:ascii="宋体" w:hAnsi="宋体" w:eastAsia="宋体" w:cs="宋体"/>
          <w:color w:val="auto"/>
          <w:kern w:val="0"/>
          <w:sz w:val="24"/>
          <w:szCs w:val="24"/>
          <w:highlight w:val="none"/>
          <w:lang w:val="en-US" w:eastAsia="zh-CN" w:bidi="ar"/>
        </w:rPr>
        <w:t>1、</w:t>
      </w:r>
      <w:r>
        <w:rPr>
          <w:rFonts w:hint="default" w:ascii="宋体" w:hAnsi="宋体" w:eastAsia="宋体" w:cs="宋体"/>
          <w:color w:val="auto"/>
          <w:kern w:val="0"/>
          <w:sz w:val="24"/>
          <w:szCs w:val="24"/>
          <w:highlight w:val="none"/>
          <w:lang w:val="en-US" w:eastAsia="zh-CN" w:bidi="ar"/>
        </w:rPr>
        <w:t>自主定价系数根据《中国银保监会关于进一步扩大商业车险自主定价系数浮动范围等有关事项的通知》银保监规〔2022〕23 号进行自主报价</w:t>
      </w:r>
      <w:r>
        <w:rPr>
          <w:rFonts w:hint="eastAsia" w:ascii="宋体" w:hAnsi="宋体" w:eastAsia="宋体" w:cs="宋体"/>
          <w:color w:val="auto"/>
          <w:kern w:val="0"/>
          <w:sz w:val="24"/>
          <w:szCs w:val="24"/>
          <w:highlight w:val="none"/>
          <w:lang w:val="en-US" w:eastAsia="zh-CN" w:bidi="ar"/>
        </w:rPr>
        <w:t>，未按此文件要求报价将导致响应文件无效</w:t>
      </w:r>
      <w:r>
        <w:rPr>
          <w:rFonts w:hint="default" w:ascii="宋体" w:hAnsi="宋体" w:eastAsia="宋体" w:cs="宋体"/>
          <w:color w:val="auto"/>
          <w:kern w:val="0"/>
          <w:sz w:val="24"/>
          <w:szCs w:val="24"/>
          <w:highlight w:val="none"/>
          <w:lang w:val="en-US" w:eastAsia="zh-CN" w:bidi="ar"/>
        </w:rPr>
        <w:t>。</w:t>
      </w:r>
    </w:p>
    <w:p w14:paraId="5E2F2B3D">
      <w:pPr>
        <w:keepNext w:val="0"/>
        <w:keepLines w:val="0"/>
        <w:pageBreakBefore w:val="0"/>
        <w:widowControl/>
        <w:numPr>
          <w:ilvl w:val="0"/>
          <w:numId w:val="1"/>
        </w:numPr>
        <w:suppressLineNumbers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总报价填写采购预算，不允许变更，如未按要求填写将导致响应文件无效。</w:t>
      </w:r>
    </w:p>
    <w:p w14:paraId="76135B12">
      <w:pPr>
        <w:keepNext w:val="0"/>
        <w:keepLines w:val="0"/>
        <w:pageBreakBefore w:val="0"/>
        <w:widowControl/>
        <w:numPr>
          <w:ilvl w:val="0"/>
          <w:numId w:val="1"/>
        </w:numPr>
        <w:suppressLineNumbers w:val="0"/>
        <w:shd w:val="clear"/>
        <w:kinsoku/>
        <w:wordWrap/>
        <w:overflowPunct/>
        <w:topLinePunct w:val="0"/>
        <w:autoSpaceDE/>
        <w:autoSpaceDN/>
        <w:bidi w:val="0"/>
        <w:adjustRightInd/>
        <w:snapToGrid/>
        <w:spacing w:line="360" w:lineRule="auto"/>
        <w:jc w:val="left"/>
        <w:textAlignment w:val="auto"/>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此表在上传响应文件时不提供，在最终报价时需填写并作为附件上传，如未按要求填写并上传将导致响应文件无效。</w:t>
      </w:r>
    </w:p>
    <w:p w14:paraId="5B131BE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7C8B89"/>
    <w:multiLevelType w:val="singleLevel"/>
    <w:tmpl w:val="727C8B89"/>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874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2025-09-24T12:03:08Z</dcterms:created>
  <dc:creator>Ice</dc:creator>
  <cp:lastModifiedBy>王小臭</cp:lastModifiedBy>
  <dcterms:modified xsi:type="dcterms:W3CDTF">2025-09-24T12:03:11Z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eyJoZGlkIjoiYTNlOGUxZjdjYTkyYTEzMTUyZjRhZTQ0ZTQ0M2UwY2IiLCJ1c2VySWQiOiI2NjgyMTAyNjYifQ==</vt:lpwstr>
  </property>
  <property fmtid="{D5CDD505-2E9C-101B-9397-08002B2CF9AE}" pid="4" name="ICV">
    <vt:lpwstr>E5892BAACAD0438CA473DB35568C85C1_12</vt:lpwstr>
  </property>
</Properties>
</file>