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版本号：2025TYCF（C）0603.1.2B220250811001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网信工作经费(三次)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2025TYCF（C）0603.1.2B2</w:t>
      </w:r>
      <w:r>
        <w:br/>
      </w:r>
      <w:r>
        <w:br/>
      </w:r>
      <w:r>
        <w:br/>
      </w:r>
    </w:p>
    <w:p>
      <w:pPr>
        <w:pStyle w:val="null3"/>
        <w:jc w:val="center"/>
        <w:outlineLvl w:val="2"/>
      </w:pPr>
      <w:r>
        <w:rPr>
          <w:rFonts w:ascii="仿宋_GB2312" w:hAnsi="仿宋_GB2312" w:cs="仿宋_GB2312" w:eastAsia="仿宋_GB2312"/>
          <w:sz w:val="28"/>
          <w:b/>
        </w:rPr>
        <w:t>中共西安市雁塔区委网络安全和信息化委员会办公室</w:t>
      </w:r>
    </w:p>
    <w:p>
      <w:pPr>
        <w:pStyle w:val="null3"/>
        <w:jc w:val="center"/>
        <w:outlineLvl w:val="2"/>
      </w:pPr>
      <w:r>
        <w:rPr>
          <w:rFonts w:ascii="仿宋_GB2312" w:hAnsi="仿宋_GB2312" w:cs="仿宋_GB2312" w:eastAsia="仿宋_GB2312"/>
          <w:sz w:val="28"/>
          <w:b/>
        </w:rPr>
        <w:t>陕西天翊项目管理有限公司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陕西天翊项目管理有限公司</w:t>
      </w:r>
      <w:r>
        <w:rPr>
          <w:rFonts w:ascii="仿宋_GB2312" w:hAnsi="仿宋_GB2312" w:cs="仿宋_GB2312" w:eastAsia="仿宋_GB2312"/>
        </w:rPr>
        <w:t>（以下简称“代理机构”）受</w:t>
      </w:r>
      <w:r>
        <w:rPr>
          <w:rFonts w:ascii="仿宋_GB2312" w:hAnsi="仿宋_GB2312" w:cs="仿宋_GB2312" w:eastAsia="仿宋_GB2312"/>
        </w:rPr>
        <w:t>中共西安市雁塔区委网络安全和信息化委员会办公室</w:t>
      </w:r>
      <w:r>
        <w:rPr>
          <w:rFonts w:ascii="仿宋_GB2312" w:hAnsi="仿宋_GB2312" w:cs="仿宋_GB2312" w:eastAsia="仿宋_GB2312"/>
        </w:rPr>
        <w:t>委托，拟对</w:t>
      </w:r>
      <w:r>
        <w:rPr>
          <w:rFonts w:ascii="仿宋_GB2312" w:hAnsi="仿宋_GB2312" w:cs="仿宋_GB2312" w:eastAsia="仿宋_GB2312"/>
        </w:rPr>
        <w:t>网信工作经费(三次)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2025TYCF（C）0603.1.2B2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网信工作经费(三次)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网信工作经费，用于各采购包指定主题宣传活动。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采购包2（雁塔区网络正能量精品征集展播活动）：属于专门面向小微企业采购。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2、纳税证明：提供磋商截止日前半年内已缴纳的至少一个月的纳税证明或完税证明，依法免税的单位应提供相关证明材料。</w:t>
      </w:r>
    </w:p>
    <w:p>
      <w:pPr>
        <w:pStyle w:val="null3"/>
      </w:pPr>
      <w:r>
        <w:rPr>
          <w:rFonts w:ascii="仿宋_GB2312" w:hAnsi="仿宋_GB2312" w:cs="仿宋_GB2312" w:eastAsia="仿宋_GB2312"/>
        </w:rPr>
        <w:t>3、社保证明：提供磋商截止日前一年内已缴存的至少一个月的社会保障资金缴存单据或社保机构开具的社会保险参保缴费情况证明，依法不需要缴纳社会保障资金的单位应提供相关证明材料。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4、三年无违法声明：参加政府采购活动前3年内，在经营活动中没有重大违法记录的书面声明。</w:t>
      </w:r>
    </w:p>
    <w:p>
      <w:pPr>
        <w:pStyle w:val="null3"/>
      </w:pPr>
      <w:r>
        <w:rPr>
          <w:rFonts w:ascii="仿宋_GB2312" w:hAnsi="仿宋_GB2312" w:cs="仿宋_GB2312" w:eastAsia="仿宋_GB2312"/>
        </w:rPr>
        <w:t>5、履约能力声明：提供具有履行本项目所必需的设备和专业技术能力的书面声明。</w:t>
      </w:r>
    </w:p>
    <w:p>
      <w:pPr>
        <w:pStyle w:val="null3"/>
      </w:pPr>
      <w:r>
        <w:rPr>
          <w:rFonts w:ascii="仿宋_GB2312" w:hAnsi="仿宋_GB2312" w:cs="仿宋_GB2312" w:eastAsia="仿宋_GB2312"/>
        </w:rPr>
        <w:t>6、身份证明：法定代表人授权书（附法定代表人、被授权人身份证复印件）及被授权人身份证（法定代表人直接参加磋商，须提供法定代表人身份证明及身份证原件）。</w:t>
      </w:r>
    </w:p>
    <w:p>
      <w:pPr>
        <w:pStyle w:val="null3"/>
      </w:pPr>
      <w:r>
        <w:rPr>
          <w:rFonts w:ascii="仿宋_GB2312" w:hAnsi="仿宋_GB2312" w:cs="仿宋_GB2312" w:eastAsia="仿宋_GB2312"/>
        </w:rPr>
        <w:t>7、非联合体声明：本项目不接受联合体投标。（提供承诺书）</w:t>
      </w:r>
    </w:p>
    <w:p>
      <w:pPr>
        <w:pStyle w:val="null3"/>
      </w:pPr>
      <w:r>
        <w:rPr>
          <w:rFonts w:ascii="仿宋_GB2312" w:hAnsi="仿宋_GB2312" w:cs="仿宋_GB2312" w:eastAsia="仿宋_GB2312"/>
        </w:rPr>
        <w:t>8、供应商信用记录要求：供应商在递交响应文件截止时间前被“信用中国”网站（www.creditchina.gov.cn）和中国政府采购网（www.ccgp.gov.cn）上被列入失信被执行人、重大税收违法案件当事人名单、政府采购严重违法失信行为记录名单的，不得参加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2、纳税证明：提供磋商截止日前半年内已缴纳的至少一个月的纳税证明或完税证明，依法免税的单位应提供相关证明材料。</w:t>
      </w:r>
    </w:p>
    <w:p>
      <w:pPr>
        <w:pStyle w:val="null3"/>
      </w:pPr>
      <w:r>
        <w:rPr>
          <w:rFonts w:ascii="仿宋_GB2312" w:hAnsi="仿宋_GB2312" w:cs="仿宋_GB2312" w:eastAsia="仿宋_GB2312"/>
        </w:rPr>
        <w:t>3、社保证明：提供磋商截止日前一年内已缴存的至少一个月的社会保障资金缴存单据或社保机构开具的社会保险参保缴费情况证明，依法不需要缴纳社会保障资金的单位应提供相关证明材料。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4、三年无违法声明：参加政府采购活动前3年内，在经营活动中没有重大违法记录的书面声明。</w:t>
      </w:r>
    </w:p>
    <w:p>
      <w:pPr>
        <w:pStyle w:val="null3"/>
      </w:pPr>
      <w:r>
        <w:rPr>
          <w:rFonts w:ascii="仿宋_GB2312" w:hAnsi="仿宋_GB2312" w:cs="仿宋_GB2312" w:eastAsia="仿宋_GB2312"/>
        </w:rPr>
        <w:t>5、履约能力声明：提供具有履行本项目所必需的设备和专业技术能力的书面声明。</w:t>
      </w:r>
    </w:p>
    <w:p>
      <w:pPr>
        <w:pStyle w:val="null3"/>
      </w:pPr>
      <w:r>
        <w:rPr>
          <w:rFonts w:ascii="仿宋_GB2312" w:hAnsi="仿宋_GB2312" w:cs="仿宋_GB2312" w:eastAsia="仿宋_GB2312"/>
        </w:rPr>
        <w:t>6、身份证明：法定代表人授权书（附法定代表人、被授权人身份证复印件）及被授权人身份证（法定代表人直接参加磋商，须提供法定代表人身份证明及身份证原件）。</w:t>
      </w:r>
    </w:p>
    <w:p>
      <w:pPr>
        <w:pStyle w:val="null3"/>
      </w:pPr>
      <w:r>
        <w:rPr>
          <w:rFonts w:ascii="仿宋_GB2312" w:hAnsi="仿宋_GB2312" w:cs="仿宋_GB2312" w:eastAsia="仿宋_GB2312"/>
        </w:rPr>
        <w:t>7、非联合体声明：本项目不接受联合体投标。（提供承诺书）</w:t>
      </w:r>
    </w:p>
    <w:p>
      <w:pPr>
        <w:pStyle w:val="null3"/>
      </w:pPr>
      <w:r>
        <w:rPr>
          <w:rFonts w:ascii="仿宋_GB2312" w:hAnsi="仿宋_GB2312" w:cs="仿宋_GB2312" w:eastAsia="仿宋_GB2312"/>
        </w:rPr>
        <w:t>8、中小型企业声明函：本采购包为专门面向小微企业采购包，但供应商需提供中小型企业声明函。（价格得分不执行价格评审优惠扶持政策）</w:t>
      </w:r>
    </w:p>
    <w:p>
      <w:pPr>
        <w:pStyle w:val="null3"/>
      </w:pPr>
      <w:r>
        <w:rPr>
          <w:rFonts w:ascii="仿宋_GB2312" w:hAnsi="仿宋_GB2312" w:cs="仿宋_GB2312" w:eastAsia="仿宋_GB2312"/>
        </w:rPr>
        <w:t>9、供应商信用记录要求：供应商在递交响应文件截止时间前被“信用中国”网站（www.creditchina.gov.cn）和中国政府采购网（www.ccgp.gov.cn）上被列入失信被执行人、重大税收违法案件当事人名单、政府采购严重违法失信行为记录名单的，不得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中共西安市雁塔区委网络安全和信息化委员会办公室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陕西省西安市雁塔区小寨东路168号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向老师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85382091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陕西天翊项目管理有限公司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西安市未央区未央路二府庄龙首塬小区3号楼1204室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王思宇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029-86332603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采购包1：100,000.00元</w:t>
            </w:r>
          </w:p>
          <w:p>
            <w:pPr>
              <w:pStyle w:val="null3"/>
            </w:pPr>
            <w:r>
              <w:rPr>
                <w:rFonts w:ascii="仿宋_GB2312" w:hAnsi="仿宋_GB2312" w:cs="仿宋_GB2312" w:eastAsia="仿宋_GB2312"/>
              </w:rPr>
              <w:t>采购包2：100,000.00元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各采购包采用固定收费模式收取代理服务费，采购包预算10万元以上（含10万），代理服务费按2000元记取；采购包预算在10万以下，代理服务费按1500元记取。缴存账户：开户名称：陕西天翊项目管理有限公司开户银行：招商银行股份有限公司西安未央路支行账号：1299 0847 5810 901行号：308791011186（备注：项目名称包号+代理服务费）2、中标单位在领取中标通知书前，须向采购代理机构一次性支付采购代理服务费。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中共西安市雁塔区委网络安全和信息化委员会办公室</w:t>
      </w:r>
      <w:r>
        <w:rPr>
          <w:rFonts w:ascii="仿宋_GB2312" w:hAnsi="仿宋_GB2312" w:cs="仿宋_GB2312" w:eastAsia="仿宋_GB2312"/>
        </w:rPr>
        <w:t>和</w:t>
      </w:r>
      <w:r>
        <w:rPr>
          <w:rFonts w:ascii="仿宋_GB2312" w:hAnsi="仿宋_GB2312" w:cs="仿宋_GB2312" w:eastAsia="仿宋_GB2312"/>
        </w:rPr>
        <w:t>陕西天翊项目管理有限公司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中共西安市雁塔区委网络安全和信息化委员会办公室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陕西天翊项目管理有限公司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中共西安市雁塔区委网络安全和信息化委员会办公室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陕西天翊项目管理有限公司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验收标准以合同约定的服务内容为依据。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验收标准以合同约定的服务内容为依据。</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陕西天翊项目管理有限公司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陕西天翊项目管理有限公司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陕西天翊项目管理有限公司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联系人：王思宇</w:t>
      </w:r>
    </w:p>
    <w:p>
      <w:pPr>
        <w:pStyle w:val="null3"/>
      </w:pPr>
      <w:r>
        <w:rPr>
          <w:rFonts w:ascii="仿宋_GB2312" w:hAnsi="仿宋_GB2312" w:cs="仿宋_GB2312" w:eastAsia="仿宋_GB2312"/>
        </w:rPr>
        <w:t>联系电话：029-86332603</w:t>
      </w:r>
    </w:p>
    <w:p>
      <w:pPr>
        <w:pStyle w:val="null3"/>
      </w:pPr>
      <w:r>
        <w:rPr>
          <w:rFonts w:ascii="仿宋_GB2312" w:hAnsi="仿宋_GB2312" w:cs="仿宋_GB2312" w:eastAsia="仿宋_GB2312"/>
        </w:rPr>
        <w:t>地址：西安市未央区未央路二府庄龙首塬小区3号楼1204室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网信工作经费项目（三次）共分为2个标段，预算金额 20万元人民币。采购包一：“活力雁塔见证未来”网络主题宣传，预算金额10万元；采购包二：雁塔区网络正能量精品征集展播活动，预算金额：10万元。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“活力雁塔见证未来”网络主题宣传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雁塔区网络正能量精品征集展播活动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标的名称：“活力雁塔见证未来”网络主题宣传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在中央级重点网络媒体搭建宣传推广专题1个，内容填充不少于30条。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及时在中央级重点网络媒体重要位置、客户端、微博等平台，对雁塔工作特色亮点进行矩阵传播，数量不少于</w:t>
            </w:r>
            <w:r>
              <w:rPr>
                <w:rFonts w:ascii="仿宋_GB2312" w:hAnsi="仿宋_GB2312" w:cs="仿宋_GB2312" w:eastAsia="仿宋_GB2312"/>
                <w:sz w:val="21"/>
              </w:rPr>
              <w:t>5条次。</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在重大活动、重要时间节点，优先传播雁塔区提供的各类正能量信息。</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标的名称：雁塔区网络正能量精品征集展播活动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在省级重点网络媒体搭建活动专题</w:t>
            </w:r>
            <w:r>
              <w:rPr>
                <w:rFonts w:ascii="仿宋_GB2312" w:hAnsi="仿宋_GB2312" w:cs="仿宋_GB2312" w:eastAsia="仿宋_GB2312"/>
                <w:sz w:val="21"/>
              </w:rPr>
              <w:t>1个。</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制作创意视频不少于</w:t>
            </w:r>
            <w:r>
              <w:rPr>
                <w:rFonts w:ascii="仿宋_GB2312" w:hAnsi="仿宋_GB2312" w:cs="仿宋_GB2312" w:eastAsia="仿宋_GB2312"/>
                <w:sz w:val="21"/>
              </w:rPr>
              <w:t>4条（3分钟以内/条）。</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制作图文信息不少于</w:t>
            </w:r>
            <w:r>
              <w:rPr>
                <w:rFonts w:ascii="仿宋_GB2312" w:hAnsi="仿宋_GB2312" w:cs="仿宋_GB2312" w:eastAsia="仿宋_GB2312"/>
                <w:sz w:val="21"/>
              </w:rPr>
              <w:t>4条。</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开展线下展播活动</w:t>
            </w:r>
            <w:r>
              <w:rPr>
                <w:rFonts w:ascii="仿宋_GB2312" w:hAnsi="仿宋_GB2312" w:cs="仿宋_GB2312" w:eastAsia="仿宋_GB2312"/>
                <w:sz w:val="21"/>
              </w:rPr>
              <w:t>3场次。</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及时通过在全国具有较强影响力的省级或省级以上重点网络媒体矩阵平台，对雁塔区重点信息内容进行传播推广。</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拥有完整的策划、设计、制作、执行团队；为本项目提供的服务团队成员须均有2年及以上相关工作经验；至少安排1名专人负责本项目联系对接、统筹协调等各项事宜；能够及时响应甲方需求，并按要求推进工作，确保质效； 2、供应商组织参与本项目执行的相关工作人员须无犯罪记录，且不曾通过互联网发表过不当言论（提供承诺书）。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须拥有完整的策划、设计、制作、执行团队；为本项目提供的服务团队成员须均有2年及以上相关工作经验；至少安排1名专人负责本项目联系对接、统筹协调等各项事宜；能够及时响应甲方需求，并按要求推进工作，确保质效；2、供应商组织参与本项目执行的相关工作人员须无犯罪记录，且不曾通过互联网发表过不当言论（提供承诺书或证明材料）。</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满足采购需求，确保采购项目顺利实施。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满足采购需求，确保采购项目顺利实施。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具备履行合同所必需的专业技术能力的证明材料或承诺函。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具备履行合同所必需的专业技术能力的证明材料或承诺函。</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自合同签订之日起至2025年10月底完成。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自合同签订之日起至2025年10月底完成。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验收标准：满足采购人需求。验收方法：1、供应商中标后配合甲方进行验收工作； 2、本项目完结后一次性验收； 3、中标供应商须提供本项目结案报告。</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验收标准：满足采购人需求。验收方法：1、供应商中标后配合甲方进行验收工作； 2、本项目完结后一次性验收； 3、中标供应商须提供本项目结案报告。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项目执行完毕验收合格后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项目执行完毕验收合格后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1.甲、乙双方依照《中华人民共和国民法典》中的相关条款执行。如因乙方在履行职务过程中存在违法违规行为，甲方有权直接终止合同，依法向乙方进行索赔，并报请相关单位进行相应的行政处罚。 2.甲、乙双方履行本合同期间，如因不可抗力（国家法律、法规、政策及重大自然灾害、重大突发事件等原因），致使本合同无法履行时，双方均不承担违约责任。双方应在不可抗力事件影响消除后的合理时间内，应继续履行合同义务。如因不可抗力导致本合同无法继续履行或部分无法履行，双方应友好协商解决合同的变更或解除事宜，双方以实际执行或完成的工作据实结算。 3.除本合同所述的违法违规和不可抗力的情况之外，甲、乙双方不得单方终止合同。任何一方不按合同履行义务，权益受损方有权要求对方按约定履行本合同。 争议解决： 甲、乙双方在履行本合同过程中如发生争议，应首先通过友好协商解决；协商不成的，任何一方均有权向甲方所在地有管辖权的人民法院提起诉讼。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违约责任： 1.甲、乙双方依照《中华人民共和国民法典》中的相关条款执行。如因乙方在履行职务过程中存在违法违规行为，甲方有权直接终止合同，依法向乙方进行索赔，并报请相关单位进行相应的行政处罚。 2.甲、乙双方履行本合同期间，如因不可抗力（国家法律、法规、政策及重大自然灾害、重大突发事件等原因），致使本合同无法履行时，双方均不承担违约责任。双方应在不可抗力事件影响消除后的合理时间内，应继续履行合同义务。如因不可抗力导致本合同无法继续履行或部分无法履行，双方应友好协商解决合同的变更或解除事宜，双方以实际执行或完成的工作据实结算。 3.除本合同所述的违法违规和不可抗力的情况之外，甲、乙双方不得单方终止合同。任何一方不按合同履行义务，权益受损方有权要求对方按约定履行本合同。 争议解决： 甲、乙双方在履行本合同过程中如发生争议，应首先通过友好协商解决；协商不成的，任何一方均有权向甲方所在地有管辖权的人民法院提起诉讼。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1、付款前需提供合法有效且与付款金额等额的增值税普通发票。 2、供应商可同时参与本项目多个采购包的投标，但最多只允许中标1个采购包。 3、本项目采购包评审顺序为：采购包1、采购包2（各供应商根据自身情况选择上传电子响应文件参与各采购包投标活动）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 2、纳税证明：提供磋商截止日前半年内已缴纳的至少一个月的纳税证明或完税证明，依法免税的单位应提供相关证明材料。 3、社保证明：提供磋商截止日前一年内已缴存的至少一个月的社会保障资金缴存单据或社保机构开具的社会保险参保缴费情况证明，依法不需要缴纳社会保障资金的单位应提供相关证明材料。 4、三年无违法声明：参加政府采购活动前3年内，在经营活动中没有重大违法记录的书面声明。 5、履约能力声明：提供具有履行本项目所必需的设备和专业技术能力的书面声明。 6、身份证明：法定代表人授权书（附法定代表人、被授权人身份证复印件）及被授权人身份证（法定代表人直接参加磋商，须提供法定代表人身份证明及身份证原件）。 7、非联合体声明：本项目不接受联合体投标。</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审计报告(其中包括“四表一注"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担保函。审计报告须符合财会(2023)15号《财政部国务院国资委金融监管总局关于加强审计报告查验工作的通知》、《陕西省财政厅关于启用会计师事务所审计报告“二维码"赋码查验功能的通知》。</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提供承诺书或上传相应的证明文件。</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 2、纳税证明：提供磋商截止日前半年内已缴纳的至少一个月的纳税证明或完税证明，依法免税的单位应提供相关证明材料。 3、社保证明：提供磋商截止日前一年内已缴存的至少一个月的社会保障资金缴存单据或社保机构开具的社会保险参保缴费情况证明，依法不需要缴纳社会保障资金的单位应提供相关证明材料。 4、三年无违法声明：参加政府采购活动前3年内，在经营活动中没有重大违法记录的书面声明。 5、履约能力声明：提供具有履行本项目所必需的设备和专业技术能力的书面声明。 6、身份证明：法定代表人授权书（附法定代表人、被授权人身份证复印件）及被授权人身份证（法定代表人直接参加磋商，须提供法定代表人身份证明及身份证原件）。 7、非联合体声明：本项目不接受联合体投标。</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审计报告(其中包括“四表一注"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担保函。审计报告须符合财会(2023)15号《财政部国务院国资委金融监管总局关于加强审计报告查验工作的通知》、《陕西省财政厅关于启用会计师事务所审计报告“二维码"赋码查验功能的通知》。</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提供承诺书或上传相应的证明文件。</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提供磋商截止日前半年内已缴纳的至少一个月的纳税证明或完税证明，依法免税的单位应提供相关证明材料。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提供具有履行本项目所必需的设备和专业技术能力的书面声明。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法定代表人授权书（附法定代表人、被授权人身份证复印件）及被授权人身份证（法定代表人直接参加磋商，须提供法定代表人身份证明及身份证原件）。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供应商信用记录要求</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案件当事人名单、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提供磋商截止日前半年内已缴纳的至少一个月的纳税证明或完税证明，依法免税的单位应提供相关证明材料。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提供具有履行本项目所必需的设备和专业技术能力的书面声明。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法定代表人授权书（附法定代表人、被授权人身份证复印件）及被授权人身份证（法定代表人直接参加磋商，须提供法定代表人身份证明及身份证原件）。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中小型企业声明函</w:t>
            </w:r>
          </w:p>
        </w:tc>
        <w:tc>
          <w:tcPr>
            <w:tcW w:type="dxa" w:w="3322"/>
          </w:tcPr>
          <w:p>
            <w:pPr>
              <w:pStyle w:val="null3"/>
            </w:pPr>
            <w:r>
              <w:rPr>
                <w:rFonts w:ascii="仿宋_GB2312" w:hAnsi="仿宋_GB2312" w:cs="仿宋_GB2312" w:eastAsia="仿宋_GB2312"/>
              </w:rPr>
              <w:t>本采购包为专门面向小微企业采购包，但供应商需提供中小型企业声明函。（价格得分不执行价格评审优惠扶持政策）</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供应商信用记录要求</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案件当事人名单、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应符合磋商文件的格式要求。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文件格式</w:t>
            </w:r>
          </w:p>
        </w:tc>
        <w:tc>
          <w:tcPr>
            <w:tcW w:type="dxa" w:w="3322"/>
          </w:tcPr>
          <w:p>
            <w:pPr>
              <w:pStyle w:val="null3"/>
            </w:pPr>
            <w:r>
              <w:rPr>
                <w:rFonts w:ascii="仿宋_GB2312" w:hAnsi="仿宋_GB2312" w:cs="仿宋_GB2312" w:eastAsia="仿宋_GB2312"/>
              </w:rPr>
              <w:t>应符合磋商文件的格式要求，可以扩充。</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第一次磋商报价</w:t>
            </w:r>
          </w:p>
        </w:tc>
        <w:tc>
          <w:tcPr>
            <w:tcW w:type="dxa" w:w="3322"/>
          </w:tcPr>
          <w:p>
            <w:pPr>
              <w:pStyle w:val="null3"/>
            </w:pPr>
            <w:r>
              <w:rPr>
                <w:rFonts w:ascii="仿宋_GB2312" w:hAnsi="仿宋_GB2312" w:cs="仿宋_GB2312" w:eastAsia="仿宋_GB2312"/>
              </w:rPr>
              <w:t>第一次磋商报价不超过最高限价。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服务内容及服务邀请应答表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应符合磋商文件的格式要求。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文件格式</w:t>
            </w:r>
          </w:p>
        </w:tc>
        <w:tc>
          <w:tcPr>
            <w:tcW w:type="dxa" w:w="3322"/>
          </w:tcPr>
          <w:p>
            <w:pPr>
              <w:pStyle w:val="null3"/>
            </w:pPr>
            <w:r>
              <w:rPr>
                <w:rFonts w:ascii="仿宋_GB2312" w:hAnsi="仿宋_GB2312" w:cs="仿宋_GB2312" w:eastAsia="仿宋_GB2312"/>
              </w:rPr>
              <w:t>应符合磋商文件的格式要求，可以扩充。</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第一次磋商报价</w:t>
            </w:r>
          </w:p>
        </w:tc>
        <w:tc>
          <w:tcPr>
            <w:tcW w:type="dxa" w:w="3322"/>
          </w:tcPr>
          <w:p>
            <w:pPr>
              <w:pStyle w:val="null3"/>
            </w:pPr>
            <w:r>
              <w:rPr>
                <w:rFonts w:ascii="仿宋_GB2312" w:hAnsi="仿宋_GB2312" w:cs="仿宋_GB2312" w:eastAsia="仿宋_GB2312"/>
              </w:rPr>
              <w:t>第一次磋商报价不超过最高限价。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服务内容及服务邀请应答表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综合考虑供应商针对项目需求所提供的项目分析，内容包括但不限于项目背景、相关活动主题等。 1、项目分析针对性强、熟悉活动主题、对活动主旨理解深入、重难点分析全面得 7-10分； 2、项目分析针对性较强、对活动主题、主旨了解较深入、重难点分析较全面得 4-7分； 3、项目分析针对性较少、对活动主题、主旨了解较少、重难点分析欠缺得0-4分。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1.方案内容专门针对本项目编制，符合本项目实际情况及实施要求，方案详尽，内容充实，特色鲜明，合理性和可行性强，能够保障项目顺利实施的得25-30分； 2.方案内容专门针对本项目编制，符合本项目实际情况及实施要求，方案较为详细，具有一定的合理性和可行性的得20-25分； 3.方案内容专门针对本项目编制，基本符合本项目实际情况及实施要求，基本合理、可行的得15-20分； 4.方案内容专门针对本项目编制，基本符合本项目实际情况及实施要求，但合理性、可行性较差的得10-15分； 5.供应商提供了方案，但内容简单笼统，针对性及可行性均较差的得5-10分。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专题案例</w:t>
            </w:r>
          </w:p>
        </w:tc>
        <w:tc>
          <w:tcPr>
            <w:tcW w:type="dxa" w:w="2492"/>
          </w:tcPr>
          <w:p>
            <w:pPr>
              <w:pStyle w:val="null3"/>
            </w:pPr>
            <w:r>
              <w:rPr>
                <w:rFonts w:ascii="仿宋_GB2312" w:hAnsi="仿宋_GB2312" w:cs="仿宋_GB2312" w:eastAsia="仿宋_GB2312"/>
              </w:rPr>
              <w:t>供应商需提供过往在中央级媒体网站发布过的专题设计案例成品3个，根据专题的设计水平赋分（不限于内容、创意、整体表现力等），每份计0-5分，最高得15分。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供应商提供具备响应服务需求的相关许可证、备案手续或官方授权文件得5分。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根据供应商提供的对成果文件的准确性、服务时限内团队稳定性、人员基本情况，以及项目服务质量、进度控制、成果成效等相关内容做出的承诺进行赋分。 1.承诺全面、详实，服务质量配合承诺清晰明确，得3-5分； 2.承诺较为详实全面，服务质量配合承诺基本完善，得2-3分； 3.承诺不全面，服务质量配合承诺较为简略，得0-2分。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供应商提供完备健全可靠的突发事件应急处理方案，根据其方案的全面性，合理性，可操作性进行赋分。 1.措施全面、完备健全，具有针对性、可操作性，得3-5分； 2.措施较全面、可操作性较好，得2-3分； 3.措施操作性不强，得0-2分。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供应商提供的项目组织人员架构合理，岗位齐全，职责分工明确，具有专业的文字、摄影、视频、策划、设计制作能力，经验丰富能保障项目质量，有专人负责项目对接等。每提供一项得1分，最高得15分。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提供2022年4月至今类似项目业绩。 1、提供类似项目业绩2个得5分； 2、提供类似项目业绩1个得2分。 （提供的项目合同复印件须加盖单位公章）。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的最低投标总报价为评审基准价，其他投标人的价格分按照下列公式计算：投标报价得分=(评标基准价／投标总报价)×10。符合磋商文件规定的小微企业、监狱企业等优惠条件的供应商，价格给予10%的扣除，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综合考虑供应商针对项目需求所提供的项目分析，内容包括但不限于项目背景、相关活动主题等。 1、项目分析针对性强、熟悉活动主题、对活动主旨理解深入、重难点分析全面得 7-10分； 2、项目分析针对性较强、对活动主题、主旨理解较深入、重难点分析较全面得 4-7分； 3、项目分析针对性较少、对活动主题、主旨理解较少、重难点分析欠缺得0-4分。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活动组织实施方案</w:t>
            </w:r>
          </w:p>
        </w:tc>
        <w:tc>
          <w:tcPr>
            <w:tcW w:type="dxa" w:w="2492"/>
          </w:tcPr>
          <w:p>
            <w:pPr>
              <w:pStyle w:val="null3"/>
            </w:pPr>
            <w:r>
              <w:rPr>
                <w:rFonts w:ascii="仿宋_GB2312" w:hAnsi="仿宋_GB2312" w:cs="仿宋_GB2312" w:eastAsia="仿宋_GB2312"/>
              </w:rPr>
              <w:t>1.线下展播活动策划详细，地点和对象选择思路清晰，各环节组织计划周密，时间节点明确，有具体的人员安排及组织措施，能较好的实现采购需求，可行性强。根据详细程度得10-15分； 2.活动地点和对象选择思路相对清晰，有相应的组织计划、时间节点和人员安排，基本能实现采购需求，具有一定可行性，根据完整程度、详细程度可行性得5-10分。 3.活动思路不够清晰，方案内容空洞得0-5分。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活动推广方案</w:t>
            </w:r>
          </w:p>
        </w:tc>
        <w:tc>
          <w:tcPr>
            <w:tcW w:type="dxa" w:w="2492"/>
          </w:tcPr>
          <w:p>
            <w:pPr>
              <w:pStyle w:val="null3"/>
            </w:pPr>
            <w:r>
              <w:rPr>
                <w:rFonts w:ascii="仿宋_GB2312" w:hAnsi="仿宋_GB2312" w:cs="仿宋_GB2312" w:eastAsia="仿宋_GB2312"/>
              </w:rPr>
              <w:t>综合考虑供应商提供的活动推广方案，对采购需求的响应程度、明确主题、渠道、节点等。 1.方案详细、全面，有针对性，特点突出，能完全满足采购需求得10-15分； 2.方案较详细、较全面，较有针对性，较能满足采购需求得5-10分； 3.有方案，但大部分没有针对性，不能满足采购需求得0-5分。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专题案例</w:t>
            </w:r>
          </w:p>
        </w:tc>
        <w:tc>
          <w:tcPr>
            <w:tcW w:type="dxa" w:w="2492"/>
          </w:tcPr>
          <w:p>
            <w:pPr>
              <w:pStyle w:val="null3"/>
            </w:pPr>
            <w:r>
              <w:rPr>
                <w:rFonts w:ascii="仿宋_GB2312" w:hAnsi="仿宋_GB2312" w:cs="仿宋_GB2312" w:eastAsia="仿宋_GB2312"/>
              </w:rPr>
              <w:t>供应商需提供过往在省级媒体网站发布过的专题成品案例，根据专题的设计水平（不限于内容、色彩、整体表现力等）得0-5分。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短视频拍摄方案</w:t>
            </w:r>
          </w:p>
        </w:tc>
        <w:tc>
          <w:tcPr>
            <w:tcW w:type="dxa" w:w="2492"/>
          </w:tcPr>
          <w:p>
            <w:pPr>
              <w:pStyle w:val="null3"/>
            </w:pPr>
            <w:r>
              <w:rPr>
                <w:rFonts w:ascii="仿宋_GB2312" w:hAnsi="仿宋_GB2312" w:cs="仿宋_GB2312" w:eastAsia="仿宋_GB2312"/>
              </w:rPr>
              <w:t>1.短视频选题思路清晰，创意新颖，拍摄链条完整，技术成熟，措施具体，可行性强。根据详细程度得7-10分； 2.短视频选题思路相对清晰，拍摄方案基本完整，有相应的技术措施，具有一定的可行性。根据详细程度得4-7分； 3.方案内容空洞，针对性差，得0-4分。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根据供应商向采购人提供的各项后续服务方案进行赋分。 1.后续服务方案内容详实全面、科学合理、有针对性，可确保工作优质、高效、如期完成，得3-5分； 2.后续服务方案内容较详实、合理、有针对性，基本可确保工作较好、如期完成，得2-3分； 3.后续服务方案内容一般，针对性不强，基本可确保工作如期完成，得0-2分。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供应商提供具备响应服务需求的相关许可证、备案手续或官方授权文件得5分。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根据供应商提供的对成果文件的准确性、服务时限内团队稳定性、人员基本情况，以及项目服务质量、进度控制、成果成效等相关内容做出的承诺进行赋分。 1.承诺全面、详实，服务质量配合承诺清晰明确，得3-5分； 2.承诺较为详实全面，服务质量配合承诺基本完善，得2-3分； 3.承诺不全面，服务质量配合承诺较为简略，得0-2分。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供应商提供完备健全可靠的突发事件应急处理方案，根据其方案的全面性，合理性，可操作性进行赋分。 1.措施全面、完备健全，具有针对性、可操作性，得3-5分； 2.措施较全面、可操作性较好，得2-3分； 3.措施操作性不强，得0-2分。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供应商提供的项目组织人员架构合理，岗位齐全，职责分工明确，具有专业的文字、摄影、视频、策划、设计制作能力，经验丰富能保障项目质量。每提供一项得1分，最高得10分。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提供2022年4月至今类似项目业绩。 1、提供类似项目业绩2个得5分； 2、提供类似项目业绩1个得2分。 （提供的项目合同复印件须加盖单位公章）。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的最低投标总报价为评审基准价，其他投标人的价格分按照下列公式计算：投标报价得分=(评标基准价／投标总报价)×10。本采购包为专门面向小微企业采购的采购项目，因此，不再执行价格评审优惠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详见附件：（最终）合同模版.docx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