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版本号：SCZA2026-CS-0077-001.1B120260206001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西安市长安区秦岭生态环境保护区太乙宫街道湿地修复与土地综合整治项目(二次)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SCZA2026-CS-0077-001.1B1</w:t>
      </w:r>
      <w:r>
        <w:br/>
      </w:r>
      <w:r>
        <w:br/>
      </w:r>
      <w:r>
        <w:br/>
      </w:r>
    </w:p>
    <w:p>
      <w:pPr>
        <w:pStyle w:val="null3"/>
        <w:jc w:val="center"/>
        <w:outlineLvl w:val="2"/>
      </w:pPr>
      <w:r>
        <w:rPr>
          <w:rFonts w:ascii="仿宋_GB2312" w:hAnsi="仿宋_GB2312" w:cs="仿宋_GB2312" w:eastAsia="仿宋_GB2312"/>
          <w:sz w:val="28"/>
          <w:b/>
        </w:rPr>
        <w:t>西安市长安区秦岭生态环境保护和综合执法局</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2026年02月07日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西安市长安区秦岭生态环境保护和综合执法局</w:t>
      </w:r>
      <w:r>
        <w:rPr>
          <w:rFonts w:ascii="仿宋_GB2312" w:hAnsi="仿宋_GB2312" w:cs="仿宋_GB2312" w:eastAsia="仿宋_GB2312"/>
        </w:rPr>
        <w:t>委托，拟对</w:t>
      </w:r>
      <w:r>
        <w:rPr>
          <w:rFonts w:ascii="仿宋_GB2312" w:hAnsi="仿宋_GB2312" w:cs="仿宋_GB2312" w:eastAsia="仿宋_GB2312"/>
        </w:rPr>
        <w:t>西安市长安区秦岭生态环境保护区太乙宫街道湿地修复与土地综合整治项目(二次)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SCZA2026-CS-0077-001.1B1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西安市长安区秦岭生态环境保护区太乙宫街道湿地修复与土地综合整治项目(二次)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项目完成生态保护修复总面积9.96公顷，其中土地整治面积 6.72 公顷，湿地修复 3.24 公顷。土地综合整治面积6.72公顷，主要包括土地平整、地块翻耕、土壤旋耕、土壤改良、田坎修筑、场地清理、渠道清淤、田间防护林等。 湿地修复3.24 公顷，主要包括岸堤修复、溢水井修缮、排水渠修缮、现状道路修复、场地清理、植物群落营造、杂草、杂灌木外运消纳，具体详见磋商文件。</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采购包1（湿地修复与土地综合整治）：属于专门面向中小企业采购。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1、供应商资质证书等级要求：供应商应具备水利水电工程施工总承包三级及以上资质且具有有效的《安全生产许可证》，并在人员、设备、资金等方面具备相应的能力。</w:t>
      </w:r>
    </w:p>
    <w:p>
      <w:pPr>
        <w:pStyle w:val="null3"/>
      </w:pPr>
      <w:r>
        <w:rPr>
          <w:rFonts w:ascii="仿宋_GB2312" w:hAnsi="仿宋_GB2312" w:cs="仿宋_GB2312" w:eastAsia="仿宋_GB2312"/>
        </w:rPr>
        <w:t>2、拟派项目负责人资质及专业要求：拟派项目负责人具备水利专业注册建造师二级及以上执业资格，在本单位注册，并具有合格有效的安全生产考核合格证B证(水安B证)，未担任其它在建工程的项目负责人</w:t>
      </w:r>
    </w:p>
    <w:p>
      <w:pPr>
        <w:pStyle w:val="null3"/>
      </w:pPr>
      <w:r>
        <w:rPr>
          <w:rFonts w:ascii="仿宋_GB2312" w:hAnsi="仿宋_GB2312" w:cs="仿宋_GB2312" w:eastAsia="仿宋_GB2312"/>
        </w:rPr>
        <w:t>3、信用记录：供应商未被“信用中国”网站（www.creditchina.gov.cn）列入失信被执行人和重大税收违法失信主体，未被中国政府采购网（www.ccgp.gov.cn）列入政府采购严重违法失信行为记录名单</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西安市长安区秦岭生态环境保护和综合执法局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陕西省西安市长安区西沣路东侧滦镇东街口</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赵浩然</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18092369089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西安市高新区锦业路1号都市之门C座9层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710076</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赵锦天、白国锋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陕西省西安市长安区政府采购管理股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政府采购中心</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029-85645891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采购包1：2,633,404.48元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发改委关于降低部分建设项目收费标准规范收费行为等有关问题的通知》（发改价格【2011】534号）和国家计委关于《招标代理服务收费管理暂行办法》（计价格[2002]1980号）的有关规定下浮20%，以项目实际中标金额为基数计算招标代理服务费。 中标单位的招标代理服务费交纳信息 银行户名：陕西省采购招标有限责任公司 开户银行：中国光大银行西安友谊路支行 账 号：78560188000095264 联 系 人：财务部 联系电话：029-85263975</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西安市长安区秦岭生态环境保护和综合执法局</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西安市长安区秦岭生态环境保护和综合执法局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采购包1：项目包干价</w:t>
      </w:r>
    </w:p>
    <w:p>
      <w:pPr>
        <w:pStyle w:val="null3"/>
      </w:pPr>
      <w:r>
        <w:rPr>
          <w:rFonts w:ascii="仿宋_GB2312" w:hAnsi="仿宋_GB2312" w:cs="仿宋_GB2312" w:eastAsia="仿宋_GB2312"/>
        </w:rPr>
        <w:t>项目包干价。适用于设计施工图纸详尽完善（即工程量固定），投资规模较小、施工工期较短且施工内容相对简单的工程项目。</w:t>
      </w:r>
    </w:p>
    <w:p>
      <w:pPr>
        <w:pStyle w:val="null3"/>
      </w:pPr>
      <w:r>
        <w:rPr>
          <w:rFonts w:ascii="仿宋_GB2312" w:hAnsi="仿宋_GB2312" w:cs="仿宋_GB2312" w:eastAsia="仿宋_GB2312"/>
        </w:rPr>
        <w:t>参加采购活动的供应商应当全部响应采购人提供的工程量清单，供应商直接给出其完成本项目全部工作内容所需的总价，不再提供已标价工程量清单。</w:t>
      </w:r>
    </w:p>
    <w:p>
      <w:pPr>
        <w:pStyle w:val="null3"/>
      </w:pPr>
      <w:r>
        <w:rPr>
          <w:rFonts w:ascii="仿宋_GB2312" w:hAnsi="仿宋_GB2312" w:cs="仿宋_GB2312" w:eastAsia="仿宋_GB2312"/>
        </w:rPr>
        <w:t>说明：采购人选择采用此种报价方式的，应当科学测算项目工程量，避免工程量调整造成履约纠纷。</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按照磋商文件要求。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联系人：综合办公室马超</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地址：陕西省西安市高新区锦业路1号都市之门C座9层</w:t>
      </w:r>
    </w:p>
    <w:p>
      <w:pPr>
        <w:pStyle w:val="null3"/>
      </w:pPr>
      <w:r>
        <w:rPr>
          <w:rFonts w:ascii="仿宋_GB2312" w:hAnsi="仿宋_GB2312" w:cs="仿宋_GB2312" w:eastAsia="仿宋_GB2312"/>
        </w:rPr>
        <w:t>邮编：710076</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2,633,404.48</w:t>
      </w:r>
    </w:p>
    <w:p>
      <w:pPr>
        <w:pStyle w:val="null3"/>
      </w:pPr>
      <w:r>
        <w:rPr>
          <w:rFonts w:ascii="仿宋_GB2312" w:hAnsi="仿宋_GB2312" w:cs="仿宋_GB2312" w:eastAsia="仿宋_GB2312"/>
        </w:rPr>
        <w:t>采购包最高限价（元）: 2,633,404.48</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西安市长安区秦岭生态环境保护区太乙宫街道湿地修复与土地综合整治</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2,633,404.48</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标的名称：西安市长安区秦岭生态环境保护区太乙宫街道湿地修复与土地综合整治</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4"/>
                <w:color w:val="000000"/>
              </w:rPr>
              <w:t>一、建设内容：</w:t>
            </w:r>
          </w:p>
          <w:p>
            <w:pPr>
              <w:pStyle w:val="null3"/>
              <w:ind w:firstLine="480"/>
            </w:pPr>
            <w:r>
              <w:rPr>
                <w:rFonts w:ascii="仿宋_GB2312" w:hAnsi="仿宋_GB2312" w:cs="仿宋_GB2312" w:eastAsia="仿宋_GB2312"/>
                <w:sz w:val="24"/>
                <w:color w:val="000000"/>
              </w:rPr>
              <w:t>项目完成生态保护修复总面积</w:t>
            </w:r>
            <w:r>
              <w:rPr>
                <w:rFonts w:ascii="仿宋_GB2312" w:hAnsi="仿宋_GB2312" w:cs="仿宋_GB2312" w:eastAsia="仿宋_GB2312"/>
                <w:sz w:val="24"/>
                <w:color w:val="000000"/>
              </w:rPr>
              <w:t>9.96公顷，其中土地整治面积 6.72 公顷，湿地修复 3.24 公顷。土地综合整治面积6.72公顷。主要包括土地平整、地块翻耕、土壤旋耕、土壤改良、田坎修筑、场地清理、渠道清淤、田间防护林等。湿地修复3.24 公顷。主要包括岸堤修复、溢水井修缮、排水渠修缮、现状道路修复、场地清理、植物群落营造、杂草、杂灌木外运消纳。</w:t>
            </w:r>
          </w:p>
          <w:p>
            <w:pPr>
              <w:pStyle w:val="null3"/>
              <w:ind w:firstLine="480"/>
            </w:pPr>
            <w:r>
              <w:rPr>
                <w:rFonts w:ascii="仿宋_GB2312" w:hAnsi="仿宋_GB2312" w:cs="仿宋_GB2312" w:eastAsia="仿宋_GB2312"/>
                <w:sz w:val="24"/>
                <w:color w:val="000000"/>
              </w:rPr>
              <w:t>二、</w:t>
            </w:r>
            <w:r>
              <w:rPr>
                <w:rFonts w:ascii="仿宋_GB2312" w:hAnsi="仿宋_GB2312" w:cs="仿宋_GB2312" w:eastAsia="仿宋_GB2312"/>
                <w:sz w:val="24"/>
                <w:color w:val="000000"/>
              </w:rPr>
              <w:t>建设地点：西安市长安区太乙宫街道办，四皓村、沙场村</w:t>
            </w:r>
          </w:p>
          <w:p>
            <w:pPr>
              <w:pStyle w:val="null3"/>
              <w:ind w:firstLine="480"/>
            </w:pPr>
            <w:r>
              <w:rPr>
                <w:rFonts w:ascii="仿宋_GB2312" w:hAnsi="仿宋_GB2312" w:cs="仿宋_GB2312" w:eastAsia="仿宋_GB2312"/>
                <w:sz w:val="24"/>
                <w:color w:val="000000"/>
              </w:rPr>
              <w:t>三、</w:t>
            </w:r>
            <w:r>
              <w:rPr>
                <w:rFonts w:ascii="仿宋_GB2312" w:hAnsi="仿宋_GB2312" w:cs="仿宋_GB2312" w:eastAsia="仿宋_GB2312"/>
                <w:sz w:val="24"/>
                <w:color w:val="181818"/>
              </w:rPr>
              <w:t>支付形式：详见合同条款</w:t>
            </w:r>
          </w:p>
          <w:p>
            <w:pPr>
              <w:pStyle w:val="null3"/>
              <w:ind w:firstLine="480"/>
            </w:pPr>
            <w:r>
              <w:rPr>
                <w:rFonts w:ascii="仿宋_GB2312" w:hAnsi="仿宋_GB2312" w:cs="仿宋_GB2312" w:eastAsia="仿宋_GB2312"/>
                <w:sz w:val="24"/>
                <w:color w:val="181818"/>
              </w:rPr>
              <w:t>四、</w:t>
            </w:r>
            <w:r>
              <w:rPr>
                <w:rFonts w:ascii="仿宋_GB2312" w:hAnsi="仿宋_GB2312" w:cs="仿宋_GB2312" w:eastAsia="仿宋_GB2312"/>
                <w:sz w:val="24"/>
                <w:color w:val="181818"/>
              </w:rPr>
              <w:t>工期：9个月（备注:</w:t>
            </w:r>
            <w:r>
              <w:rPr>
                <w:rFonts w:ascii="仿宋_GB2312" w:hAnsi="仿宋_GB2312" w:cs="仿宋_GB2312" w:eastAsia="仿宋_GB2312"/>
                <w:sz w:val="24"/>
                <w:color w:val="181818"/>
              </w:rPr>
              <w:t>270日历天）。</w:t>
            </w:r>
          </w:p>
          <w:p>
            <w:pPr>
              <w:pStyle w:val="null3"/>
              <w:ind w:firstLine="480"/>
            </w:pPr>
            <w:r>
              <w:rPr>
                <w:rFonts w:ascii="仿宋_GB2312" w:hAnsi="仿宋_GB2312" w:cs="仿宋_GB2312" w:eastAsia="仿宋_GB2312"/>
                <w:sz w:val="24"/>
                <w:color w:val="181818"/>
              </w:rPr>
              <w:t>五、</w:t>
            </w:r>
            <w:r>
              <w:rPr>
                <w:rFonts w:ascii="仿宋_GB2312" w:hAnsi="仿宋_GB2312" w:cs="仿宋_GB2312" w:eastAsia="仿宋_GB2312"/>
                <w:sz w:val="24"/>
                <w:color w:val="181818"/>
              </w:rPr>
              <w:t>管护期：</w:t>
            </w:r>
            <w:r>
              <w:rPr>
                <w:rFonts w:ascii="仿宋_GB2312" w:hAnsi="仿宋_GB2312" w:cs="仿宋_GB2312" w:eastAsia="仿宋_GB2312"/>
                <w:sz w:val="24"/>
                <w:color w:val="181818"/>
              </w:rPr>
              <w:t>3年</w:t>
            </w:r>
          </w:p>
          <w:p>
            <w:pPr>
              <w:pStyle w:val="null3"/>
            </w:pPr>
            <w:r>
              <w:rPr>
                <w:rFonts w:ascii="仿宋_GB2312" w:hAnsi="仿宋_GB2312" w:cs="仿宋_GB2312" w:eastAsia="仿宋_GB2312"/>
                <w:sz w:val="24"/>
                <w:color w:val="000000"/>
              </w:rPr>
              <w:t xml:space="preserve">  </w:t>
            </w:r>
            <w:r>
              <w:rPr>
                <w:rFonts w:ascii="仿宋_GB2312" w:hAnsi="仿宋_GB2312" w:cs="仿宋_GB2312" w:eastAsia="仿宋_GB2312"/>
                <w:sz w:val="24"/>
                <w:color w:val="181818"/>
              </w:rPr>
              <w:t xml:space="preserve">  六、工程量清单、图纸详见附件</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必须达到国家及行业现行技术规范标准，符合国家及行业相关验收合格标准。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在施工期间，中标供应商必须遵守学院各项规章制度，加强安全措施，并对施工人员进行安全教育。项目经理保证在岗天数达到施工日期的80%以上，施工人员必须持证上岗。为确保施工安全，在施工过程中对施工区域要进行必要的围挡。及时清理施工中产生的建筑垃圾，保证校园环境卫生。</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1.供应商应按照合同要求进行施工，确保工程按合同规定的时间如期完工和交付;并接受采购人的检查、检验，对不合格的部分按采购人的要求返工修改，承担由自身原因导致的返工修改费用，工期不予顺延。 2.供应商不能按合同规定的工期竣工的，应向采购人支付违约金，每逾期一日，支付合同总价款万分之一的违约金，造成采购人损失的，还应赔偿采购人损失。 3.未按合同要求提供服务或服务不能满足合同要求，采购人有权依据《民法典》有关条款及合同约定终止合同，并要求供应商承担违约责任。同时，政府采购监管部门有权依据《政府采购法》及相关法律法规对供应商的违法行为进行相应的处罚。 2.本项目招标文件中第二章2.4.7响应报价中说明的“不再提供已标价工程量清单”修改为“提供已标价工程量清单”，并以此条款为准。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1、主体证明文件：（1）供应商是企业（包括合伙企业）的，应提供其在市场监督管理部门注册的有效“营业执照 ”的复印件；（2）供应商是事业单位的，应提供其有效的“事业单位法人证书”复印件；（3）供应商是非企业专业服务机构的，应提供其有效的“执业许可证”复印件；（4）供应商是民办非企业单位的，应提供其有效的登记证书复印件；（5）供应商是个体工商户的，应提供其有效的“营业执照”复印件；（6）供应商是自然人的，应提供其有效的自然人身份证明复印件。2、提供可满足履行合同所需设备和专业技术能力的证明材料或承诺 3、提供响应文件递交截止时间前近六个月中至少一个月的纳税证明或完税证明，依法免税的单位应提供相关证明材料；时间以税款所属时期为准 4、提供响应文件递交截止时间前近六个月中至少一个月的社会保障资金缴存单据或社保机构开具的社会保险参保缴费情况证明，依法不需要缴纳社会保障资金的单位应提供相关证明材料。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响应文件截止之日前两年内任意一个年度经审计的财务报告，应满足以下要求：①供应商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供应商适用《事业单位会计准则》的，财务报告是指上述指定年度整个会计年度财务报表（不要求必须是经审计的），复印件至少须包括资产负债表、收入支出表（或收入费用表）、财政补助收入支出表。③供应商适用《政府会计准则》的，财务报告是指上述指定年度整个会计年度财务报表（不要求必须是经审计的），复印件至少须包括资产负债表、收入费用表。④供应商适用《民间非营利组织会计制度》的，财务报告是指上述指定年度整个会计年度财务报表（不要求必须是经审计的），复印件至少须包括资产负债表、业务活动表、现金流量表。 ⑤供应商是上述四种情况以外情况的，按照其依法适用的会计制度、财务规则或会计准则提供财务报表复印件（不要求必须是经审计的）。 （2）提供资信证明原件扫描件或复印件，应满足以下要求：①资信证明须为递交响应文件截止时间前三个月内由供应商开户银行出具。②无论开具银行是否标明“复印无效”，供应商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其他资格证明文件.docx 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供应商资质证书等级要求</w:t>
            </w:r>
          </w:p>
        </w:tc>
        <w:tc>
          <w:tcPr>
            <w:tcW w:type="dxa" w:w="3322"/>
          </w:tcPr>
          <w:p>
            <w:pPr>
              <w:pStyle w:val="null3"/>
            </w:pPr>
            <w:r>
              <w:rPr>
                <w:rFonts w:ascii="仿宋_GB2312" w:hAnsi="仿宋_GB2312" w:cs="仿宋_GB2312" w:eastAsia="仿宋_GB2312"/>
              </w:rPr>
              <w:t>供应商应具备水利水电工程施工总承包三级及以上资质且具有有效的《安全生产许可证》，并在人员、设备、资金等方面具备相应的能力。</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拟派项目负责人资质及专业要求</w:t>
            </w:r>
          </w:p>
        </w:tc>
        <w:tc>
          <w:tcPr>
            <w:tcW w:type="dxa" w:w="3322"/>
          </w:tcPr>
          <w:p>
            <w:pPr>
              <w:pStyle w:val="null3"/>
            </w:pPr>
            <w:r>
              <w:rPr>
                <w:rFonts w:ascii="仿宋_GB2312" w:hAnsi="仿宋_GB2312" w:cs="仿宋_GB2312" w:eastAsia="仿宋_GB2312"/>
              </w:rPr>
              <w:t>拟派项目负责人具备水利专业注册建造师二级及以上执业资格，在本单位注册，并具有合格有效的安全生产考核合格证B证(水安B证)，未担任其它在建工程的项目负责人</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供应商未被“信用中国”网站（www.creditchina.gov.cn）列入失信被执行人和重大税收违法失信主体，未被中国政府采购网（www.ccgp.gov.cn）列入政府采购严重违法失信行为记录名单</w:t>
            </w:r>
          </w:p>
        </w:tc>
        <w:tc>
          <w:tcPr>
            <w:tcW w:type="dxa" w:w="1661"/>
          </w:tcPr>
          <w:p>
            <w:pPr>
              <w:pStyle w:val="null3"/>
            </w:pPr>
            <w:r>
              <w:rPr>
                <w:rFonts w:ascii="仿宋_GB2312" w:hAnsi="仿宋_GB2312" w:cs="仿宋_GB2312" w:eastAsia="仿宋_GB2312"/>
              </w:rPr>
              <w:t>其他资格证明文件.docx 供应商应提交的相关资格证明材料 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响应文件封面 报价函 标的清单</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响应文件格式、语言、计量单位、报价货币</w:t>
            </w:r>
          </w:p>
        </w:tc>
        <w:tc>
          <w:tcPr>
            <w:tcW w:type="dxa" w:w="3322"/>
          </w:tcPr>
          <w:p>
            <w:pPr>
              <w:pStyle w:val="null3"/>
            </w:pPr>
            <w:r>
              <w:rPr>
                <w:rFonts w:ascii="仿宋_GB2312" w:hAnsi="仿宋_GB2312" w:cs="仿宋_GB2312" w:eastAsia="仿宋_GB2312"/>
              </w:rPr>
              <w:t>符合“响应文件格式”和磋商文件要求</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报价唯一</w:t>
            </w:r>
          </w:p>
        </w:tc>
        <w:tc>
          <w:tcPr>
            <w:tcW w:type="dxa" w:w="3322"/>
          </w:tcPr>
          <w:p>
            <w:pPr>
              <w:pStyle w:val="null3"/>
            </w:pPr>
            <w:r>
              <w:rPr>
                <w:rFonts w:ascii="仿宋_GB2312" w:hAnsi="仿宋_GB2312" w:cs="仿宋_GB2312" w:eastAsia="仿宋_GB2312"/>
              </w:rPr>
              <w:t>只能有一个有效报价，不得提交选择性报价，且报价不超过预算金额或最高限价</w:t>
            </w:r>
          </w:p>
        </w:tc>
        <w:tc>
          <w:tcPr>
            <w:tcW w:type="dxa" w:w="1661"/>
          </w:tcPr>
          <w:p>
            <w:pPr>
              <w:pStyle w:val="null3"/>
            </w:pPr>
            <w:r>
              <w:rPr>
                <w:rFonts w:ascii="仿宋_GB2312" w:hAnsi="仿宋_GB2312" w:cs="仿宋_GB2312" w:eastAsia="仿宋_GB2312"/>
              </w:rPr>
              <w:t>响应文件封面 报价函 已标价工程量清单报价表.docx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响应文件内容</w:t>
            </w:r>
          </w:p>
        </w:tc>
        <w:tc>
          <w:tcPr>
            <w:tcW w:type="dxa" w:w="3322"/>
          </w:tcPr>
          <w:p>
            <w:pPr>
              <w:pStyle w:val="null3"/>
            </w:pPr>
            <w:r>
              <w:rPr>
                <w:rFonts w:ascii="仿宋_GB2312" w:hAnsi="仿宋_GB2312" w:cs="仿宋_GB2312" w:eastAsia="仿宋_GB2312"/>
              </w:rPr>
              <w:t>响应文件内容齐全、无遗漏</w:t>
            </w:r>
          </w:p>
        </w:tc>
        <w:tc>
          <w:tcPr>
            <w:tcW w:type="dxa" w:w="1661"/>
          </w:tcPr>
          <w:p>
            <w:pPr>
              <w:pStyle w:val="null3"/>
            </w:pPr>
            <w:r>
              <w:rPr>
                <w:rFonts w:ascii="仿宋_GB2312" w:hAnsi="仿宋_GB2312" w:cs="仿宋_GB2312" w:eastAsia="仿宋_GB2312"/>
              </w:rPr>
              <w:t>响应文件封面 技术服务合同条款及其他商务要求应答表 标的清单</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对磋商文件响应程度</w:t>
            </w:r>
          </w:p>
        </w:tc>
        <w:tc>
          <w:tcPr>
            <w:tcW w:type="dxa" w:w="3322"/>
          </w:tcPr>
          <w:p>
            <w:pPr>
              <w:pStyle w:val="null3"/>
            </w:pPr>
            <w:r>
              <w:rPr>
                <w:rFonts w:ascii="仿宋_GB2312" w:hAnsi="仿宋_GB2312" w:cs="仿宋_GB2312" w:eastAsia="仿宋_GB2312"/>
              </w:rPr>
              <w:t>不能有任何采购人不能接受的附加条件</w:t>
            </w:r>
          </w:p>
        </w:tc>
        <w:tc>
          <w:tcPr>
            <w:tcW w:type="dxa" w:w="1661"/>
          </w:tcPr>
          <w:p>
            <w:pPr>
              <w:pStyle w:val="null3"/>
            </w:pPr>
            <w:r>
              <w:rPr>
                <w:rFonts w:ascii="仿宋_GB2312" w:hAnsi="仿宋_GB2312" w:cs="仿宋_GB2312" w:eastAsia="仿宋_GB2312"/>
              </w:rPr>
              <w:t>响应文件封面 报价函</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工期.管护期</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技术服务合同条款及其他商务要求应答表 标的清单</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质量标准</w:t>
            </w:r>
          </w:p>
        </w:tc>
        <w:tc>
          <w:tcPr>
            <w:tcW w:type="dxa" w:w="3322"/>
          </w:tcPr>
          <w:p>
            <w:pPr>
              <w:pStyle w:val="null3"/>
            </w:pPr>
            <w:r>
              <w:rPr>
                <w:rFonts w:ascii="仿宋_GB2312" w:hAnsi="仿宋_GB2312" w:cs="仿宋_GB2312" w:eastAsia="仿宋_GB2312"/>
              </w:rPr>
              <w:t>符合磋商文件要求</w:t>
            </w:r>
          </w:p>
        </w:tc>
        <w:tc>
          <w:tcPr>
            <w:tcW w:type="dxa" w:w="1661"/>
          </w:tcPr>
          <w:p>
            <w:pPr>
              <w:pStyle w:val="null3"/>
            </w:pPr>
            <w:r>
              <w:rPr>
                <w:rFonts w:ascii="仿宋_GB2312" w:hAnsi="仿宋_GB2312" w:cs="仿宋_GB2312" w:eastAsia="仿宋_GB2312"/>
              </w:rPr>
              <w:t>响应文件封面 报价函 技术服务合同条款及其他商务要求应答表 响应函</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磋商有效期</w:t>
            </w:r>
          </w:p>
        </w:tc>
        <w:tc>
          <w:tcPr>
            <w:tcW w:type="dxa" w:w="3322"/>
          </w:tcPr>
          <w:p>
            <w:pPr>
              <w:pStyle w:val="null3"/>
            </w:pPr>
            <w:r>
              <w:rPr>
                <w:rFonts w:ascii="仿宋_GB2312" w:hAnsi="仿宋_GB2312" w:cs="仿宋_GB2312" w:eastAsia="仿宋_GB2312"/>
              </w:rPr>
              <w:t>符合磋商文件的要求</w:t>
            </w:r>
          </w:p>
        </w:tc>
        <w:tc>
          <w:tcPr>
            <w:tcW w:type="dxa" w:w="1661"/>
          </w:tcPr>
          <w:p>
            <w:pPr>
              <w:pStyle w:val="null3"/>
            </w:pPr>
            <w:r>
              <w:rPr>
                <w:rFonts w:ascii="仿宋_GB2312" w:hAnsi="仿宋_GB2312" w:cs="仿宋_GB2312" w:eastAsia="仿宋_GB2312"/>
              </w:rPr>
              <w:t>响应文件封面 报价函 响应函</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由磋商小组采用综合评分法对提交最后报价的供应商的响应文件和最后报价进行综合评分，具体要求详见本章评审办法及标准部分。</w:t>
      </w:r>
    </w:p>
    <w:p>
      <w:pPr>
        <w:pStyle w:val="null3"/>
        <w:outlineLvl w:val="3"/>
      </w:pPr>
      <w:r>
        <w:rPr>
          <w:rFonts w:ascii="仿宋_GB2312" w:hAnsi="仿宋_GB2312" w:cs="仿宋_GB2312" w:eastAsia="仿宋_GB2312"/>
          <w:sz w:val="24"/>
          <w:b/>
        </w:rPr>
        <w:t xml:space="preserve"> 6.3.7推荐成交候选供应商</w:t>
      </w:r>
    </w:p>
    <w:p>
      <w:pPr>
        <w:pStyle w:val="null3"/>
        <w:ind w:firstLine="480"/>
      </w:pPr>
      <w:r>
        <w:rPr>
          <w:rFonts w:ascii="仿宋_GB2312" w:hAnsi="仿宋_GB2312" w:cs="仿宋_GB2312" w:eastAsia="仿宋_GB2312"/>
        </w:rPr>
        <w:t>磋商小组应当根据综合评分情况，按照评审得分由高到低顺序推荐如下家数的成交候选供应商，并编写磋商报告。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6.3.8磋商小组复核</w:t>
      </w:r>
    </w:p>
    <w:p>
      <w:pPr>
        <w:pStyle w:val="null3"/>
        <w:ind w:firstLine="480"/>
      </w:pPr>
      <w:r>
        <w:rPr>
          <w:rFonts w:ascii="仿宋_GB2312" w:hAnsi="仿宋_GB2312" w:cs="仿宋_GB2312" w:eastAsia="仿宋_GB2312"/>
        </w:rPr>
        <w:t xml:space="preserve"> 磋商小组评分汇总结束后，磋商小组应当进行评审复核，对拟推荐为成交候选供应商的、报价最低的、供应商响应文件作无效处理的重点复核。</w:t>
      </w:r>
    </w:p>
    <w:p>
      <w:pPr>
        <w:pStyle w:val="null3"/>
        <w:outlineLvl w:val="3"/>
      </w:pPr>
      <w:r>
        <w:rPr>
          <w:rFonts w:ascii="仿宋_GB2312" w:hAnsi="仿宋_GB2312" w:cs="仿宋_GB2312" w:eastAsia="仿宋_GB2312"/>
          <w:sz w:val="24"/>
          <w:b/>
        </w:rPr>
        <w:t>6.3.9代理机构现场复核评审结果</w:t>
      </w:r>
    </w:p>
    <w:p>
      <w:pPr>
        <w:pStyle w:val="null3"/>
        <w:ind w:firstLine="480"/>
      </w:pPr>
      <w:r>
        <w:rPr>
          <w:rFonts w:ascii="仿宋_GB2312" w:hAnsi="仿宋_GB2312" w:cs="仿宋_GB2312" w:eastAsia="仿宋_GB2312"/>
        </w:rPr>
        <w:t xml:space="preserve"> 一、评审结果汇总完成后，磋商小组拟出具磋商磋商报告前，代理机构应当组织2名以上的本单位工作人员，在采购现场监督人员的监督之下，依据有关的法律制度和磋商文件对评审结果进行复核，出具复核报告，存在下列情形之一的，代理机构应当根据情况通过项目电子化交易系统建议磋商小组现场修改评审结果。存在本条上述情形的，由磋商小组自主决定是否采纳代理机构的建议，并承担独立评审责任。</w:t>
      </w:r>
    </w:p>
    <w:p>
      <w:pPr>
        <w:pStyle w:val="null3"/>
        <w:ind w:firstLine="480"/>
      </w:pPr>
      <w:r>
        <w:rPr>
          <w:rFonts w:ascii="仿宋_GB2312" w:hAnsi="仿宋_GB2312" w:cs="仿宋_GB2312" w:eastAsia="仿宋_GB2312"/>
        </w:rPr>
        <w:t xml:space="preserve"> 二、磋商小组采纳代理机构建议的，应当按照规定现场通过项目电子化交易系统修改评审结果或者重新评审，并在磋商报告中详细记载有关事宜；不采纳代理机构建议的，应当说明理由。代理机构建议未被磋商小组采纳的，应当按照规定程序要求继续组织实施采购活动，不得擅自中止采购活动。代理机构认为磋商小组评审结果不合法的，应当书面报告采购项目同级财政部门。</w:t>
      </w:r>
    </w:p>
    <w:p>
      <w:pPr>
        <w:pStyle w:val="null3"/>
        <w:ind w:firstLine="480"/>
      </w:pPr>
      <w:r>
        <w:rPr>
          <w:rFonts w:ascii="仿宋_GB2312" w:hAnsi="仿宋_GB2312" w:cs="仿宋_GB2312" w:eastAsia="仿宋_GB2312"/>
        </w:rPr>
        <w:t>三、代理机构复核过程中，磋商小组成员不得离开评审现场。</w:t>
      </w:r>
    </w:p>
    <w:p>
      <w:pPr>
        <w:pStyle w:val="null3"/>
        <w:outlineLvl w:val="3"/>
      </w:pPr>
      <w:r>
        <w:rPr>
          <w:rFonts w:ascii="仿宋_GB2312" w:hAnsi="仿宋_GB2312" w:cs="仿宋_GB2312" w:eastAsia="仿宋_GB2312"/>
          <w:sz w:val="24"/>
          <w:b/>
        </w:rPr>
        <w:t>6.3.10编写磋商报告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6.3.11评审争议处理规则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6.3.12终止磋商采购活动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确保工程质量的技术组织措施措施明确，内容完整，能保证工程质量的，得8分； 措施相对明确，内容基本完整，基本能保证工程质量的，得6分； 措施不明确，内容不完整，不能保证工程质量的，得4分；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确保安全生产的技术组织措施 措施明确，内容完整，能保证安全生产的，得8分； 措施相对明确，内容基本完整，基本能保证安全生产的，得6分； 措施不明确，内容不完整，不能保证安全生产的，得4分；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确保文明施工、环境保护的技术组织措施</w:t>
            </w:r>
          </w:p>
        </w:tc>
        <w:tc>
          <w:tcPr>
            <w:tcW w:type="dxa" w:w="2492"/>
          </w:tcPr>
          <w:p>
            <w:pPr>
              <w:pStyle w:val="null3"/>
            </w:pPr>
            <w:r>
              <w:rPr>
                <w:rFonts w:ascii="仿宋_GB2312" w:hAnsi="仿宋_GB2312" w:cs="仿宋_GB2312" w:eastAsia="仿宋_GB2312"/>
              </w:rPr>
              <w:t>确保文明施工的技术组织措施及环境保护措施 措施明确，内容完整，能保证文明施工和保护现场环境的，得8分； 措施相对明确，内容基本完整，基本能保证文明施工和保护现场环境的，得6分； 措施不明确，内容不完整，不能保证文明施工和保护现场环境的，得4分；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确保工期的技术组织措施 措施明确，内容完整，能保证工程如期竣工的，得8分； 措施相对明确，内容基本完整，能保证工程如期竣工的，得6分； 措施不明确，内容不完整，不能保证工程如期竣工的，得4分；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项目管理机构</w:t>
            </w:r>
          </w:p>
        </w:tc>
        <w:tc>
          <w:tcPr>
            <w:tcW w:type="dxa" w:w="2492"/>
          </w:tcPr>
          <w:p>
            <w:pPr>
              <w:pStyle w:val="null3"/>
            </w:pPr>
            <w:r>
              <w:rPr>
                <w:rFonts w:ascii="仿宋_GB2312" w:hAnsi="仿宋_GB2312" w:cs="仿宋_GB2312" w:eastAsia="仿宋_GB2312"/>
              </w:rPr>
              <w:t>项目部组成科学合理、人员表配置充足，有详细的人员配置清单，针对性强，能够很好的满足项目需求，得8分； 有一定的针对性，能够满足项目需求，得6分； 配置基本合理但组成不全面得4分； 未提供项目部组成不得分。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施工机械配备和材料投入计划</w:t>
            </w:r>
          </w:p>
        </w:tc>
        <w:tc>
          <w:tcPr>
            <w:tcW w:type="dxa" w:w="2492"/>
          </w:tcPr>
          <w:p>
            <w:pPr>
              <w:pStyle w:val="null3"/>
            </w:pPr>
            <w:r>
              <w:rPr>
                <w:rFonts w:ascii="仿宋_GB2312" w:hAnsi="仿宋_GB2312" w:cs="仿宋_GB2312" w:eastAsia="仿宋_GB2312"/>
              </w:rPr>
              <w:t>施工机械配备和材料投入计划 机械配备齐全，能够满足实际需要，材料投入计划明确合理的，得8分； 机械配备相对齐全，基本能满足实际需要，材料投入计划相对明确合理的，得6分； 机械配备不齐全，不能够满足实际需要，材料投入计划不明确，不合理的，得4分；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劳动力安排计划</w:t>
            </w:r>
          </w:p>
        </w:tc>
        <w:tc>
          <w:tcPr>
            <w:tcW w:type="dxa" w:w="2492"/>
          </w:tcPr>
          <w:p>
            <w:pPr>
              <w:pStyle w:val="null3"/>
            </w:pPr>
            <w:r>
              <w:rPr>
                <w:rFonts w:ascii="仿宋_GB2312" w:hAnsi="仿宋_GB2312" w:cs="仿宋_GB2312" w:eastAsia="仿宋_GB2312"/>
              </w:rPr>
              <w:t>劳动力安排计划安排计划得当，高效合理的，得8分； 安排计划相对得当，较为高效合理的，得6分； 安排计划不得当，不高效合理的，得4分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针对本项目其他的协调措施、应急预案</w:t>
            </w:r>
          </w:p>
        </w:tc>
        <w:tc>
          <w:tcPr>
            <w:tcW w:type="dxa" w:w="2492"/>
          </w:tcPr>
          <w:p>
            <w:pPr>
              <w:pStyle w:val="null3"/>
            </w:pPr>
            <w:r>
              <w:rPr>
                <w:rFonts w:ascii="仿宋_GB2312" w:hAnsi="仿宋_GB2312" w:cs="仿宋_GB2312" w:eastAsia="仿宋_GB2312"/>
              </w:rPr>
              <w:t>针对本项目提出具体合理针对性强的协调及应急预案; 方案完整，科学严格，针对性强的得8分； 方案较完整，科学合理，针对性一般的得6分； 方案不完整，较合理，无明确针对性的得4分； 未提供本项的，不得分。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施工组织设计.docx</w:t>
            </w:r>
          </w:p>
        </w:tc>
      </w:tr>
      <w:tr>
        <w:tc>
          <w:tcPr>
            <w:tcW w:type="dxa" w:w="831"/>
            <w:vMerge/>
          </w:tcPr>
          <w:p/>
        </w:tc>
        <w:tc>
          <w:tcPr>
            <w:tcW w:type="dxa" w:w="1661"/>
          </w:tcPr>
          <w:p>
            <w:pPr>
              <w:pStyle w:val="null3"/>
            </w:pPr>
            <w:r>
              <w:rPr>
                <w:rFonts w:ascii="仿宋_GB2312" w:hAnsi="仿宋_GB2312" w:cs="仿宋_GB2312" w:eastAsia="仿宋_GB2312"/>
              </w:rPr>
              <w:t>项目负责人要求</w:t>
            </w:r>
          </w:p>
        </w:tc>
        <w:tc>
          <w:tcPr>
            <w:tcW w:type="dxa" w:w="2492"/>
          </w:tcPr>
          <w:p>
            <w:pPr>
              <w:pStyle w:val="null3"/>
            </w:pPr>
            <w:r>
              <w:rPr>
                <w:rFonts w:ascii="仿宋_GB2312" w:hAnsi="仿宋_GB2312" w:cs="仿宋_GB2312" w:eastAsia="仿宋_GB2312"/>
              </w:rPr>
              <w:t>1.拟派项目负责人学历（2分） 具有本科及以上学历得2分，其他情况不得分。如不符合上述要求的，磋商小组将不予赋分。 评审时以供应商提供的拟派项目负责人的最高学历证书复印件或扫描件并加盖供应商公章为准。</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提供供应商2023年01月1日至今承担的类似项目业绩（合同）（以合同签订日期为准），每提供1个得2分，最高得4分。</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 以本次最低有效磋商报价总价为基准价，其价格分为满分。报价得分=（评审基准价／总报价）×30。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详见附件：其他资格证明文件.docx</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详见附件：施工组织设计.docx</w:t>
      </w:r>
    </w:p>
    <w:p>
      <w:pPr>
        <w:pStyle w:val="null3"/>
        <w:ind w:firstLine="960"/>
      </w:pPr>
      <w:r>
        <w:rPr>
          <w:rFonts w:ascii="仿宋_GB2312" w:hAnsi="仿宋_GB2312" w:cs="仿宋_GB2312" w:eastAsia="仿宋_GB2312"/>
        </w:rPr>
        <w:t>详见附件：已标价工程量清单报价表.docx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详见附件：拟签订的合同文件.docx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