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版本号：ZXCG2025-21.1B120260309001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长安区蝴蝶兰新品种新技术试验示范及装备提升(二次)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ZXCG2025-21.1B1</w:t>
      </w:r>
      <w:r>
        <w:br/>
      </w:r>
      <w:r>
        <w:br/>
      </w:r>
      <w:r>
        <w:br/>
      </w:r>
    </w:p>
    <w:p>
      <w:pPr>
        <w:pStyle w:val="null3"/>
        <w:jc w:val="center"/>
        <w:outlineLvl w:val="2"/>
      </w:pPr>
      <w:r>
        <w:rPr>
          <w:rFonts w:ascii="仿宋_GB2312" w:hAnsi="仿宋_GB2312" w:cs="仿宋_GB2312" w:eastAsia="仿宋_GB2312"/>
          <w:sz w:val="28"/>
          <w:b/>
        </w:rPr>
        <w:t>西安市长安区农业技术推广中心</w:t>
      </w:r>
    </w:p>
    <w:p>
      <w:pPr>
        <w:pStyle w:val="null3"/>
        <w:jc w:val="center"/>
        <w:outlineLvl w:val="2"/>
      </w:pPr>
      <w:r>
        <w:rPr>
          <w:rFonts w:ascii="仿宋_GB2312" w:hAnsi="仿宋_GB2312" w:cs="仿宋_GB2312" w:eastAsia="仿宋_GB2312"/>
          <w:sz w:val="28"/>
          <w:b/>
        </w:rPr>
        <w:t>陕西中贤项目管理有限公司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陕西中贤项目管理有限公司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西安市长安区农业技术推广中心</w:t>
      </w:r>
      <w:r>
        <w:rPr>
          <w:rFonts w:ascii="仿宋_GB2312" w:hAnsi="仿宋_GB2312" w:cs="仿宋_GB2312" w:eastAsia="仿宋_GB2312"/>
        </w:rPr>
        <w:t>委托，拟对</w:t>
      </w:r>
      <w:r>
        <w:rPr>
          <w:rFonts w:ascii="仿宋_GB2312" w:hAnsi="仿宋_GB2312" w:cs="仿宋_GB2312" w:eastAsia="仿宋_GB2312"/>
        </w:rPr>
        <w:t>长安区蝴蝶兰新品种新技术试验示范及装备提升(二次)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ZXCG2025-21.1B1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长安区蝴蝶兰新品种新技术试验示范及装备提升(二次)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随着我区花卉产业的不断发展，花卉品种不够丰富成为制约我区花卉产业提升的重要因素，为进一步推动我区花卉产业上台阶，经过研讨论证，拟引进一批蝴蝶兰新品种母瓶。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采购包1（长安区蝴蝶兰新品种新技术试验示范及装备提升）：属于专门面向中小企业采购。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证明书）：法定代表人直接参加谈判只须提供法定代表人身份证明书（附法定代表人身份证复印件），法定代表人授权代表参加的须出具法定代表人授权委托书（附法定代表人身份证复印件及被授权人身份证复印件）及被授权人本单位的社保证明(谈判截止日前一年内已缴存的任意一个月的社会保障资金凭证)。</w:t>
      </w:r>
    </w:p>
    <w:p>
      <w:pPr>
        <w:pStyle w:val="null3"/>
      </w:pPr>
      <w:r>
        <w:rPr>
          <w:rFonts w:ascii="仿宋_GB2312" w:hAnsi="仿宋_GB2312" w:cs="仿宋_GB2312" w:eastAsia="仿宋_GB2312"/>
        </w:rPr>
        <w:t>2、信用查询：符合《财政部关于在政府采购活动中查询及使用信用记录有关问题的通知》（财库【2016】125号）文件中信用查询的要求。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西安市长安区南长安街201A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029-85622271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陕西中贤项目管理有限公司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陕西省西安市未央区凤城二路9号经发大厦A座11层1103-1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徐雅雯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18702934670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收取。户名：陕西中贤项目管理有限公司 开户行：中国银行股份有限公司陕西省分行 账号：102 068 446 330。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西安市长安区农业技术推广中心</w:t>
      </w:r>
      <w:r>
        <w:rPr>
          <w:rFonts w:ascii="仿宋_GB2312" w:hAnsi="仿宋_GB2312" w:cs="仿宋_GB2312" w:eastAsia="仿宋_GB2312"/>
        </w:rPr>
        <w:t>和</w:t>
      </w:r>
      <w:r>
        <w:rPr>
          <w:rFonts w:ascii="仿宋_GB2312" w:hAnsi="仿宋_GB2312" w:cs="仿宋_GB2312" w:eastAsia="仿宋_GB2312"/>
        </w:rPr>
        <w:t>陕西中贤项目管理有限公司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陕西中贤项目管理有限公司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陕西中贤项目管理有限公司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1.货物验收过程中，采购人对货物进行验收，由于质量、规格不合格或运输等原因所造成的一切费用均由供应商负责。 2.供应商提供货物应满足本采购文件采购需求中的采购清单规格要求，有关国家、行业标准和规范及双方签定的技术协议和合同的规定一起作为货物验收标准。 3.供应商在供货前须书面通知采购人，如供应商所供的货物达不到投标时承诺的要求，采购人可以拒收供应商的货物。 4.供应商将货物交付采购人使用前，须由采购人会同有关专业人员对货物按相关规范要求进行验收。 5.供应商所交的货物品种、型号、规格、技术参数、质量不符合合同规定及采购文件规定标准的，采购人有权拒收该货物，供应商愿意更换货物但逾期交货的，按供应商逾期交货处理。供应商拒绝更换货物的，采购人可单方面解除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联系人：徐雅雯</w:t>
      </w:r>
    </w:p>
    <w:p>
      <w:pPr>
        <w:pStyle w:val="null3"/>
      </w:pPr>
      <w:r>
        <w:rPr>
          <w:rFonts w:ascii="仿宋_GB2312" w:hAnsi="仿宋_GB2312" w:cs="仿宋_GB2312" w:eastAsia="仿宋_GB2312"/>
        </w:rPr>
        <w:t>联系电话：18702934670</w:t>
      </w:r>
    </w:p>
    <w:p>
      <w:pPr>
        <w:pStyle w:val="null3"/>
      </w:pPr>
      <w:r>
        <w:rPr>
          <w:rFonts w:ascii="仿宋_GB2312" w:hAnsi="仿宋_GB2312" w:cs="仿宋_GB2312" w:eastAsia="仿宋_GB2312"/>
        </w:rPr>
        <w:t>地址：陕西省西安市未央区凤城二路9号经发大厦A座11层1103-1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随着我区花卉产业的不断发展，花卉品种不够丰富成为制约我区花卉产业提升的重要因素，为进一步推动我区花卉产业上台阶，经过研讨论证，拟引进一批蝴蝶兰新品种母瓶。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蝴蝶兰新品种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标的名称：蝴蝶兰新品种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2"/>
                <w:b/>
                <w:color w:val="000000"/>
                <w:shd w:fill="FFFFFF" w:val="clear"/>
              </w:rPr>
              <w:t>一、</w:t>
            </w:r>
            <w:r>
              <w:rPr>
                <w:rFonts w:ascii="仿宋_GB2312" w:hAnsi="仿宋_GB2312" w:cs="仿宋_GB2312" w:eastAsia="仿宋_GB2312"/>
                <w:sz w:val="22"/>
                <w:b/>
                <w:color w:val="000000"/>
                <w:shd w:fill="FFFFFF" w:val="clear"/>
              </w:rPr>
              <w:t>采购内容</w:t>
            </w:r>
            <w:r>
              <w:rPr>
                <w:rFonts w:ascii="仿宋_GB2312" w:hAnsi="仿宋_GB2312" w:cs="仿宋_GB2312" w:eastAsia="仿宋_GB2312"/>
                <w:sz w:val="22"/>
                <w:color w:val="000000"/>
                <w:shd w:fill="FFFFFF" w:val="clear"/>
              </w:rPr>
              <w:t>：</w:t>
            </w:r>
          </w:p>
          <w:p>
            <w:pPr>
              <w:pStyle w:val="null3"/>
            </w:pPr>
            <w:r>
              <w:rPr>
                <w:rFonts w:ascii="仿宋_GB2312" w:hAnsi="仿宋_GB2312" w:cs="仿宋_GB2312" w:eastAsia="仿宋_GB2312"/>
                <w:sz w:val="22"/>
              </w:rPr>
              <w:t>采购蝴蝶兰新品种瓶苗三个品种：彩虹提拉米苏</w:t>
            </w:r>
            <w:r>
              <w:rPr>
                <w:rFonts w:ascii="仿宋_GB2312" w:hAnsi="仿宋_GB2312" w:cs="仿宋_GB2312" w:eastAsia="仿宋_GB2312"/>
                <w:sz w:val="22"/>
              </w:rPr>
              <w:t>（</w:t>
            </w:r>
            <w:r>
              <w:rPr>
                <w:rFonts w:ascii="仿宋_GB2312" w:hAnsi="仿宋_GB2312" w:cs="仿宋_GB2312" w:eastAsia="仿宋_GB2312"/>
                <w:sz w:val="22"/>
              </w:rPr>
              <w:t>600瓶</w:t>
            </w:r>
            <w:r>
              <w:rPr>
                <w:rFonts w:ascii="仿宋_GB2312" w:hAnsi="仿宋_GB2312" w:cs="仿宋_GB2312" w:eastAsia="仿宋_GB2312"/>
                <w:sz w:val="22"/>
              </w:rPr>
              <w:t>）</w:t>
            </w:r>
            <w:r>
              <w:rPr>
                <w:rFonts w:ascii="仿宋_GB2312" w:hAnsi="仿宋_GB2312" w:cs="仿宋_GB2312" w:eastAsia="仿宋_GB2312"/>
                <w:sz w:val="22"/>
              </w:rPr>
              <w:t>、黑白独角兽</w:t>
            </w:r>
            <w:r>
              <w:rPr>
                <w:rFonts w:ascii="仿宋_GB2312" w:hAnsi="仿宋_GB2312" w:cs="仿宋_GB2312" w:eastAsia="仿宋_GB2312"/>
                <w:sz w:val="22"/>
              </w:rPr>
              <w:t>（</w:t>
            </w:r>
            <w:r>
              <w:rPr>
                <w:rFonts w:ascii="仿宋_GB2312" w:hAnsi="仿宋_GB2312" w:cs="仿宋_GB2312" w:eastAsia="仿宋_GB2312"/>
                <w:sz w:val="22"/>
              </w:rPr>
              <w:t>800瓶</w:t>
            </w:r>
            <w:r>
              <w:rPr>
                <w:rFonts w:ascii="仿宋_GB2312" w:hAnsi="仿宋_GB2312" w:cs="仿宋_GB2312" w:eastAsia="仿宋_GB2312"/>
                <w:sz w:val="22"/>
              </w:rPr>
              <w:t>）</w:t>
            </w:r>
            <w:r>
              <w:rPr>
                <w:rFonts w:ascii="仿宋_GB2312" w:hAnsi="仿宋_GB2312" w:cs="仿宋_GB2312" w:eastAsia="仿宋_GB2312"/>
                <w:sz w:val="22"/>
              </w:rPr>
              <w:t>、金富贵</w:t>
            </w:r>
            <w:r>
              <w:rPr>
                <w:rFonts w:ascii="仿宋_GB2312" w:hAnsi="仿宋_GB2312" w:cs="仿宋_GB2312" w:eastAsia="仿宋_GB2312"/>
                <w:sz w:val="22"/>
              </w:rPr>
              <w:t>（</w:t>
            </w:r>
            <w:r>
              <w:rPr>
                <w:rFonts w:ascii="仿宋_GB2312" w:hAnsi="仿宋_GB2312" w:cs="仿宋_GB2312" w:eastAsia="仿宋_GB2312"/>
                <w:sz w:val="22"/>
              </w:rPr>
              <w:t>800瓶</w:t>
            </w:r>
            <w:r>
              <w:rPr>
                <w:rFonts w:ascii="仿宋_GB2312" w:hAnsi="仿宋_GB2312" w:cs="仿宋_GB2312" w:eastAsia="仿宋_GB2312"/>
                <w:sz w:val="22"/>
              </w:rPr>
              <w:t>）</w:t>
            </w:r>
            <w:r>
              <w:rPr>
                <w:rFonts w:ascii="仿宋_GB2312" w:hAnsi="仿宋_GB2312" w:cs="仿宋_GB2312" w:eastAsia="仿宋_GB2312"/>
                <w:sz w:val="22"/>
              </w:rPr>
              <w:t>。共</w:t>
            </w:r>
            <w:r>
              <w:rPr>
                <w:rFonts w:ascii="仿宋_GB2312" w:hAnsi="仿宋_GB2312" w:cs="仿宋_GB2312" w:eastAsia="仿宋_GB2312"/>
                <w:sz w:val="22"/>
              </w:rPr>
              <w:t>2200瓶，每瓶25株，共5.5万株。</w:t>
            </w:r>
          </w:p>
          <w:p>
            <w:pPr>
              <w:pStyle w:val="null3"/>
            </w:pPr>
            <w:r>
              <w:rPr>
                <w:rFonts w:ascii="仿宋_GB2312" w:hAnsi="仿宋_GB2312" w:cs="仿宋_GB2312" w:eastAsia="仿宋_GB2312"/>
                <w:sz w:val="22"/>
                <w:b/>
              </w:rPr>
              <w:t>注：</w:t>
            </w:r>
            <w:r>
              <w:rPr>
                <w:rFonts w:ascii="仿宋_GB2312" w:hAnsi="仿宋_GB2312" w:cs="仿宋_GB2312" w:eastAsia="仿宋_GB2312"/>
                <w:sz w:val="22"/>
                <w:b/>
              </w:rPr>
              <w:t>核心产品为</w:t>
            </w:r>
            <w:r>
              <w:rPr>
                <w:rFonts w:ascii="仿宋_GB2312" w:hAnsi="仿宋_GB2312" w:cs="仿宋_GB2312" w:eastAsia="仿宋_GB2312"/>
                <w:sz w:val="22"/>
                <w:b/>
              </w:rPr>
              <w:t>黑白独角兽</w:t>
            </w:r>
            <w:r>
              <w:rPr>
                <w:rFonts w:ascii="仿宋_GB2312" w:hAnsi="仿宋_GB2312" w:cs="仿宋_GB2312" w:eastAsia="仿宋_GB2312"/>
                <w:sz w:val="22"/>
                <w:b/>
              </w:rPr>
              <w:t>、</w:t>
            </w:r>
            <w:r>
              <w:rPr>
                <w:rFonts w:ascii="仿宋_GB2312" w:hAnsi="仿宋_GB2312" w:cs="仿宋_GB2312" w:eastAsia="仿宋_GB2312"/>
                <w:sz w:val="22"/>
                <w:b/>
              </w:rPr>
              <w:t>金富贵</w:t>
            </w:r>
            <w:r>
              <w:rPr>
                <w:rFonts w:ascii="仿宋_GB2312" w:hAnsi="仿宋_GB2312" w:cs="仿宋_GB2312" w:eastAsia="仿宋_GB2312"/>
                <w:sz w:val="22"/>
                <w:b/>
              </w:rPr>
              <w:t>。</w:t>
            </w:r>
          </w:p>
          <w:p>
            <w:pPr>
              <w:pStyle w:val="null3"/>
              <w:jc w:val="both"/>
            </w:pPr>
            <w:r>
              <w:rPr>
                <w:rFonts w:ascii="仿宋_GB2312" w:hAnsi="仿宋_GB2312" w:cs="仿宋_GB2312" w:eastAsia="仿宋_GB2312"/>
                <w:sz w:val="22"/>
                <w:b/>
                <w:color w:val="000000"/>
                <w:shd w:fill="FFFFFF" w:val="clear"/>
              </w:rPr>
              <w:t>二、</w:t>
            </w:r>
            <w:r>
              <w:rPr>
                <w:rFonts w:ascii="仿宋_GB2312" w:hAnsi="仿宋_GB2312" w:cs="仿宋_GB2312" w:eastAsia="仿宋_GB2312"/>
                <w:sz w:val="22"/>
                <w:b/>
                <w:color w:val="000000"/>
                <w:shd w:fill="FFFFFF" w:val="clear"/>
              </w:rPr>
              <w:t>技术要求</w:t>
            </w:r>
          </w:p>
          <w:p>
            <w:pPr>
              <w:pStyle w:val="null3"/>
              <w:jc w:val="both"/>
            </w:pPr>
            <w:r>
              <w:rPr>
                <w:rFonts w:ascii="仿宋_GB2312" w:hAnsi="仿宋_GB2312" w:cs="仿宋_GB2312" w:eastAsia="仿宋_GB2312"/>
                <w:sz w:val="22"/>
                <w:color w:val="000000"/>
                <w:shd w:fill="FFFFFF" w:val="clear"/>
              </w:rPr>
              <w:t>1、要求提供无病毒母瓶，每瓶25株，代数要求3代以内，生长状况良好，变异率低于百分之一，瓶内无污染，密封完好。</w:t>
            </w:r>
          </w:p>
          <w:p>
            <w:pPr>
              <w:pStyle w:val="null3"/>
              <w:jc w:val="both"/>
            </w:pPr>
            <w:r>
              <w:rPr>
                <w:rFonts w:ascii="仿宋_GB2312" w:hAnsi="仿宋_GB2312" w:cs="仿宋_GB2312" w:eastAsia="仿宋_GB2312"/>
                <w:sz w:val="22"/>
                <w:color w:val="000000"/>
                <w:shd w:fill="FFFFFF" w:val="clear"/>
              </w:rPr>
              <w:t>2、品种标识：每瓶瓶身需粘贴清晰标签，标注品种名称、培育日期，标签材质需防水、耐磨，信息可保留至保修期结束。</w:t>
            </w:r>
          </w:p>
          <w:p>
            <w:pPr>
              <w:pStyle w:val="null3"/>
              <w:jc w:val="both"/>
            </w:pPr>
            <w:r>
              <w:rPr>
                <w:rFonts w:ascii="仿宋_GB2312" w:hAnsi="仿宋_GB2312" w:cs="仿宋_GB2312" w:eastAsia="仿宋_GB2312"/>
                <w:sz w:val="22"/>
                <w:b/>
                <w:color w:val="000000"/>
                <w:shd w:fill="FFFFFF" w:val="clear"/>
              </w:rPr>
              <w:t>三、</w:t>
            </w:r>
            <w:r>
              <w:rPr>
                <w:rFonts w:ascii="仿宋_GB2312" w:hAnsi="仿宋_GB2312" w:cs="仿宋_GB2312" w:eastAsia="仿宋_GB2312"/>
                <w:sz w:val="22"/>
                <w:b/>
                <w:color w:val="000000"/>
                <w:shd w:fill="FFFFFF" w:val="clear"/>
              </w:rPr>
              <w:t>服务要求</w:t>
            </w:r>
          </w:p>
          <w:p>
            <w:pPr>
              <w:pStyle w:val="null3"/>
              <w:jc w:val="both"/>
            </w:pPr>
            <w:r>
              <w:rPr>
                <w:rFonts w:ascii="仿宋_GB2312" w:hAnsi="仿宋_GB2312" w:cs="仿宋_GB2312" w:eastAsia="仿宋_GB2312"/>
                <w:sz w:val="22"/>
                <w:color w:val="000000"/>
                <w:shd w:fill="FFFFFF" w:val="clear"/>
              </w:rPr>
              <w:t>1、供货后</w:t>
            </w:r>
            <w:r>
              <w:rPr>
                <w:rFonts w:ascii="仿宋_GB2312" w:hAnsi="仿宋_GB2312" w:cs="仿宋_GB2312" w:eastAsia="仿宋_GB2312"/>
                <w:sz w:val="22"/>
                <w:color w:val="000000"/>
                <w:shd w:fill="FFFFFF" w:val="clear"/>
              </w:rPr>
              <w:t>供应商</w:t>
            </w:r>
            <w:r>
              <w:rPr>
                <w:rFonts w:ascii="仿宋_GB2312" w:hAnsi="仿宋_GB2312" w:cs="仿宋_GB2312" w:eastAsia="仿宋_GB2312"/>
                <w:sz w:val="22"/>
                <w:color w:val="000000"/>
                <w:shd w:fill="FFFFFF" w:val="clear"/>
              </w:rPr>
              <w:t>应提交货物清单当场验收，</w:t>
            </w:r>
            <w:r>
              <w:rPr>
                <w:rFonts w:ascii="仿宋_GB2312" w:hAnsi="仿宋_GB2312" w:cs="仿宋_GB2312" w:eastAsia="仿宋_GB2312"/>
                <w:sz w:val="22"/>
                <w:color w:val="000000"/>
                <w:shd w:fill="FFFFFF" w:val="clear"/>
              </w:rPr>
              <w:t>采购人</w:t>
            </w:r>
            <w:r>
              <w:rPr>
                <w:rFonts w:ascii="仿宋_GB2312" w:hAnsi="仿宋_GB2312" w:cs="仿宋_GB2312" w:eastAsia="仿宋_GB2312"/>
                <w:sz w:val="22"/>
                <w:color w:val="000000"/>
                <w:shd w:fill="FFFFFF" w:val="clear"/>
              </w:rPr>
              <w:t>有关人员依据合同内容进行验收，验收后双方负责人在验收单上签</w:t>
            </w:r>
            <w:r>
              <w:rPr>
                <w:rFonts w:ascii="仿宋_GB2312" w:hAnsi="仿宋_GB2312" w:cs="仿宋_GB2312" w:eastAsia="仿宋_GB2312"/>
                <w:sz w:val="22"/>
                <w:color w:val="000000"/>
                <w:shd w:fill="FFFFFF" w:val="clear"/>
              </w:rPr>
              <w:t>字认可。</w:t>
            </w:r>
          </w:p>
          <w:p>
            <w:pPr>
              <w:pStyle w:val="null3"/>
              <w:jc w:val="both"/>
            </w:pPr>
            <w:r>
              <w:rPr>
                <w:rFonts w:ascii="仿宋_GB2312" w:hAnsi="仿宋_GB2312" w:cs="仿宋_GB2312" w:eastAsia="仿宋_GB2312"/>
                <w:sz w:val="22"/>
                <w:color w:val="000000"/>
                <w:shd w:fill="FFFFFF" w:val="clear"/>
              </w:rPr>
              <w:t>2、</w:t>
            </w:r>
            <w:r>
              <w:rPr>
                <w:rFonts w:ascii="仿宋_GB2312" w:hAnsi="仿宋_GB2312" w:cs="仿宋_GB2312" w:eastAsia="仿宋_GB2312"/>
                <w:sz w:val="22"/>
                <w:color w:val="000000"/>
                <w:shd w:fill="FFFFFF" w:val="clear"/>
              </w:rPr>
              <w:t>供应商</w:t>
            </w:r>
            <w:r>
              <w:rPr>
                <w:rFonts w:ascii="仿宋_GB2312" w:hAnsi="仿宋_GB2312" w:cs="仿宋_GB2312" w:eastAsia="仿宋_GB2312"/>
                <w:sz w:val="22"/>
                <w:color w:val="000000"/>
                <w:shd w:fill="FFFFFF" w:val="clear"/>
              </w:rPr>
              <w:t>按照合同约定及实际内容提交验收资料，</w:t>
            </w:r>
            <w:r>
              <w:rPr>
                <w:rFonts w:ascii="仿宋_GB2312" w:hAnsi="仿宋_GB2312" w:cs="仿宋_GB2312" w:eastAsia="仿宋_GB2312"/>
                <w:sz w:val="22"/>
                <w:color w:val="000000"/>
                <w:shd w:fill="FFFFFF" w:val="clear"/>
              </w:rPr>
              <w:t>采购人</w:t>
            </w:r>
            <w:r>
              <w:rPr>
                <w:rFonts w:ascii="仿宋_GB2312" w:hAnsi="仿宋_GB2312" w:cs="仿宋_GB2312" w:eastAsia="仿宋_GB2312"/>
                <w:sz w:val="22"/>
                <w:color w:val="000000"/>
                <w:shd w:fill="FFFFFF" w:val="clear"/>
              </w:rPr>
              <w:t>根据合同约定、不得擅自改变验收规则或增加验收条件。</w:t>
            </w:r>
          </w:p>
          <w:p>
            <w:pPr>
              <w:pStyle w:val="null3"/>
              <w:jc w:val="both"/>
            </w:pPr>
            <w:r>
              <w:rPr>
                <w:rFonts w:ascii="仿宋_GB2312" w:hAnsi="仿宋_GB2312" w:cs="仿宋_GB2312" w:eastAsia="仿宋_GB2312"/>
                <w:sz w:val="22"/>
                <w:color w:val="000000"/>
                <w:shd w:fill="FFFFFF" w:val="clear"/>
              </w:rPr>
              <w:t>3、供货完成视为验收通过。</w:t>
            </w:r>
          </w:p>
          <w:p>
            <w:pPr>
              <w:pStyle w:val="null3"/>
              <w:jc w:val="both"/>
            </w:pPr>
            <w:r>
              <w:rPr>
                <w:rFonts w:ascii="仿宋_GB2312" w:hAnsi="仿宋_GB2312" w:cs="仿宋_GB2312" w:eastAsia="仿宋_GB2312"/>
                <w:sz w:val="22"/>
                <w:b/>
                <w:color w:val="000000"/>
                <w:shd w:fill="FFFFFF" w:val="clear"/>
              </w:rPr>
              <w:t>四、</w:t>
            </w:r>
            <w:r>
              <w:rPr>
                <w:rFonts w:ascii="仿宋_GB2312" w:hAnsi="仿宋_GB2312" w:cs="仿宋_GB2312" w:eastAsia="仿宋_GB2312"/>
                <w:sz w:val="22"/>
                <w:b/>
                <w:color w:val="000000"/>
                <w:shd w:fill="FFFFFF" w:val="clear"/>
              </w:rPr>
              <w:t>违约责任</w:t>
            </w:r>
          </w:p>
          <w:p>
            <w:pPr>
              <w:pStyle w:val="null3"/>
              <w:jc w:val="both"/>
            </w:pPr>
            <w:r>
              <w:rPr>
                <w:rFonts w:ascii="仿宋_GB2312" w:hAnsi="仿宋_GB2312" w:cs="仿宋_GB2312" w:eastAsia="仿宋_GB2312"/>
                <w:sz w:val="22"/>
                <w:color w:val="000000"/>
                <w:shd w:fill="FFFFFF" w:val="clear"/>
              </w:rPr>
              <w:t>1、按《中华人民共和国民法典》中的相关条款执行。</w:t>
            </w:r>
          </w:p>
          <w:p>
            <w:pPr>
              <w:pStyle w:val="null3"/>
              <w:jc w:val="both"/>
            </w:pPr>
            <w:r>
              <w:rPr>
                <w:rFonts w:ascii="仿宋_GB2312" w:hAnsi="仿宋_GB2312" w:cs="仿宋_GB2312" w:eastAsia="仿宋_GB2312"/>
                <w:sz w:val="22"/>
                <w:color w:val="000000"/>
                <w:shd w:fill="FFFFFF" w:val="clear"/>
              </w:rPr>
              <w:t>2、未按合同要求提供产品或质量不能满足技术要求，采购人有权终止合同，并对</w:t>
            </w:r>
            <w:r>
              <w:rPr>
                <w:rFonts w:ascii="仿宋_GB2312" w:hAnsi="仿宋_GB2312" w:cs="仿宋_GB2312" w:eastAsia="仿宋_GB2312"/>
                <w:sz w:val="22"/>
                <w:color w:val="000000"/>
                <w:shd w:fill="FFFFFF" w:val="clear"/>
              </w:rPr>
              <w:t>供应商</w:t>
            </w:r>
            <w:r>
              <w:rPr>
                <w:rFonts w:ascii="仿宋_GB2312" w:hAnsi="仿宋_GB2312" w:cs="仿宋_GB2312" w:eastAsia="仿宋_GB2312"/>
                <w:sz w:val="22"/>
                <w:color w:val="000000"/>
                <w:shd w:fill="FFFFFF" w:val="clear"/>
              </w:rPr>
              <w:t>违约行为进行追究，同时按《中华人民共和国政府采购法》的有关规定进行处罚。</w:t>
            </w:r>
          </w:p>
          <w:p>
            <w:pPr>
              <w:pStyle w:val="null3"/>
              <w:jc w:val="both"/>
            </w:pPr>
            <w:r>
              <w:rPr>
                <w:rFonts w:ascii="仿宋_GB2312" w:hAnsi="仿宋_GB2312" w:cs="仿宋_GB2312" w:eastAsia="仿宋_GB2312"/>
                <w:sz w:val="22"/>
                <w:b/>
                <w:color w:val="000000"/>
                <w:shd w:fill="FFFFFF" w:val="clear"/>
              </w:rPr>
              <w:t>五</w:t>
            </w:r>
            <w:r>
              <w:rPr>
                <w:rFonts w:ascii="仿宋_GB2312" w:hAnsi="仿宋_GB2312" w:cs="仿宋_GB2312" w:eastAsia="仿宋_GB2312"/>
                <w:sz w:val="22"/>
                <w:b/>
                <w:color w:val="000000"/>
                <w:shd w:fill="FFFFFF" w:val="clear"/>
              </w:rPr>
              <w:t>、验收标准、规范</w:t>
            </w:r>
          </w:p>
          <w:p>
            <w:pPr>
              <w:pStyle w:val="null3"/>
              <w:jc w:val="both"/>
            </w:pPr>
            <w:r>
              <w:rPr>
                <w:rFonts w:ascii="仿宋_GB2312" w:hAnsi="仿宋_GB2312" w:cs="仿宋_GB2312" w:eastAsia="仿宋_GB2312"/>
                <w:sz w:val="22"/>
                <w:color w:val="000000"/>
                <w:shd w:fill="FFFFFF" w:val="clear"/>
              </w:rPr>
              <w:t>按</w:t>
            </w:r>
            <w:r>
              <w:rPr>
                <w:rFonts w:ascii="仿宋_GB2312" w:hAnsi="仿宋_GB2312" w:cs="仿宋_GB2312" w:eastAsia="仿宋_GB2312"/>
                <w:sz w:val="22"/>
                <w:color w:val="000000"/>
                <w:shd w:fill="FFFFFF" w:val="clear"/>
              </w:rPr>
              <w:t>现行的国家标准或国家行政部门颁布的法律法规、规章制度</w:t>
            </w:r>
            <w:r>
              <w:rPr>
                <w:rFonts w:ascii="仿宋_GB2312" w:hAnsi="仿宋_GB2312" w:cs="仿宋_GB2312" w:eastAsia="仿宋_GB2312"/>
                <w:sz w:val="22"/>
                <w:color w:val="000000"/>
                <w:shd w:fill="FFFFFF" w:val="clear"/>
              </w:rPr>
              <w:t>及</w:t>
            </w:r>
            <w:r>
              <w:rPr>
                <w:rFonts w:ascii="仿宋_GB2312" w:hAnsi="仿宋_GB2312" w:cs="仿宋_GB2312" w:eastAsia="仿宋_GB2312"/>
                <w:sz w:val="22"/>
                <w:color w:val="000000"/>
                <w:shd w:fill="FFFFFF" w:val="clear"/>
              </w:rPr>
              <w:t>行业标准等。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自合同签订之日起7个日历日全部完成项目内容，并交付采购人验收合格。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按照财政资金拨付情况及时支付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 1）本项目竞争性谈判文件、响应文件； 2）本合同及附件文本； 3）合同签订时国家及行业现行的标准和技术规范。 4）供应商应向采购人提交项目实施过程中的所有资料，以便采购人日后管理。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自采购方验收合格并签署《验收确认单》之日起30个自然日。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采购法》第七十三条、《中华人民共和国民法典》第五百七十七条中的相关条款执行。未按合同或采购文件要求提供的产品或服务，质量不能满足采购人技术要求，采购单位有权终止合同，并依法向中标供应商要求经济索赔，并报请政府采购监督管理机关进行相应的行政处罚。 2、解决争议方法：在执行本合同中发生的或与本合同有关的争端，双方应通过友好协商解决，经协商在30天内不能达成协议时，则向有管辖权的人民法院提起诉讼。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（1）结果公告发布5日内，成交供应商须提交与电子响应文件一致的一正二副加盖公章的纸质版响应文件送至采购代理机构。 （2）本项目所属行业：农、林、牧、渔业（划分标准：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有效的注册登记证：具有独立承担民事责任能力，提供供应商合法注册的法人（负责人）或其他组织的营业执照等证明文件或自然人的身份证明。 2、财务状况报告：提供具有财务审计资质单位出具的2024年度或2025年度财务报告（成立时间至提交响应文件截止时间不足一年的可提供成立后任意时段的资产负债表），或提交响应文件截止时间前三个月内基本账户开户银行出具的资信证明，（以上两种形式的资料提供任何一种即可）。 3、社会保障资金缴纳证明：提供自2025年3月1日以来已缴存的至少一个月的社会保障资金缴存单据或社保机构开具的社会保险参保缴费情况证明，依法免税的供应商应提供相关文件证明。 4、税收缴纳证明：提供自2025年3月1日以来已缴纳的至少一个月的纳税证明或完税证明，依法免税的供应商应提供相关文件证明。 5、具有履行本合同所必需的设备和专业技术能力的说明及承诺：提供具有履行本合同所必需的设备和专业技术能力的说明及承诺。 6、无重大违法记录声明：参加本次政府采购活动前3年内在经营活动中没有重大违法记录，以及未被列入失信被执行人、重大税收违法案件当事人名单、政府采购严重违法失信行为记录名单的书面声明。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直接参加谈判只须提供法定代表人身份证明书（附法定代表人身份证复印件），法定代表人授权代表参加的须出具法定代表人授权委托书（附法定代表人身份证复印件及被授权人身份证复印件）及被授权人本单位的社保证明(谈判截止日前一年内已缴存的任意一个月的社会保障资金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响应文件的签署盖章，响应文件格式，填写均无遗漏，且与所投项目名称、项目编号完全一致。均符合竞争性谈判文件要求。</w:t>
            </w:r>
          </w:p>
        </w:tc>
        <w:tc>
          <w:tcPr>
            <w:tcW w:type="dxa" w:w="1661"/>
          </w:tcPr>
          <w:p>
            <w:pPr>
              <w:pStyle w:val="null3"/>
            </w:pPr>
            <w:r>
              <w:rPr>
                <w:rFonts w:ascii="仿宋_GB2312" w:hAnsi="仿宋_GB2312" w:cs="仿宋_GB2312" w:eastAsia="仿宋_GB2312"/>
              </w:rPr>
              <w:t>供应商参加政府采购活动承诺书.docx 技术方案.docx 中小企业声明函 商务应答表 报价表 资格证明文件.docx 供应商概况.docx 响应文件封面 产品技术参数表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1.响应文件组成无缺漏项。 2.未出现漏项或产品数量与要求不符。</w:t>
            </w:r>
          </w:p>
        </w:tc>
        <w:tc>
          <w:tcPr>
            <w:tcW w:type="dxa" w:w="1661"/>
          </w:tcPr>
          <w:p>
            <w:pPr>
              <w:pStyle w:val="null3"/>
            </w:pPr>
            <w:r>
              <w:rPr>
                <w:rFonts w:ascii="仿宋_GB2312" w:hAnsi="仿宋_GB2312" w:cs="仿宋_GB2312" w:eastAsia="仿宋_GB2312"/>
              </w:rPr>
              <w:t>响应文件封面 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响应程度审查</w:t>
            </w:r>
          </w:p>
        </w:tc>
        <w:tc>
          <w:tcPr>
            <w:tcW w:type="dxa" w:w="3322"/>
          </w:tcPr>
          <w:p>
            <w:pPr>
              <w:pStyle w:val="null3"/>
            </w:pPr>
            <w:r>
              <w:rPr>
                <w:rFonts w:ascii="仿宋_GB2312" w:hAnsi="仿宋_GB2312" w:cs="仿宋_GB2312" w:eastAsia="仿宋_GB2312"/>
              </w:rPr>
              <w:t>响应报价的响应程度、交货期、质保期、响应有效期，均符合竞争性谈判要求。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应符合竞争性谈判文件规定的其他实质性要求的</w:t>
            </w:r>
          </w:p>
        </w:tc>
        <w:tc>
          <w:tcPr>
            <w:tcW w:type="dxa" w:w="1661"/>
          </w:tcPr>
          <w:p>
            <w:pPr>
              <w:pStyle w:val="null3"/>
            </w:pPr>
            <w:r>
              <w:rPr>
                <w:rFonts w:ascii="仿宋_GB2312" w:hAnsi="仿宋_GB2312" w:cs="仿宋_GB2312" w:eastAsia="仿宋_GB2312"/>
              </w:rPr>
              <w:t>响应文件封面 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