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Relationships xmlns="http://schemas.openxmlformats.org/package/2006/relationships"><Relationship Target="word/document.xml" Type="http://schemas.openxmlformats.org/officeDocument/2006/relationships/officeDocument" Id="rId4"></Relationship><Relationship Target="docProps/core.xml" Type="http://schemas.openxmlformats.org/package/2006/relationships/metadata/core-properties" Id="rId2"></Relationship><Relationship Target="docProps/app.xml" Type="http://schemas.openxmlformats.org/officeDocument/2006/relationships/extended-properties" Id="rId1"></Relationship><Relationship Target="docProps/custom.xml" Type="http://schemas.openxmlformats.org/officeDocument/2006/relationships/custom-properties" Id="rId3"></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w14="http://schemas.microsoft.com/office/word/2010/wordml" xmlns:m="http://schemas.openxmlformats.org/officeDocument/2006/math" xmlns:w15="http://schemas.microsoft.com/office/word/2012/wordml" xmlns:w="http://schemas.openxmlformats.org/wordprocessingml/2006/main" xmlns:r="http://schemas.openxmlformats.org/officeDocument/2006/relationships" mc:Ignorable="w14 w15 wp14">
  <w:background w:color="FFFFFF"/>
  <!--Powered by docx4j 6.0.1 (Apache licensed)-->
  <w:body>
    <w:p>
      <w:pPr>
        <w:pStyle w:val="5"/>
        <w:ind w:left="240" w:leftChars="100"/>
        <w:rPr>
          <w:color w:val="auto"/>
          <w:highlight w:val="none"/>
        </w:rPr>
      </w:pPr>
    </w:p>
    <w:p>
      <w:pPr>
        <w:jc w:val="center"/>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Ansi="宋体"/>
          <w:b/>
          <w:color w:val="auto"/>
          <w:sz w:val="32"/>
          <w:szCs w:val="32"/>
          <w:highlight w:val="none"/>
        </w:rPr>
        <w:t>：</w:t>
      </w:r>
      <w:r>
        <w:rPr>
          <w:rFonts w:hint="eastAsia" w:hAnsi="宋体"/>
          <w:b/>
          <w:color w:val="auto"/>
          <w:sz w:val="32"/>
          <w:szCs w:val="32"/>
          <w:highlight w:val="none"/>
          <w:lang w:val="en-US" w:eastAsia="zh-CN"/>
        </w:rPr>
        <w:t xml:space="preserve"> SCIT-ZT-SX2024020001 </w:t>
      </w:r>
    </w:p>
    <w:p>
      <w:pPr>
        <w:spacing w:line="360" w:lineRule="auto"/>
        <w:jc w:val="center"/>
        <w:rPr>
          <w:b/>
          <w:color w:val="auto"/>
          <w:sz w:val="28"/>
          <w:szCs w:val="28"/>
          <w:highlight w:val="none"/>
        </w:rPr>
      </w:pPr>
    </w:p>
    <w:p>
      <w:pPr>
        <w:jc w:val="center"/>
        <w:rPr>
          <w:rFonts w:hAnsi="宋体"/>
          <w:b/>
          <w:color w:val="auto"/>
          <w:sz w:val="40"/>
          <w:szCs w:val="40"/>
          <w:highlight w:val="none"/>
        </w:rPr>
      </w:pPr>
    </w:p>
    <w:p>
      <w:pPr>
        <w:pStyle w:val="18"/>
        <w:jc w:val="center"/>
        <w:rPr>
          <w:rFonts w:hint="eastAsia" w:ascii="Times New Roman" w:hAnsi="宋体" w:eastAsia="宋体" w:cs="Times New Roman"/>
          <w:b/>
          <w:color w:val="auto"/>
          <w:sz w:val="48"/>
          <w:szCs w:val="48"/>
          <w:highlight w:val="none"/>
          <w:lang w:val="en-US" w:eastAsia="zh-CN" w:bidi="ar-SA"/>
        </w:rPr>
      </w:pPr>
      <w:r>
        <w:rPr>
          <w:rFonts w:hint="eastAsia" w:ascii="Times New Roman" w:hAnsi="宋体" w:eastAsia="宋体" w:cs="Times New Roman"/>
          <w:b/>
          <w:color w:val="auto"/>
          <w:sz w:val="48"/>
          <w:szCs w:val="48"/>
          <w:highlight w:val="none"/>
          <w:lang w:val="en-US" w:eastAsia="zh-CN" w:bidi="ar-SA"/>
        </w:rPr>
        <w:t>蓝田县滋水学校营养午餐改善计划</w:t>
      </w:r>
    </w:p>
    <w:p>
      <w:pPr>
        <w:pStyle w:val="18"/>
        <w:jc w:val="center"/>
        <w:rPr>
          <w:rFonts w:hint="eastAsia" w:ascii="Times New Roman" w:hAnsi="宋体" w:eastAsia="宋体" w:cs="Times New Roman"/>
          <w:b/>
          <w:color w:val="auto"/>
          <w:sz w:val="48"/>
          <w:szCs w:val="48"/>
          <w:highlight w:val="none"/>
          <w:lang w:val="en-US" w:eastAsia="zh-CN" w:bidi="ar-SA"/>
        </w:rPr>
      </w:pPr>
      <w:r>
        <w:rPr>
          <w:rFonts w:hint="eastAsia" w:ascii="Times New Roman" w:hAnsi="宋体" w:eastAsia="宋体" w:cs="Times New Roman"/>
          <w:b/>
          <w:color w:val="auto"/>
          <w:sz w:val="48"/>
          <w:szCs w:val="48"/>
          <w:highlight w:val="none"/>
          <w:lang w:val="en-US" w:eastAsia="zh-CN" w:bidi="ar-SA"/>
        </w:rPr>
        <w:t>服务项目</w:t>
      </w:r>
    </w:p>
    <w:p>
      <w:pPr>
        <w:spacing w:line="720" w:lineRule="auto"/>
        <w:jc w:val="center"/>
        <w:rPr>
          <w:rFonts w:ascii="Times New Roman" w:hAnsi="宋体" w:eastAsia="宋体" w:cs="Times New Roman"/>
          <w:b/>
          <w:color w:val="auto"/>
          <w:sz w:val="48"/>
          <w:szCs w:val="48"/>
          <w:highlight w:val="none"/>
          <w:lang w:val="en-US" w:eastAsia="zh-CN" w:bidi="ar-SA"/>
        </w:rPr>
      </w:pPr>
    </w:p>
    <w:p>
      <w:pPr>
        <w:spacing w:line="720" w:lineRule="auto"/>
        <w:jc w:val="center"/>
        <w:rPr>
          <w:rFonts w:ascii="Times New Roman" w:hAnsi="宋体" w:eastAsia="宋体" w:cs="Times New Roman"/>
          <w:b/>
          <w:color w:val="auto"/>
          <w:sz w:val="48"/>
          <w:szCs w:val="48"/>
          <w:highlight w:val="none"/>
          <w:lang w:val="en-US" w:eastAsia="zh-CN" w:bidi="ar-SA"/>
        </w:rPr>
      </w:pPr>
      <w:r>
        <w:rPr>
          <w:rFonts w:ascii="Times New Roman" w:hAnsi="宋体" w:eastAsia="宋体" w:cs="Times New Roman"/>
          <w:b/>
          <w:color w:val="auto"/>
          <w:sz w:val="48"/>
          <w:szCs w:val="48"/>
          <w:highlight w:val="none"/>
          <w:lang w:val="en-US" w:eastAsia="zh-CN" w:bidi="ar-SA"/>
        </w:rPr>
        <w:t>竞争性谈判文件</w:t>
      </w:r>
    </w:p>
    <w:p>
      <w:pPr>
        <w:spacing w:line="360" w:lineRule="auto"/>
        <w:ind w:firstLine="414" w:firstLineChars="148"/>
        <w:rPr>
          <w:color w:val="auto"/>
          <w:sz w:val="28"/>
          <w:szCs w:val="28"/>
          <w:highlight w:val="none"/>
        </w:rPr>
      </w:pPr>
    </w:p>
    <w:p>
      <w:pPr>
        <w:spacing w:line="360" w:lineRule="auto"/>
        <w:ind w:firstLine="414" w:firstLineChars="148"/>
        <w:rPr>
          <w:color w:val="auto"/>
          <w:sz w:val="28"/>
          <w:szCs w:val="28"/>
          <w:highlight w:val="none"/>
        </w:rPr>
      </w:pPr>
    </w:p>
    <w:p>
      <w:pPr>
        <w:spacing w:line="360" w:lineRule="auto"/>
        <w:ind w:firstLine="414" w:firstLineChars="148"/>
        <w:rPr>
          <w:color w:val="auto"/>
          <w:sz w:val="28"/>
          <w:szCs w:val="28"/>
          <w:highlight w:val="none"/>
        </w:rPr>
      </w:pPr>
    </w:p>
    <w:p>
      <w:pPr>
        <w:spacing w:line="360" w:lineRule="auto"/>
        <w:ind w:firstLine="414" w:firstLineChars="148"/>
        <w:rPr>
          <w:color w:val="auto"/>
          <w:sz w:val="28"/>
          <w:szCs w:val="28"/>
          <w:highlight w:val="none"/>
        </w:rPr>
      </w:pPr>
    </w:p>
    <w:p>
      <w:pPr>
        <w:pStyle w:val="18"/>
        <w:rPr>
          <w:color w:val="auto"/>
          <w:highlight w:val="none"/>
        </w:rPr>
      </w:pPr>
    </w:p>
    <w:p>
      <w:pPr>
        <w:spacing w:line="360" w:lineRule="auto"/>
        <w:ind w:firstLine="414" w:firstLineChars="148"/>
        <w:rPr>
          <w:color w:val="auto"/>
          <w:sz w:val="28"/>
          <w:szCs w:val="28"/>
          <w:highlight w:val="none"/>
        </w:rPr>
      </w:pPr>
    </w:p>
    <w:p>
      <w:pPr>
        <w:spacing w:line="360" w:lineRule="auto"/>
        <w:ind w:firstLine="414" w:firstLineChars="148"/>
        <w:rPr>
          <w:color w:val="auto"/>
          <w:sz w:val="28"/>
          <w:szCs w:val="28"/>
          <w:highlight w:val="none"/>
        </w:rPr>
      </w:pPr>
    </w:p>
    <w:p>
      <w:pPr>
        <w:jc w:val="center"/>
        <w:rPr>
          <w:rFonts w:hint="eastAsia" w:hAnsi="宋体" w:eastAsia="宋体"/>
          <w:b/>
          <w:color w:val="auto"/>
          <w:sz w:val="32"/>
          <w:szCs w:val="32"/>
          <w:highlight w:val="none"/>
          <w:lang w:eastAsia="zh-CN"/>
        </w:rPr>
      </w:pPr>
      <w:r>
        <w:rPr>
          <w:rFonts w:hint="eastAsia" w:hAnsi="宋体"/>
          <w:b/>
          <w:color w:val="auto"/>
          <w:sz w:val="32"/>
          <w:szCs w:val="32"/>
          <w:highlight w:val="none"/>
          <w:lang w:val="en-US" w:eastAsia="zh-CN"/>
        </w:rPr>
        <w:t xml:space="preserve"> </w:t>
      </w:r>
    </w:p>
    <w:p>
      <w:pPr>
        <w:spacing w:line="360" w:lineRule="auto"/>
        <w:jc w:val="center"/>
        <w:rPr>
          <w:b/>
          <w:color w:val="auto"/>
          <w:sz w:val="32"/>
          <w:szCs w:val="32"/>
          <w:highlight w:val="none"/>
        </w:rPr>
      </w:pPr>
      <w:r>
        <w:rPr>
          <w:rFonts w:hint="eastAsia"/>
          <w:b/>
          <w:color w:val="auto"/>
          <w:sz w:val="32"/>
          <w:szCs w:val="32"/>
          <w:highlight w:val="none"/>
        </w:rPr>
        <w:t>中国·陕西</w:t>
      </w:r>
    </w:p>
    <w:p>
      <w:pPr>
        <w:spacing w:line="360" w:lineRule="auto"/>
        <w:jc w:val="center"/>
        <w:rPr>
          <w:b/>
          <w:color w:val="auto"/>
          <w:kern w:val="1"/>
          <w:sz w:val="32"/>
          <w:szCs w:val="32"/>
          <w:highlight w:val="none"/>
        </w:rPr>
      </w:pPr>
      <w:r>
        <w:rPr>
          <w:rFonts w:ascii="宋体" w:hAnsi="宋体" w:cs="宋体"/>
          <w:b/>
          <w:color w:val="auto"/>
          <w:kern w:val="1"/>
          <w:sz w:val="30"/>
          <w:szCs w:val="30"/>
          <w:highlight w:val="none"/>
        </w:rPr>
        <w:t>四川国际招标有限责任公司</w:t>
      </w:r>
    </w:p>
    <w:p>
      <w:pPr>
        <w:spacing w:line="360" w:lineRule="auto"/>
        <w:jc w:val="center"/>
        <w:rPr>
          <w:rFonts w:hint="eastAsia" w:eastAsia="宋体"/>
          <w:b/>
          <w:bCs/>
          <w:color w:val="auto"/>
          <w:sz w:val="28"/>
          <w:szCs w:val="28"/>
          <w:highlight w:val="none"/>
          <w:lang w:val="en-US" w:eastAsia="zh-CN"/>
        </w:rPr>
        <w:sectPr>
          <w:headerReference w:type="default" r:id="rId3"/>
          <w:footerReference w:type="default" r:id="rId4"/>
          <w:type w:val="continuous"/>
          <w:pgSz w:w="11906" w:h="16838"/>
          <w:pgMar w:top="1440" w:right="1800" w:bottom="1440" w:left="1800" w:header="851" w:footer="992" w:gutter="0"/>
          <w:pgNumType w:start="1"/>
          <w:cols w:space="720" w:num="1"/>
          <w:docGrid w:type="lines" w:linePitch="326" w:charSpace="0"/>
        </w:sectPr>
      </w:pPr>
      <w:r>
        <w:rPr>
          <w:rFonts w:hint="eastAsia"/>
          <w:b/>
          <w:bCs/>
          <w:color w:val="auto"/>
          <w:sz w:val="28"/>
          <w:szCs w:val="28"/>
          <w:highlight w:val="none"/>
          <w:lang w:eastAsia="zh-CN"/>
        </w:rPr>
        <w:t>2024年02月</w:t>
      </w:r>
    </w:p>
    <w:p>
      <w:pPr>
        <w:spacing w:line="360" w:lineRule="auto"/>
        <w:rPr>
          <w:b/>
          <w:color w:val="auto"/>
          <w:sz w:val="36"/>
          <w:szCs w:val="28"/>
          <w:highlight w:val="none"/>
        </w:rPr>
      </w:pPr>
    </w:p>
    <w:p>
      <w:pPr>
        <w:spacing w:line="360" w:lineRule="auto"/>
        <w:jc w:val="center"/>
        <w:rPr>
          <w:b/>
          <w:color w:val="auto"/>
          <w:sz w:val="32"/>
          <w:szCs w:val="24"/>
          <w:highlight w:val="none"/>
        </w:rPr>
      </w:pPr>
      <w:r>
        <w:rPr>
          <w:rFonts w:hAnsi="宋体"/>
          <w:b/>
          <w:color w:val="auto"/>
          <w:sz w:val="32"/>
          <w:szCs w:val="24"/>
          <w:highlight w:val="none"/>
        </w:rPr>
        <w:t>目</w:t>
      </w:r>
      <w:r>
        <w:rPr>
          <w:rFonts w:hint="eastAsia" w:hAnsi="宋体"/>
          <w:b/>
          <w:color w:val="auto"/>
          <w:sz w:val="32"/>
          <w:szCs w:val="24"/>
          <w:highlight w:val="none"/>
          <w:lang w:val="en-US" w:eastAsia="zh-CN"/>
        </w:rPr>
        <w:t xml:space="preserve"> </w:t>
      </w:r>
      <w:r>
        <w:rPr>
          <w:rFonts w:hAnsi="宋体"/>
          <w:b/>
          <w:color w:val="auto"/>
          <w:sz w:val="32"/>
          <w:szCs w:val="24"/>
          <w:highlight w:val="none"/>
        </w:rPr>
        <w:t>录</w:t>
      </w:r>
    </w:p>
    <w:p>
      <w:pPr>
        <w:pStyle w:val="30"/>
        <w:tabs>
          <w:tab w:val="right" w:leader="dot" w:pos="8307"/>
        </w:tabs>
        <w:rPr>
          <w:b w:val="false"/>
          <w:bCs w:val="false"/>
          <w:color w:val="auto"/>
          <w:highlight w:val="none"/>
        </w:rPr>
      </w:pPr>
    </w:p>
    <w:p>
      <w:pPr>
        <w:pStyle w:val="30"/>
        <w:tabs>
          <w:tab w:val="right" w:leader="dot" w:pos="8307"/>
        </w:tabs>
        <w:rPr>
          <w:color w:val="auto"/>
          <w:highlight w:val="none"/>
        </w:rPr>
      </w:pPr>
      <w:r>
        <w:rPr>
          <w:b w:val="false"/>
          <w:bCs w:val="false"/>
          <w:color w:val="auto"/>
          <w:highlight w:val="none"/>
        </w:rPr>
        <w:fldChar w:fldCharType="begin"/>
      </w:r>
      <w:r>
        <w:rPr>
          <w:b w:val="false"/>
          <w:bCs w:val="false"/>
          <w:color w:val="auto"/>
          <w:highlight w:val="none"/>
        </w:rPr>
        <w:instrText xml:space="preserve">TOC \o "1-1" \h \u </w:instrText>
      </w:r>
      <w:r>
        <w:rPr>
          <w:b w:val="false"/>
          <w:bCs w:val="false"/>
          <w:color w:val="auto"/>
          <w:highlight w:val="none"/>
        </w:rPr>
        <w:fldChar w:fldCharType="separate"/>
      </w:r>
      <w:r>
        <w:rPr>
          <w:bCs w:val="false"/>
          <w:color w:val="auto"/>
          <w:highlight w:val="none"/>
        </w:rPr>
        <w:fldChar w:fldCharType="begin"/>
      </w:r>
      <w:r>
        <w:rPr>
          <w:bCs w:val="false"/>
          <w:color w:val="auto"/>
          <w:highlight w:val="none"/>
        </w:rPr>
        <w:instrText xml:space="preserve"> HYPERLINK \l _Toc1717 </w:instrText>
      </w:r>
      <w:r>
        <w:rPr>
          <w:bCs w:val="false"/>
          <w:color w:val="auto"/>
          <w:highlight w:val="none"/>
        </w:rPr>
        <w:fldChar w:fldCharType="separate"/>
      </w:r>
      <w:r>
        <w:rPr>
          <w:rFonts w:hAnsi="宋体"/>
          <w:color w:val="auto"/>
          <w:szCs w:val="28"/>
          <w:highlight w:val="none"/>
        </w:rPr>
        <w:t>第一章</w:t>
      </w:r>
      <w:r>
        <w:rPr>
          <w:rFonts w:hint="eastAsia" w:hAnsi="宋体"/>
          <w:color w:val="auto"/>
          <w:szCs w:val="28"/>
          <w:highlight w:val="none"/>
        </w:rPr>
        <w:t xml:space="preserve"> </w:t>
      </w:r>
      <w:r>
        <w:rPr>
          <w:rFonts w:hAnsi="宋体"/>
          <w:color w:val="auto"/>
          <w:szCs w:val="28"/>
          <w:highlight w:val="none"/>
        </w:rPr>
        <w:t>竞争性谈判邀请公告</w:t>
      </w:r>
      <w:r>
        <w:rPr>
          <w:color w:val="auto"/>
          <w:highlight w:val="none"/>
        </w:rPr>
        <w:tab/>
      </w:r>
      <w:r>
        <w:rPr>
          <w:color w:val="auto"/>
          <w:highlight w:val="none"/>
        </w:rPr>
        <w:fldChar w:fldCharType="begin"/>
      </w:r>
      <w:r>
        <w:rPr>
          <w:color w:val="auto"/>
          <w:highlight w:val="none"/>
        </w:rPr>
        <w:instrText xml:space="preserve"> PAGEREF _Toc1717 \h </w:instrText>
      </w:r>
      <w:r>
        <w:rPr>
          <w:color w:val="auto"/>
          <w:highlight w:val="none"/>
        </w:rPr>
        <w:fldChar w:fldCharType="separate"/>
      </w:r>
      <w:r>
        <w:rPr>
          <w:color w:val="auto"/>
          <w:highlight w:val="none"/>
        </w:rPr>
        <w:t>3</w:t>
      </w:r>
      <w:r>
        <w:rPr>
          <w:color w:val="auto"/>
          <w:highlight w:val="none"/>
        </w:rPr>
        <w:fldChar w:fldCharType="end"/>
      </w:r>
      <w:r>
        <w:rPr>
          <w:bCs w:val="false"/>
          <w:color w:val="auto"/>
          <w:highlight w:val="none"/>
        </w:rPr>
        <w:fldChar w:fldCharType="end"/>
      </w:r>
    </w:p>
    <w:p>
      <w:pPr>
        <w:pStyle w:val="30"/>
        <w:tabs>
          <w:tab w:val="right" w:leader="dot" w:pos="8307"/>
        </w:tabs>
        <w:rPr>
          <w:color w:val="auto"/>
          <w:highlight w:val="none"/>
        </w:rPr>
      </w:pPr>
      <w:r>
        <w:rPr>
          <w:bCs/>
          <w:color w:val="auto"/>
          <w:highlight w:val="none"/>
        </w:rPr>
        <w:fldChar w:fldCharType="begin"/>
      </w:r>
      <w:r>
        <w:rPr>
          <w:bCs/>
          <w:color w:val="auto"/>
          <w:highlight w:val="none"/>
        </w:rPr>
        <w:instrText xml:space="preserve"> HYPERLINK \l _Toc29838 </w:instrText>
      </w:r>
      <w:r>
        <w:rPr>
          <w:bCs/>
          <w:color w:val="auto"/>
          <w:highlight w:val="none"/>
        </w:rPr>
        <w:fldChar w:fldCharType="separate"/>
      </w:r>
      <w:r>
        <w:rPr>
          <w:rFonts w:hAnsi="宋体"/>
          <w:color w:val="auto"/>
          <w:szCs w:val="28"/>
          <w:highlight w:val="none"/>
        </w:rPr>
        <w:t>第二章  谈判须知</w:t>
      </w:r>
      <w:r>
        <w:rPr>
          <w:color w:val="auto"/>
          <w:highlight w:val="none"/>
        </w:rPr>
        <w:tab/>
      </w:r>
      <w:r>
        <w:rPr>
          <w:color w:val="auto"/>
          <w:highlight w:val="none"/>
        </w:rPr>
        <w:fldChar w:fldCharType="begin"/>
      </w:r>
      <w:r>
        <w:rPr>
          <w:color w:val="auto"/>
          <w:highlight w:val="none"/>
        </w:rPr>
        <w:instrText xml:space="preserve"> PAGEREF _Toc29838 \h </w:instrText>
      </w:r>
      <w:r>
        <w:rPr>
          <w:color w:val="auto"/>
          <w:highlight w:val="none"/>
        </w:rPr>
        <w:fldChar w:fldCharType="separate"/>
      </w:r>
      <w:r>
        <w:rPr>
          <w:color w:val="auto"/>
          <w:highlight w:val="none"/>
        </w:rPr>
        <w:t>5</w:t>
      </w:r>
      <w:r>
        <w:rPr>
          <w:color w:val="auto"/>
          <w:highlight w:val="none"/>
        </w:rPr>
        <w:fldChar w:fldCharType="end"/>
      </w:r>
      <w:r>
        <w:rPr>
          <w:bCs/>
          <w:color w:val="auto"/>
          <w:highlight w:val="none"/>
        </w:rPr>
        <w:fldChar w:fldCharType="end"/>
      </w:r>
    </w:p>
    <w:p>
      <w:pPr>
        <w:pStyle w:val="30"/>
        <w:tabs>
          <w:tab w:val="right" w:leader="dot" w:pos="8307"/>
        </w:tabs>
        <w:rPr>
          <w:color w:val="auto"/>
          <w:highlight w:val="none"/>
        </w:rPr>
      </w:pPr>
      <w:r>
        <w:rPr>
          <w:bCs/>
          <w:color w:val="auto"/>
          <w:highlight w:val="none"/>
        </w:rPr>
        <w:fldChar w:fldCharType="begin"/>
      </w:r>
      <w:r>
        <w:rPr>
          <w:bCs/>
          <w:color w:val="auto"/>
          <w:highlight w:val="none"/>
        </w:rPr>
        <w:instrText xml:space="preserve"> HYPERLINK \l _Toc6216 </w:instrText>
      </w:r>
      <w:r>
        <w:rPr>
          <w:bCs/>
          <w:color w:val="auto"/>
          <w:highlight w:val="none"/>
        </w:rPr>
        <w:fldChar w:fldCharType="separate"/>
      </w:r>
      <w:r>
        <w:rPr>
          <w:rFonts w:ascii="Times New Roman" w:hAnsi="Times New Roman" w:eastAsia="宋体" w:cs="Times New Roman"/>
          <w:color w:val="auto"/>
          <w:kern w:val="0"/>
          <w:szCs w:val="40"/>
          <w:highlight w:val="none"/>
          <w:lang w:val="en-US" w:eastAsia="zh-CN" w:bidi="ar-SA"/>
        </w:rPr>
        <w:t>第三章供应商资格证明文件</w:t>
      </w:r>
      <w:r>
        <w:rPr>
          <w:color w:val="auto"/>
          <w:highlight w:val="none"/>
        </w:rPr>
        <w:tab/>
      </w:r>
      <w:r>
        <w:rPr>
          <w:color w:val="auto"/>
          <w:highlight w:val="none"/>
        </w:rPr>
        <w:fldChar w:fldCharType="begin"/>
      </w:r>
      <w:r>
        <w:rPr>
          <w:color w:val="auto"/>
          <w:highlight w:val="none"/>
        </w:rPr>
        <w:instrText xml:space="preserve"> PAGEREF _Toc6216 \h </w:instrText>
      </w:r>
      <w:r>
        <w:rPr>
          <w:color w:val="auto"/>
          <w:highlight w:val="none"/>
        </w:rPr>
        <w:fldChar w:fldCharType="separate"/>
      </w:r>
      <w:r>
        <w:rPr>
          <w:color w:val="auto"/>
          <w:highlight w:val="none"/>
        </w:rPr>
        <w:t>14</w:t>
      </w:r>
      <w:r>
        <w:rPr>
          <w:color w:val="auto"/>
          <w:highlight w:val="none"/>
        </w:rPr>
        <w:fldChar w:fldCharType="end"/>
      </w:r>
      <w:r>
        <w:rPr>
          <w:bCs/>
          <w:color w:val="auto"/>
          <w:highlight w:val="none"/>
        </w:rPr>
        <w:fldChar w:fldCharType="end"/>
      </w:r>
    </w:p>
    <w:p>
      <w:pPr>
        <w:pStyle w:val="30"/>
        <w:tabs>
          <w:tab w:val="right" w:leader="dot" w:pos="8307"/>
        </w:tabs>
        <w:rPr>
          <w:color w:val="auto"/>
          <w:highlight w:val="none"/>
        </w:rPr>
      </w:pPr>
      <w:r>
        <w:rPr>
          <w:bCs/>
          <w:color w:val="auto"/>
          <w:highlight w:val="none"/>
        </w:rPr>
        <w:fldChar w:fldCharType="begin"/>
      </w:r>
      <w:r>
        <w:rPr>
          <w:bCs/>
          <w:color w:val="auto"/>
          <w:highlight w:val="none"/>
        </w:rPr>
        <w:instrText xml:space="preserve"> HYPERLINK \l _Toc19381 </w:instrText>
      </w:r>
      <w:r>
        <w:rPr>
          <w:bCs/>
          <w:color w:val="auto"/>
          <w:highlight w:val="none"/>
        </w:rPr>
        <w:fldChar w:fldCharType="separate"/>
      </w:r>
      <w:r>
        <w:rPr>
          <w:color w:val="auto"/>
          <w:szCs w:val="40"/>
          <w:highlight w:val="none"/>
        </w:rPr>
        <w:t>第四章  货物服务技术规格、商务条件说明</w:t>
      </w:r>
      <w:r>
        <w:rPr>
          <w:color w:val="auto"/>
          <w:highlight w:val="none"/>
        </w:rPr>
        <w:tab/>
      </w:r>
      <w:r>
        <w:rPr>
          <w:color w:val="auto"/>
          <w:highlight w:val="none"/>
        </w:rPr>
        <w:fldChar w:fldCharType="begin"/>
      </w:r>
      <w:r>
        <w:rPr>
          <w:color w:val="auto"/>
          <w:highlight w:val="none"/>
        </w:rPr>
        <w:instrText xml:space="preserve"> PAGEREF _Toc19381 \h </w:instrText>
      </w:r>
      <w:r>
        <w:rPr>
          <w:color w:val="auto"/>
          <w:highlight w:val="none"/>
        </w:rPr>
        <w:fldChar w:fldCharType="separate"/>
      </w:r>
      <w:r>
        <w:rPr>
          <w:color w:val="auto"/>
          <w:highlight w:val="none"/>
        </w:rPr>
        <w:t>16</w:t>
      </w:r>
      <w:r>
        <w:rPr>
          <w:color w:val="auto"/>
          <w:highlight w:val="none"/>
        </w:rPr>
        <w:fldChar w:fldCharType="end"/>
      </w:r>
      <w:r>
        <w:rPr>
          <w:bCs/>
          <w:color w:val="auto"/>
          <w:highlight w:val="none"/>
        </w:rPr>
        <w:fldChar w:fldCharType="end"/>
      </w:r>
    </w:p>
    <w:p>
      <w:pPr>
        <w:pStyle w:val="30"/>
        <w:tabs>
          <w:tab w:val="right" w:leader="dot" w:pos="8307"/>
        </w:tabs>
        <w:rPr>
          <w:color w:val="auto"/>
          <w:highlight w:val="none"/>
        </w:rPr>
      </w:pPr>
      <w:r>
        <w:rPr>
          <w:bCs/>
          <w:color w:val="auto"/>
          <w:highlight w:val="none"/>
        </w:rPr>
        <w:fldChar w:fldCharType="begin"/>
      </w:r>
      <w:r>
        <w:rPr>
          <w:bCs/>
          <w:color w:val="auto"/>
          <w:highlight w:val="none"/>
        </w:rPr>
        <w:instrText xml:space="preserve"> HYPERLINK \l _Toc25165 </w:instrText>
      </w:r>
      <w:r>
        <w:rPr>
          <w:bCs/>
          <w:color w:val="auto"/>
          <w:highlight w:val="none"/>
        </w:rPr>
        <w:fldChar w:fldCharType="separate"/>
      </w:r>
      <w:r>
        <w:rPr>
          <w:rFonts w:hint="eastAsia"/>
          <w:color w:val="auto"/>
          <w:szCs w:val="36"/>
          <w:highlight w:val="none"/>
        </w:rPr>
        <w:t>第五章 评审方法</w:t>
      </w:r>
      <w:r>
        <w:rPr>
          <w:color w:val="auto"/>
          <w:highlight w:val="none"/>
        </w:rPr>
        <w:tab/>
      </w:r>
      <w:r>
        <w:rPr>
          <w:color w:val="auto"/>
          <w:highlight w:val="none"/>
        </w:rPr>
        <w:fldChar w:fldCharType="begin"/>
      </w:r>
      <w:r>
        <w:rPr>
          <w:color w:val="auto"/>
          <w:highlight w:val="none"/>
        </w:rPr>
        <w:instrText xml:space="preserve"> PAGEREF _Toc25165 \h </w:instrText>
      </w:r>
      <w:r>
        <w:rPr>
          <w:color w:val="auto"/>
          <w:highlight w:val="none"/>
        </w:rPr>
        <w:fldChar w:fldCharType="separate"/>
      </w:r>
      <w:r>
        <w:rPr>
          <w:color w:val="auto"/>
          <w:highlight w:val="none"/>
        </w:rPr>
        <w:t>25</w:t>
      </w:r>
      <w:r>
        <w:rPr>
          <w:color w:val="auto"/>
          <w:highlight w:val="none"/>
        </w:rPr>
        <w:fldChar w:fldCharType="end"/>
      </w:r>
      <w:r>
        <w:rPr>
          <w:bCs/>
          <w:color w:val="auto"/>
          <w:highlight w:val="none"/>
        </w:rPr>
        <w:fldChar w:fldCharType="end"/>
      </w:r>
    </w:p>
    <w:p>
      <w:pPr>
        <w:pStyle w:val="30"/>
        <w:tabs>
          <w:tab w:val="right" w:leader="dot" w:pos="8307"/>
        </w:tabs>
        <w:rPr>
          <w:color w:val="auto"/>
          <w:highlight w:val="none"/>
        </w:rPr>
      </w:pPr>
      <w:r>
        <w:rPr>
          <w:bCs/>
          <w:color w:val="auto"/>
          <w:highlight w:val="none"/>
        </w:rPr>
        <w:fldChar w:fldCharType="begin"/>
      </w:r>
      <w:r>
        <w:rPr>
          <w:bCs/>
          <w:color w:val="auto"/>
          <w:highlight w:val="none"/>
        </w:rPr>
        <w:instrText xml:space="preserve"> HYPERLINK \l _Toc9693 </w:instrText>
      </w:r>
      <w:r>
        <w:rPr>
          <w:bCs/>
          <w:color w:val="auto"/>
          <w:highlight w:val="none"/>
        </w:rPr>
        <w:fldChar w:fldCharType="separate"/>
      </w:r>
      <w:r>
        <w:rPr>
          <w:rFonts w:ascii="Times New Roman" w:hAnsi="Times New Roman" w:eastAsia="宋体" w:cs="Times New Roman"/>
          <w:bCs/>
          <w:color w:val="auto"/>
          <w:kern w:val="2"/>
          <w:szCs w:val="40"/>
          <w:highlight w:val="none"/>
          <w:lang w:val="en-US" w:eastAsia="zh-CN" w:bidi="ar-SA"/>
        </w:rPr>
        <w:t>第六章  合同草案条款（参考文本）</w:t>
      </w:r>
      <w:r>
        <w:rPr>
          <w:color w:val="auto"/>
          <w:highlight w:val="none"/>
        </w:rPr>
        <w:tab/>
      </w:r>
      <w:r>
        <w:rPr>
          <w:color w:val="auto"/>
          <w:highlight w:val="none"/>
        </w:rPr>
        <w:fldChar w:fldCharType="begin"/>
      </w:r>
      <w:r>
        <w:rPr>
          <w:color w:val="auto"/>
          <w:highlight w:val="none"/>
        </w:rPr>
        <w:instrText xml:space="preserve"> PAGEREF _Toc9693 \h </w:instrText>
      </w:r>
      <w:r>
        <w:rPr>
          <w:color w:val="auto"/>
          <w:highlight w:val="none"/>
        </w:rPr>
        <w:fldChar w:fldCharType="separate"/>
      </w:r>
      <w:r>
        <w:rPr>
          <w:color w:val="auto"/>
          <w:highlight w:val="none"/>
        </w:rPr>
        <w:t>28</w:t>
      </w:r>
      <w:r>
        <w:rPr>
          <w:color w:val="auto"/>
          <w:highlight w:val="none"/>
        </w:rPr>
        <w:fldChar w:fldCharType="end"/>
      </w:r>
      <w:r>
        <w:rPr>
          <w:bCs/>
          <w:color w:val="auto"/>
          <w:highlight w:val="none"/>
        </w:rPr>
        <w:fldChar w:fldCharType="end"/>
      </w:r>
    </w:p>
    <w:p>
      <w:pPr>
        <w:pStyle w:val="30"/>
        <w:tabs>
          <w:tab w:val="right" w:leader="dot" w:pos="8307"/>
        </w:tabs>
        <w:rPr>
          <w:color w:val="auto"/>
          <w:highlight w:val="none"/>
        </w:rPr>
      </w:pPr>
      <w:r>
        <w:rPr>
          <w:bCs/>
          <w:color w:val="auto"/>
          <w:highlight w:val="none"/>
        </w:rPr>
        <w:fldChar w:fldCharType="begin"/>
      </w:r>
      <w:r>
        <w:rPr>
          <w:bCs/>
          <w:color w:val="auto"/>
          <w:highlight w:val="none"/>
        </w:rPr>
        <w:instrText xml:space="preserve"> HYPERLINK \l _Toc14167 </w:instrText>
      </w:r>
      <w:r>
        <w:rPr>
          <w:bCs/>
          <w:color w:val="auto"/>
          <w:highlight w:val="none"/>
        </w:rPr>
        <w:fldChar w:fldCharType="separate"/>
      </w:r>
      <w:r>
        <w:rPr>
          <w:rFonts w:ascii="Times New Roman" w:hAnsi="Times New Roman"/>
          <w:color w:val="auto"/>
          <w:szCs w:val="40"/>
          <w:highlight w:val="none"/>
        </w:rPr>
        <w:t>第七章  响应文件（格式）</w:t>
      </w:r>
      <w:r>
        <w:rPr>
          <w:color w:val="auto"/>
          <w:highlight w:val="none"/>
        </w:rPr>
        <w:tab/>
      </w:r>
      <w:r>
        <w:rPr>
          <w:color w:val="auto"/>
          <w:highlight w:val="none"/>
        </w:rPr>
        <w:fldChar w:fldCharType="begin"/>
      </w:r>
      <w:r>
        <w:rPr>
          <w:color w:val="auto"/>
          <w:highlight w:val="none"/>
        </w:rPr>
        <w:instrText xml:space="preserve"> PAGEREF _Toc14167 \h </w:instrText>
      </w:r>
      <w:r>
        <w:rPr>
          <w:color w:val="auto"/>
          <w:highlight w:val="none"/>
        </w:rPr>
        <w:fldChar w:fldCharType="separate"/>
      </w:r>
      <w:r>
        <w:rPr>
          <w:color w:val="auto"/>
          <w:highlight w:val="none"/>
        </w:rPr>
        <w:t>32</w:t>
      </w:r>
      <w:r>
        <w:rPr>
          <w:color w:val="auto"/>
          <w:highlight w:val="none"/>
        </w:rPr>
        <w:fldChar w:fldCharType="end"/>
      </w:r>
      <w:r>
        <w:rPr>
          <w:bCs/>
          <w:color w:val="auto"/>
          <w:highlight w:val="none"/>
        </w:rPr>
        <w:fldChar w:fldCharType="end"/>
      </w:r>
    </w:p>
    <w:p>
      <w:pPr>
        <w:autoSpaceDE w:val="false"/>
        <w:autoSpaceDN w:val="false"/>
        <w:snapToGrid w:val="false"/>
        <w:spacing w:before="100" w:beforeAutospacing="true" w:after="100" w:afterAutospacing="true" w:line="800" w:lineRule="exact"/>
        <w:rPr>
          <w:b/>
          <w:bCs/>
          <w:color w:val="auto"/>
          <w:highlight w:val="none"/>
        </w:rPr>
      </w:pPr>
      <w:r>
        <w:rPr>
          <w:bCs/>
          <w:color w:val="auto"/>
          <w:highlight w:val="none"/>
        </w:rPr>
        <w:fldChar w:fldCharType="end"/>
      </w:r>
      <w:r>
        <w:rPr>
          <w:rFonts w:hint="eastAsia"/>
          <w:bCs/>
          <w:color w:val="auto"/>
          <w:highlight w:val="none"/>
        </w:rPr>
        <w:t xml:space="preserve">    </w:t>
      </w:r>
    </w:p>
    <w:p>
      <w:pPr>
        <w:spacing w:line="360" w:lineRule="auto"/>
        <w:rPr>
          <w:b/>
          <w:color w:val="auto"/>
          <w:sz w:val="36"/>
          <w:szCs w:val="28"/>
          <w:highlight w:val="none"/>
        </w:rPr>
      </w:pPr>
    </w:p>
    <w:p>
      <w:pPr>
        <w:spacing w:line="360" w:lineRule="auto"/>
        <w:jc w:val="center"/>
        <w:outlineLvl w:val="0"/>
        <w:rPr>
          <w:b/>
          <w:color w:val="auto"/>
          <w:sz w:val="28"/>
          <w:szCs w:val="28"/>
          <w:highlight w:val="none"/>
        </w:rPr>
      </w:pPr>
      <w:r>
        <w:rPr>
          <w:b/>
          <w:color w:val="auto"/>
          <w:sz w:val="36"/>
          <w:szCs w:val="28"/>
          <w:highlight w:val="none"/>
        </w:rPr>
        <w:br w:type="page"/>
      </w:r>
      <w:bookmarkStart w:name="_Toc1717" w:id="0"/>
      <w:bookmarkStart w:name="_Toc3873" w:id="1"/>
      <w:bookmarkStart w:name="_Toc417905804" w:id="2"/>
      <w:bookmarkStart w:name="_Toc1547" w:id="3"/>
      <w:r>
        <w:rPr>
          <w:rFonts w:hAnsi="宋体"/>
          <w:b/>
          <w:color w:val="auto"/>
          <w:sz w:val="40"/>
          <w:szCs w:val="28"/>
          <w:highlight w:val="none"/>
        </w:rPr>
        <w:t>第一章</w:t>
      </w:r>
      <w:r>
        <w:rPr>
          <w:rFonts w:hint="eastAsia" w:hAnsi="宋体"/>
          <w:b/>
          <w:color w:val="auto"/>
          <w:sz w:val="40"/>
          <w:szCs w:val="28"/>
          <w:highlight w:val="none"/>
        </w:rPr>
        <w:t xml:space="preserve"> </w:t>
      </w:r>
      <w:r>
        <w:rPr>
          <w:rFonts w:hAnsi="宋体"/>
          <w:b/>
          <w:color w:val="auto"/>
          <w:sz w:val="40"/>
          <w:szCs w:val="28"/>
          <w:highlight w:val="none"/>
        </w:rPr>
        <w:t>竞争性谈判邀请公告</w:t>
      </w:r>
      <w:bookmarkEnd w:id="0"/>
      <w:bookmarkEnd w:id="1"/>
      <w:bookmarkEnd w:id="2"/>
      <w:bookmarkEnd w:id="3"/>
    </w:p>
    <w:p>
      <w:pPr>
        <w:pStyle w:val="39"/>
        <w:spacing w:before="0" w:beforeAutospacing="false" w:after="0" w:afterAutospacing="false" w:line="360" w:lineRule="auto"/>
        <w:ind w:firstLine="480" w:firstLineChars="200"/>
        <w:rPr>
          <w:rFonts w:asciiTheme="minorEastAsia" w:hAnsiTheme="minorEastAsia" w:eastAsiaTheme="minorEastAsia"/>
          <w:color w:val="auto"/>
          <w:highlight w:val="none"/>
        </w:rPr>
      </w:pPr>
      <w:bookmarkStart w:name="_Toc24146" w:id="4"/>
      <w:bookmarkStart w:name="_Toc21058" w:id="5"/>
      <w:bookmarkStart w:name="_Toc12370" w:id="6"/>
      <w:bookmarkStart w:name="_Toc417905805" w:id="7"/>
      <w:r>
        <w:rPr>
          <w:rFonts w:hint="eastAsia" w:asciiTheme="minorEastAsia" w:hAnsiTheme="minorEastAsia" w:eastAsiaTheme="minorEastAsia"/>
          <w:color w:val="auto"/>
          <w:highlight w:val="none"/>
        </w:rPr>
        <w:t>四川国际招标有限责任公司受</w:t>
      </w:r>
      <w:r>
        <w:rPr>
          <w:rFonts w:hint="eastAsia" w:asciiTheme="minorEastAsia" w:hAnsiTheme="minorEastAsia" w:eastAsiaTheme="minorEastAsia"/>
          <w:color w:val="auto"/>
          <w:highlight w:val="none"/>
          <w:lang w:eastAsia="zh-CN"/>
        </w:rPr>
        <w:t>西安市蓝田县教育和科学技术局（本级）</w:t>
      </w:r>
      <w:r>
        <w:rPr>
          <w:rFonts w:hint="eastAsia" w:asciiTheme="minorEastAsia" w:hAnsiTheme="minorEastAsia" w:eastAsiaTheme="minorEastAsia"/>
          <w:color w:val="auto"/>
          <w:highlight w:val="none"/>
        </w:rPr>
        <w:t>的委托，</w:t>
      </w:r>
      <w:r>
        <w:rPr>
          <w:rFonts w:hint="eastAsia" w:asciiTheme="minorEastAsia" w:hAnsiTheme="minorEastAsia" w:eastAsiaTheme="minorEastAsia"/>
          <w:color w:val="auto"/>
          <w:highlight w:val="none"/>
          <w:lang w:eastAsia="zh-CN"/>
        </w:rPr>
        <w:t>按照政府采购程序，</w:t>
      </w:r>
      <w:r>
        <w:rPr>
          <w:rFonts w:hint="eastAsia" w:asciiTheme="minorEastAsia" w:hAnsiTheme="minorEastAsia" w:eastAsiaTheme="minorEastAsia"/>
          <w:color w:val="auto"/>
          <w:highlight w:val="none"/>
        </w:rPr>
        <w:t>拟对</w:t>
      </w:r>
      <w:r>
        <w:rPr>
          <w:rFonts w:hint="eastAsia" w:asciiTheme="minorEastAsia" w:hAnsiTheme="minorEastAsia" w:eastAsiaTheme="minorEastAsia"/>
          <w:color w:val="auto"/>
          <w:highlight w:val="none"/>
          <w:lang w:eastAsia="zh-CN"/>
        </w:rPr>
        <w:t>蓝田县滋水学校营养午餐改善计划服务项目</w:t>
      </w:r>
      <w:r>
        <w:rPr>
          <w:rFonts w:hint="eastAsia" w:asciiTheme="minorEastAsia" w:hAnsiTheme="minorEastAsia" w:eastAsiaTheme="minorEastAsia"/>
          <w:color w:val="auto"/>
          <w:highlight w:val="none"/>
        </w:rPr>
        <w:t>进行竞争性谈判采购，欢迎符合资格条件的、有能力提供本项目所需服务的供应商参加此次谈判。</w:t>
      </w:r>
    </w:p>
    <w:p>
      <w:pPr>
        <w:pStyle w:val="39"/>
        <w:spacing w:before="0" w:beforeAutospacing="false" w:after="0" w:afterAutospacing="false" w:line="360" w:lineRule="auto"/>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highlight w:val="none"/>
        </w:rPr>
        <w:t>一、采购项目名称：</w:t>
      </w:r>
      <w:bookmarkStart w:name="_GoBack" w:id="79"/>
      <w:r>
        <w:rPr>
          <w:rFonts w:hint="eastAsia" w:asciiTheme="minorEastAsia" w:hAnsiTheme="minorEastAsia" w:eastAsiaTheme="minorEastAsia"/>
          <w:color w:val="auto"/>
          <w:highlight w:val="none"/>
          <w:lang w:eastAsia="zh-CN"/>
        </w:rPr>
        <w:t>蓝田县滋水学校营养午餐改善计划服务项目</w:t>
      </w:r>
      <w:bookmarkEnd w:id="79"/>
    </w:p>
    <w:p>
      <w:pPr>
        <w:pStyle w:val="39"/>
        <w:spacing w:before="0" w:beforeAutospacing="false" w:after="0" w:afterAutospacing="false"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二、采购项目编号：</w:t>
      </w:r>
      <w:r>
        <w:rPr>
          <w:rFonts w:hint="eastAsia" w:asciiTheme="minorEastAsia" w:hAnsiTheme="minorEastAsia" w:eastAsiaTheme="minorEastAsia"/>
          <w:color w:val="auto"/>
          <w:highlight w:val="none"/>
          <w:lang w:eastAsia="zh-CN"/>
        </w:rPr>
        <w:t>SCIT-ZT-SX2024020001</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rPr>
        <w:t xml:space="preserve">    </w:t>
      </w:r>
    </w:p>
    <w:p>
      <w:pPr>
        <w:pStyle w:val="39"/>
        <w:spacing w:before="0" w:beforeAutospacing="false" w:after="0" w:afterAutospacing="false" w:line="360" w:lineRule="auto"/>
        <w:rPr>
          <w:rFonts w:hint="eastAsia" w:cs="Times New Roman" w:asciiTheme="minorEastAsia" w:hAnsiTheme="minorEastAsia" w:eastAsiaTheme="minorEastAsia"/>
          <w:color w:val="auto"/>
          <w:highlight w:val="none"/>
          <w:lang w:eastAsia="zh-CN"/>
        </w:rPr>
      </w:pPr>
      <w:r>
        <w:rPr>
          <w:rFonts w:hint="eastAsia" w:cs="Times New Roman" w:asciiTheme="minorEastAsia" w:hAnsiTheme="minorEastAsia" w:eastAsiaTheme="minorEastAsia"/>
          <w:color w:val="auto"/>
          <w:highlight w:val="none"/>
        </w:rPr>
        <w:t>三、采购人名称：</w:t>
      </w:r>
      <w:r>
        <w:rPr>
          <w:rFonts w:hint="eastAsia" w:cs="Times New Roman" w:asciiTheme="minorEastAsia" w:hAnsiTheme="minorEastAsia" w:eastAsiaTheme="minorEastAsia"/>
          <w:color w:val="auto"/>
          <w:highlight w:val="none"/>
          <w:lang w:eastAsia="zh-CN"/>
        </w:rPr>
        <w:t>西安市蓝田县教育和科学技术局（本级）</w:t>
      </w:r>
    </w:p>
    <w:p>
      <w:pPr>
        <w:pStyle w:val="39"/>
        <w:spacing w:before="0" w:beforeAutospacing="false" w:after="0" w:afterAutospacing="false" w:line="360" w:lineRule="auto"/>
        <w:ind w:firstLine="480" w:firstLineChars="20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地   址</w:t>
      </w:r>
      <w:r>
        <w:rPr>
          <w:rFonts w:hint="eastAsia" w:cs="Times New Roman" w:asciiTheme="minorEastAsia" w:hAnsiTheme="minorEastAsia" w:eastAsiaTheme="minorEastAsia"/>
          <w:color w:val="auto"/>
          <w:highlight w:val="none"/>
          <w:lang w:val="en-US" w:eastAsia="zh-CN"/>
        </w:rPr>
        <w:t>：</w:t>
      </w:r>
      <w:r>
        <w:rPr>
          <w:color w:val="auto"/>
          <w:highlight w:val="none"/>
        </w:rPr>
        <w:t>蓝田县北环路十字东北角</w:t>
      </w:r>
    </w:p>
    <w:p>
      <w:pPr>
        <w:pStyle w:val="39"/>
        <w:spacing w:before="0" w:beforeAutospacing="false" w:after="0" w:afterAutospacing="false" w:line="360" w:lineRule="auto"/>
        <w:ind w:firstLine="480" w:firstLineChars="200"/>
        <w:rPr>
          <w:rFonts w:hint="eastAsia" w:cs="Times New Roman" w:asciiTheme="minorEastAsia" w:hAnsiTheme="minorEastAsia" w:eastAsiaTheme="minorEastAsia"/>
          <w:color w:val="auto"/>
          <w:highlight w:val="none"/>
          <w:lang w:val="en-US" w:eastAsia="zh-CN"/>
        </w:rPr>
      </w:pPr>
      <w:r>
        <w:rPr>
          <w:rFonts w:hint="eastAsia" w:cs="Times New Roman" w:asciiTheme="minorEastAsia" w:hAnsiTheme="minorEastAsia" w:eastAsiaTheme="minorEastAsia"/>
          <w:color w:val="auto"/>
          <w:highlight w:val="none"/>
        </w:rPr>
        <w:t>联系电话：</w:t>
      </w:r>
      <w:r>
        <w:rPr>
          <w:color w:val="auto"/>
          <w:highlight w:val="none"/>
        </w:rPr>
        <w:t>郑老师</w:t>
      </w:r>
      <w:r>
        <w:rPr>
          <w:rFonts w:hint="eastAsia" w:cs="Times New Roman" w:asciiTheme="minorEastAsia" w:hAnsiTheme="minorEastAsia" w:eastAsiaTheme="minorEastAsia"/>
          <w:color w:val="auto"/>
          <w:highlight w:val="none"/>
          <w:lang w:val="en-US" w:eastAsia="zh-CN"/>
        </w:rPr>
        <w:t xml:space="preserve">  </w:t>
      </w:r>
      <w:r>
        <w:rPr>
          <w:color w:val="auto"/>
          <w:highlight w:val="none"/>
        </w:rPr>
        <w:t>029-82733196</w:t>
      </w:r>
    </w:p>
    <w:p>
      <w:pPr>
        <w:tabs>
          <w:tab w:val="left" w:pos="1620"/>
        </w:tabs>
        <w:spacing w:line="360" w:lineRule="auto"/>
        <w:ind w:right="-22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四、采购代理机构名称：四川国际招标有限责任公司</w:t>
      </w:r>
    </w:p>
    <w:p>
      <w:pPr>
        <w:tabs>
          <w:tab w:val="left" w:pos="1620"/>
        </w:tabs>
        <w:spacing w:line="360" w:lineRule="auto"/>
        <w:ind w:right="-226"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地址：西安市高新区唐延路35号旺座现代城G座2301室</w:t>
      </w:r>
    </w:p>
    <w:p>
      <w:pPr>
        <w:tabs>
          <w:tab w:val="left" w:pos="1620"/>
        </w:tabs>
        <w:spacing w:line="360" w:lineRule="auto"/>
        <w:ind w:right="-22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五、采购预算、内容、要求：</w:t>
      </w:r>
    </w:p>
    <w:p>
      <w:pPr>
        <w:pStyle w:val="39"/>
        <w:spacing w:before="0" w:beforeAutospacing="false" w:after="0" w:afterAutospacing="false"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w:t>
      </w:r>
      <w:r>
        <w:rPr>
          <w:rFonts w:hint="eastAsia" w:asciiTheme="minorEastAsia" w:hAnsiTheme="minorEastAsia" w:eastAsiaTheme="minorEastAsia"/>
          <w:color w:val="auto"/>
          <w:highlight w:val="none"/>
          <w:lang w:eastAsia="zh-CN"/>
        </w:rPr>
        <w:t>共</w:t>
      </w:r>
      <w:r>
        <w:rPr>
          <w:rFonts w:hint="eastAsia" w:asciiTheme="minorEastAsia" w:hAnsiTheme="minorEastAsia" w:eastAsiaTheme="minorEastAsia"/>
          <w:color w:val="auto"/>
          <w:highlight w:val="none"/>
        </w:rPr>
        <w:t>1个</w:t>
      </w:r>
      <w:r>
        <w:rPr>
          <w:rFonts w:hint="eastAsia" w:asciiTheme="minorEastAsia" w:hAnsiTheme="minorEastAsia" w:eastAsiaTheme="minorEastAsia"/>
          <w:color w:val="auto"/>
          <w:highlight w:val="none"/>
          <w:lang w:eastAsia="zh-CN"/>
        </w:rPr>
        <w:t>包</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rPr>
        <w:t>主要内容为学生营养改善计划蔬菜、肉类、调料等原辅材料采购</w:t>
      </w:r>
      <w:r>
        <w:rPr>
          <w:rFonts w:hint="eastAsia" w:cs="宋体" w:asciiTheme="minorEastAsia" w:hAnsiTheme="minorEastAsia" w:eastAsiaTheme="minorEastAsia"/>
          <w:color w:val="auto"/>
          <w:sz w:val="24"/>
          <w:szCs w:val="24"/>
          <w:highlight w:val="none"/>
          <w:lang w:val="en-US" w:eastAsia="zh-CN" w:bidi="ar-SA"/>
        </w:rPr>
        <w:t>（具</w:t>
      </w:r>
      <w:r>
        <w:rPr>
          <w:rFonts w:hint="eastAsia" w:asciiTheme="minorEastAsia" w:hAnsiTheme="minorEastAsia" w:eastAsiaTheme="minorEastAsia"/>
          <w:color w:val="auto"/>
          <w:highlight w:val="none"/>
        </w:rPr>
        <w:t xml:space="preserve">体详见谈判文件）；  </w:t>
      </w:r>
    </w:p>
    <w:p>
      <w:pPr>
        <w:pStyle w:val="39"/>
        <w:spacing w:before="0" w:beforeAutospacing="false" w:after="0" w:afterAutospacing="false" w:line="360" w:lineRule="auto"/>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资金性质：财政资金，</w:t>
      </w:r>
      <w:r>
        <w:rPr>
          <w:rFonts w:hint="eastAsia" w:asciiTheme="minorEastAsia" w:hAnsiTheme="minorEastAsia" w:eastAsiaTheme="minorEastAsia"/>
          <w:color w:val="auto"/>
          <w:highlight w:val="none"/>
        </w:rPr>
        <w:t>项目用途：</w:t>
      </w:r>
      <w:r>
        <w:rPr>
          <w:rFonts w:hint="eastAsia" w:asciiTheme="minorEastAsia" w:hAnsiTheme="minorEastAsia" w:eastAsiaTheme="minorEastAsia"/>
          <w:color w:val="auto"/>
          <w:highlight w:val="none"/>
          <w:lang w:eastAsia="zh-CN"/>
        </w:rPr>
        <w:t>营养午餐改善；</w:t>
      </w:r>
    </w:p>
    <w:p>
      <w:pPr>
        <w:pStyle w:val="39"/>
        <w:spacing w:before="0" w:beforeAutospacing="false" w:after="0" w:afterAutospacing="false"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采购预算：</w:t>
      </w:r>
      <w:r>
        <w:rPr>
          <w:rFonts w:hint="eastAsia" w:asciiTheme="minorEastAsia" w:hAnsiTheme="minorEastAsia" w:eastAsiaTheme="minorEastAsia"/>
          <w:color w:val="auto"/>
          <w:highlight w:val="none"/>
          <w:lang w:val="en-US" w:eastAsia="zh-CN"/>
        </w:rPr>
        <w:t>1814000元</w:t>
      </w:r>
      <w:r>
        <w:rPr>
          <w:rFonts w:hint="eastAsia" w:asciiTheme="minorEastAsia" w:hAnsiTheme="minorEastAsia" w:eastAsiaTheme="minorEastAsia"/>
          <w:color w:val="auto"/>
          <w:highlight w:val="none"/>
        </w:rPr>
        <w:t>；</w:t>
      </w:r>
    </w:p>
    <w:p>
      <w:pPr>
        <w:spacing w:line="360" w:lineRule="auto"/>
        <w:rPr>
          <w:rFonts w:ascii="宋体" w:hAnsi="宋体" w:cs="宋体"/>
          <w:color w:val="auto"/>
          <w:highlight w:val="none"/>
        </w:rPr>
      </w:pPr>
      <w:r>
        <w:rPr>
          <w:rFonts w:hint="eastAsia" w:cs="宋体" w:asciiTheme="minorEastAsia" w:hAnsiTheme="minorEastAsia" w:eastAsiaTheme="minorEastAsia"/>
          <w:color w:val="auto"/>
          <w:highlight w:val="none"/>
        </w:rPr>
        <w:t>六、</w:t>
      </w:r>
      <w:r>
        <w:rPr>
          <w:rFonts w:hint="eastAsia" w:ascii="宋体" w:hAnsi="宋体" w:cs="宋体"/>
          <w:color w:val="auto"/>
          <w:highlight w:val="none"/>
        </w:rPr>
        <w:t>供应商资质要求：</w:t>
      </w:r>
    </w:p>
    <w:p>
      <w:pPr>
        <w:spacing w:line="360" w:lineRule="auto"/>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1.满足《中华人民共和国政府采购法》第二十二条规定;</w:t>
      </w:r>
    </w:p>
    <w:p>
      <w:pPr>
        <w:spacing w:line="360" w:lineRule="auto"/>
        <w:rPr>
          <w:rFonts w:hint="eastAsia" w:cs="Times New Roman" w:asciiTheme="minorEastAsia" w:hAnsiTheme="minorEastAsia" w:eastAsiaTheme="minorEastAsia"/>
          <w:color w:val="auto"/>
          <w:highlight w:val="none"/>
          <w:lang w:eastAsia="zh-CN"/>
        </w:rPr>
      </w:pPr>
      <w:r>
        <w:rPr>
          <w:rFonts w:hint="eastAsia" w:cs="Times New Roman" w:asciiTheme="minorEastAsia" w:hAnsiTheme="minorEastAsia" w:eastAsiaTheme="minorEastAsia"/>
          <w:color w:val="auto"/>
          <w:highlight w:val="none"/>
        </w:rPr>
        <w:t>2.落实政府采购政策需满足的资格要求：本项目</w:t>
      </w:r>
      <w:r>
        <w:rPr>
          <w:rFonts w:hint="eastAsia" w:cs="Times New Roman" w:asciiTheme="minorEastAsia" w:hAnsiTheme="minorEastAsia" w:eastAsiaTheme="minorEastAsia"/>
          <w:color w:val="auto"/>
          <w:highlight w:val="none"/>
          <w:lang w:eastAsia="zh-CN"/>
        </w:rPr>
        <w:t>非</w:t>
      </w:r>
      <w:r>
        <w:rPr>
          <w:rFonts w:hint="eastAsia" w:cs="Times New Roman" w:asciiTheme="minorEastAsia" w:hAnsiTheme="minorEastAsia" w:eastAsiaTheme="minorEastAsia"/>
          <w:color w:val="auto"/>
          <w:highlight w:val="none"/>
        </w:rPr>
        <w:t>专门面向中小企业采购</w:t>
      </w:r>
      <w:r>
        <w:rPr>
          <w:rFonts w:hint="eastAsia" w:cs="Times New Roman" w:asciiTheme="minorEastAsia" w:hAnsiTheme="minorEastAsia" w:eastAsiaTheme="minorEastAsia"/>
          <w:color w:val="auto"/>
          <w:highlight w:val="none"/>
          <w:lang w:eastAsia="zh-CN"/>
        </w:rPr>
        <w:t>；</w:t>
      </w:r>
    </w:p>
    <w:p>
      <w:pPr>
        <w:spacing w:line="360" w:lineRule="auto"/>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3.本项目的特定资格要求：</w:t>
      </w:r>
    </w:p>
    <w:p>
      <w:pPr>
        <w:spacing w:line="360" w:lineRule="auto"/>
        <w:ind w:firstLine="240" w:firstLineChars="10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（1）法定代表人授权书及被授权人身份证（法定代表人直接</w:t>
      </w:r>
      <w:r>
        <w:rPr>
          <w:rFonts w:hint="eastAsia" w:cs="Times New Roman" w:asciiTheme="minorEastAsia" w:hAnsiTheme="minorEastAsia" w:eastAsiaTheme="minorEastAsia"/>
          <w:color w:val="auto"/>
          <w:highlight w:val="none"/>
          <w:lang w:eastAsia="zh-CN"/>
        </w:rPr>
        <w:t>谈判</w:t>
      </w:r>
      <w:r>
        <w:rPr>
          <w:rFonts w:hint="eastAsia" w:cs="Times New Roman" w:asciiTheme="minorEastAsia" w:hAnsiTheme="minorEastAsia" w:eastAsiaTheme="minorEastAsia"/>
          <w:color w:val="auto"/>
          <w:highlight w:val="none"/>
        </w:rPr>
        <w:t>只须提交其身份证）；</w:t>
      </w:r>
    </w:p>
    <w:p>
      <w:pPr>
        <w:spacing w:line="360" w:lineRule="auto"/>
        <w:ind w:firstLine="240" w:firstLineChars="10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（2）供应商未被列入失信被执行人、重大税收违法案件当事人名单、严重违法失信行为；</w:t>
      </w:r>
    </w:p>
    <w:p>
      <w:pPr>
        <w:spacing w:line="360" w:lineRule="auto"/>
        <w:ind w:firstLine="240" w:firstLineChars="10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lang w:eastAsia="zh-CN"/>
        </w:rPr>
        <w:t>（</w:t>
      </w:r>
      <w:r>
        <w:rPr>
          <w:rFonts w:hint="eastAsia" w:cs="Times New Roman" w:asciiTheme="minorEastAsia" w:hAnsiTheme="minorEastAsia" w:eastAsiaTheme="minorEastAsia"/>
          <w:color w:val="auto"/>
          <w:highlight w:val="none"/>
          <w:lang w:val="en-US" w:eastAsia="zh-CN"/>
        </w:rPr>
        <w:t>3</w:t>
      </w:r>
      <w:r>
        <w:rPr>
          <w:rFonts w:hint="eastAsia" w:cs="Times New Roman" w:asciiTheme="minorEastAsia" w:hAnsiTheme="minorEastAsia" w:eastAsiaTheme="minorEastAsia"/>
          <w:color w:val="auto"/>
          <w:highlight w:val="none"/>
          <w:lang w:eastAsia="zh-CN"/>
        </w:rPr>
        <w:t>）</w:t>
      </w:r>
      <w:r>
        <w:rPr>
          <w:rFonts w:hint="eastAsia" w:cs="Times New Roman" w:asciiTheme="minorEastAsia" w:hAnsiTheme="minorEastAsia" w:eastAsiaTheme="minorEastAsia"/>
          <w:color w:val="auto"/>
          <w:highlight w:val="none"/>
          <w:lang w:val="en-US" w:eastAsia="zh-CN"/>
        </w:rPr>
        <w:t>供应商须提供有效期内的《食品经营许可证》</w:t>
      </w:r>
      <w:r>
        <w:rPr>
          <w:rFonts w:hint="eastAsia" w:ascii="Times New Roman" w:hAnsi="Times New Roman" w:eastAsia="宋体" w:cs="Times New Roman"/>
        </w:rPr>
        <w:t>或食品经营许可证电子证书</w:t>
      </w:r>
      <w:r>
        <w:rPr>
          <w:rFonts w:hint="eastAsia" w:cs="Times New Roman" w:asciiTheme="minorEastAsia" w:hAnsiTheme="minorEastAsia" w:eastAsiaTheme="minorEastAsia"/>
          <w:color w:val="auto"/>
          <w:highlight w:val="none"/>
          <w:lang w:val="en-US" w:eastAsia="zh-CN"/>
        </w:rPr>
        <w:t>；</w:t>
      </w:r>
    </w:p>
    <w:p>
      <w:pPr>
        <w:spacing w:line="360" w:lineRule="auto"/>
        <w:ind w:firstLine="240" w:firstLineChars="10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w:t>
      </w:r>
      <w:r>
        <w:rPr>
          <w:rFonts w:hint="eastAsia" w:cs="Times New Roman" w:asciiTheme="minorEastAsia" w:hAnsiTheme="minorEastAsia" w:eastAsiaTheme="minorEastAsia"/>
          <w:color w:val="auto"/>
          <w:highlight w:val="none"/>
          <w:lang w:val="en-US" w:eastAsia="zh-CN"/>
        </w:rPr>
        <w:t>4</w:t>
      </w:r>
      <w:r>
        <w:rPr>
          <w:rFonts w:hint="eastAsia" w:cs="Times New Roman" w:asciiTheme="minorEastAsia" w:hAnsiTheme="minorEastAsia" w:eastAsiaTheme="minorEastAsia"/>
          <w:color w:val="auto"/>
          <w:highlight w:val="none"/>
        </w:rPr>
        <w:t>）本项目不接受联合体。</w:t>
      </w:r>
    </w:p>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七、采购项目需要落实的政府采购政策：</w:t>
      </w:r>
    </w:p>
    <w:p>
      <w:pPr>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依据</w:t>
      </w:r>
      <w:r>
        <w:rPr>
          <w:rFonts w:hint="eastAsia" w:asciiTheme="minorEastAsia" w:hAnsiTheme="minorEastAsia" w:eastAsiaTheme="minorEastAsia"/>
          <w:color w:val="auto"/>
          <w:highlight w:val="none"/>
        </w:rPr>
        <w:t>《中华人民共和国政府采购法》及《中华人民共和国政府采购法实施条例》的有关规定，落实政府采购政策，详见谈判文件。</w:t>
      </w:r>
    </w:p>
    <w:p>
      <w:pPr>
        <w:tabs>
          <w:tab w:val="left" w:pos="1620"/>
        </w:tabs>
        <w:spacing w:line="360" w:lineRule="auto"/>
        <w:ind w:right="-22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1、《政府采购促进中小企业发展管理办法》（财库〔2020〕46号）； </w:t>
      </w:r>
    </w:p>
    <w:p>
      <w:pPr>
        <w:tabs>
          <w:tab w:val="left" w:pos="1620"/>
        </w:tabs>
        <w:spacing w:line="360" w:lineRule="auto"/>
        <w:ind w:right="-22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2、《财政部司法部关于政府采购支持监狱企业发展有关问题通知》（财库〔2014〕68号）；</w:t>
      </w:r>
    </w:p>
    <w:p>
      <w:pPr>
        <w:tabs>
          <w:tab w:val="left" w:pos="1620"/>
        </w:tabs>
        <w:spacing w:line="360" w:lineRule="auto"/>
        <w:ind w:right="-22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3、《国务院办公厅关于建立政府强制采购节能产品制度的通知》（国办发〔2007〕51号）；</w:t>
      </w:r>
    </w:p>
    <w:p>
      <w:pPr>
        <w:tabs>
          <w:tab w:val="left" w:pos="1620"/>
        </w:tabs>
        <w:spacing w:line="360" w:lineRule="auto"/>
        <w:ind w:right="-22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4、《环境标志产品政府采购实施的意见》（财库〔2006〕90号）；</w:t>
      </w:r>
    </w:p>
    <w:p>
      <w:pPr>
        <w:tabs>
          <w:tab w:val="left" w:pos="1620"/>
        </w:tabs>
        <w:spacing w:line="360" w:lineRule="auto"/>
        <w:ind w:right="-22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5、《关于促进残疾人就业政府采购政策的通知》（财库〔2017〕141号）。</w:t>
      </w:r>
    </w:p>
    <w:p>
      <w:pPr>
        <w:tabs>
          <w:tab w:val="left" w:pos="1620"/>
        </w:tabs>
        <w:spacing w:line="360" w:lineRule="auto"/>
        <w:ind w:right="-22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6、《陕西省中小企业政府采购信用融资办法》（陕财办采〔2018〕23号）；</w:t>
      </w:r>
    </w:p>
    <w:p>
      <w:pPr>
        <w:tabs>
          <w:tab w:val="left" w:pos="1620"/>
        </w:tabs>
        <w:spacing w:line="360" w:lineRule="auto"/>
        <w:ind w:right="-22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7、其他需要落实的政府采购政策。</w:t>
      </w:r>
    </w:p>
    <w:p>
      <w:pPr>
        <w:tabs>
          <w:tab w:val="left" w:pos="1620"/>
        </w:tabs>
        <w:spacing w:line="360" w:lineRule="auto"/>
        <w:ind w:right="-226"/>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八、谈判文</w:t>
      </w:r>
      <w:r>
        <w:rPr>
          <w:rFonts w:hint="eastAsia" w:cs="Times New Roman" w:asciiTheme="minorEastAsia" w:hAnsiTheme="minorEastAsia" w:eastAsiaTheme="minorEastAsia"/>
          <w:color w:val="auto"/>
          <w:highlight w:val="none"/>
        </w:rPr>
        <w:t>件</w:t>
      </w:r>
      <w:r>
        <w:rPr>
          <w:rFonts w:hint="eastAsia" w:cs="Times New Roman" w:asciiTheme="minorEastAsia" w:hAnsiTheme="minorEastAsia" w:eastAsiaTheme="minorEastAsia"/>
          <w:color w:val="auto"/>
          <w:highlight w:val="none"/>
          <w:lang w:eastAsia="zh-CN"/>
        </w:rPr>
        <w:t>获取</w:t>
      </w:r>
      <w:r>
        <w:rPr>
          <w:rFonts w:hint="eastAsia" w:cs="Times New Roman" w:asciiTheme="minorEastAsia" w:hAnsiTheme="minorEastAsia" w:eastAsiaTheme="minorEastAsia"/>
          <w:color w:val="auto"/>
          <w:highlight w:val="none"/>
        </w:rPr>
        <w:t>时间、地点：</w:t>
      </w:r>
    </w:p>
    <w:p>
      <w:pPr>
        <w:tabs>
          <w:tab w:val="left" w:pos="1620"/>
        </w:tabs>
        <w:spacing w:line="360" w:lineRule="auto"/>
        <w:ind w:right="-226" w:firstLine="240" w:firstLineChars="1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lang w:eastAsia="zh-CN"/>
        </w:rPr>
        <w:t>获取</w:t>
      </w:r>
      <w:r>
        <w:rPr>
          <w:rFonts w:hint="eastAsia" w:cs="宋体" w:asciiTheme="minorEastAsia" w:hAnsiTheme="minorEastAsia" w:eastAsiaTheme="minorEastAsia"/>
          <w:color w:val="auto"/>
          <w:highlight w:val="none"/>
        </w:rPr>
        <w:t>时间：2024年02月04日至2024年02月07日，每天09:00:00至11:30:00，下午 13:00:00至16:30:00（北京时间）</w:t>
      </w:r>
    </w:p>
    <w:p>
      <w:pPr>
        <w:tabs>
          <w:tab w:val="left" w:pos="1620"/>
        </w:tabs>
        <w:spacing w:line="360" w:lineRule="auto"/>
        <w:ind w:right="-226" w:firstLine="240" w:firstLineChars="1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lang w:eastAsia="zh-CN"/>
        </w:rPr>
        <w:t>获取</w:t>
      </w:r>
      <w:r>
        <w:rPr>
          <w:rFonts w:hint="eastAsia" w:cs="宋体" w:asciiTheme="minorEastAsia" w:hAnsiTheme="minorEastAsia" w:eastAsiaTheme="minorEastAsia"/>
          <w:color w:val="auto"/>
          <w:highlight w:val="none"/>
        </w:rPr>
        <w:t>地点：西安市高新区唐延路35号旺座现代城G座2301室；</w:t>
      </w:r>
    </w:p>
    <w:p>
      <w:pPr>
        <w:spacing w:line="360" w:lineRule="auto"/>
        <w:ind w:firstLine="240" w:firstLineChars="10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3、</w:t>
      </w:r>
      <w:r>
        <w:rPr>
          <w:rFonts w:hint="eastAsia" w:cs="Times New Roman" w:asciiTheme="minorEastAsia" w:hAnsiTheme="minorEastAsia" w:eastAsiaTheme="minorEastAsia"/>
          <w:color w:val="auto"/>
          <w:highlight w:val="none"/>
          <w:lang w:eastAsia="zh-CN"/>
        </w:rPr>
        <w:t>获取</w:t>
      </w:r>
      <w:r>
        <w:rPr>
          <w:rFonts w:hint="eastAsia" w:cs="Times New Roman" w:asciiTheme="minorEastAsia" w:hAnsiTheme="minorEastAsia" w:eastAsiaTheme="minorEastAsia"/>
          <w:color w:val="auto"/>
          <w:highlight w:val="none"/>
        </w:rPr>
        <w:t>联系人：刘女士，电话：029-88854272转8001；</w:t>
      </w:r>
    </w:p>
    <w:p>
      <w:pPr>
        <w:spacing w:line="360" w:lineRule="auto"/>
        <w:ind w:firstLine="240" w:firstLineChars="10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4、文件</w:t>
      </w:r>
      <w:r>
        <w:rPr>
          <w:rFonts w:hint="eastAsia" w:cs="Times New Roman" w:asciiTheme="minorEastAsia" w:hAnsiTheme="minorEastAsia" w:eastAsiaTheme="minorEastAsia"/>
          <w:color w:val="auto"/>
          <w:highlight w:val="none"/>
          <w:lang w:eastAsia="zh-CN"/>
        </w:rPr>
        <w:t>获取</w:t>
      </w:r>
      <w:r>
        <w:rPr>
          <w:rFonts w:hint="eastAsia" w:cs="Times New Roman" w:asciiTheme="minorEastAsia" w:hAnsiTheme="minorEastAsia" w:eastAsiaTheme="minorEastAsia"/>
          <w:color w:val="auto"/>
          <w:highlight w:val="none"/>
        </w:rPr>
        <w:t>：</w:t>
      </w:r>
      <w:r>
        <w:rPr>
          <w:rFonts w:hint="eastAsia" w:cs="Times New Roman" w:asciiTheme="minorEastAsia" w:hAnsiTheme="minorEastAsia" w:eastAsiaTheme="minorEastAsia"/>
          <w:color w:val="auto"/>
          <w:highlight w:val="none"/>
          <w:lang w:eastAsia="zh-CN"/>
        </w:rPr>
        <w:t>免费获取</w:t>
      </w:r>
      <w:r>
        <w:rPr>
          <w:rFonts w:hint="eastAsia" w:cs="Times New Roman" w:asciiTheme="minorEastAsia" w:hAnsiTheme="minorEastAsia" w:eastAsiaTheme="minorEastAsia"/>
          <w:color w:val="auto"/>
          <w:highlight w:val="none"/>
        </w:rPr>
        <w:t>，</w:t>
      </w:r>
      <w:r>
        <w:rPr>
          <w:rFonts w:hint="eastAsia" w:cs="Times New Roman" w:asciiTheme="minorEastAsia" w:hAnsiTheme="minorEastAsia" w:eastAsiaTheme="minorEastAsia"/>
          <w:color w:val="auto"/>
          <w:highlight w:val="none"/>
          <w:lang w:eastAsia="zh-CN"/>
        </w:rPr>
        <w:t>谈判</w:t>
      </w:r>
      <w:r>
        <w:rPr>
          <w:rFonts w:hint="eastAsia" w:cs="Times New Roman" w:asciiTheme="minorEastAsia" w:hAnsiTheme="minorEastAsia" w:eastAsiaTheme="minorEastAsia"/>
          <w:color w:val="auto"/>
          <w:highlight w:val="none"/>
        </w:rPr>
        <w:t>文件谢绝邮寄，</w:t>
      </w:r>
      <w:r>
        <w:rPr>
          <w:rFonts w:hint="eastAsia" w:cs="Times New Roman" w:asciiTheme="minorEastAsia" w:hAnsiTheme="minorEastAsia" w:eastAsiaTheme="minorEastAsia"/>
          <w:color w:val="auto"/>
          <w:highlight w:val="none"/>
          <w:lang w:eastAsia="zh-CN"/>
        </w:rPr>
        <w:t>谈判</w:t>
      </w:r>
      <w:r>
        <w:rPr>
          <w:rFonts w:hint="eastAsia" w:cs="Times New Roman" w:asciiTheme="minorEastAsia" w:hAnsiTheme="minorEastAsia" w:eastAsiaTheme="minorEastAsia"/>
          <w:color w:val="auto"/>
          <w:highlight w:val="none"/>
        </w:rPr>
        <w:t>资格不能转让。</w:t>
      </w:r>
    </w:p>
    <w:p>
      <w:pPr>
        <w:spacing w:line="360" w:lineRule="auto"/>
        <w:ind w:firstLine="240" w:firstLineChars="10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供应商获取谈判文件时请携带单位介绍信、本人身份证复印件加盖公章。</w:t>
      </w:r>
    </w:p>
    <w:p>
      <w:pPr>
        <w:spacing w:line="360" w:lineRule="auto"/>
        <w:ind w:firstLine="240" w:firstLineChars="10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九、谈判响应文件递交截止时间及谈判时间和地点：</w:t>
      </w:r>
    </w:p>
    <w:p>
      <w:pPr>
        <w:tabs>
          <w:tab w:val="left" w:pos="1620"/>
        </w:tabs>
        <w:spacing w:line="360" w:lineRule="auto"/>
        <w:ind w:right="-22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1、谈判响应文件递交截止时间：202</w:t>
      </w:r>
      <w:r>
        <w:rPr>
          <w:rFonts w:hint="eastAsia" w:cs="宋体" w:asciiTheme="minorEastAsia" w:hAnsiTheme="minorEastAsia" w:eastAsiaTheme="minorEastAsia"/>
          <w:color w:val="auto"/>
          <w:highlight w:val="none"/>
          <w:lang w:val="en-US" w:eastAsia="zh-CN"/>
        </w:rPr>
        <w:t>4</w:t>
      </w:r>
      <w:r>
        <w:rPr>
          <w:rFonts w:hint="eastAsia" w:cs="宋体" w:asciiTheme="minorEastAsia" w:hAnsiTheme="minorEastAsia" w:eastAsiaTheme="minorEastAsia"/>
          <w:color w:val="auto"/>
          <w:highlight w:val="none"/>
        </w:rPr>
        <w:t>年</w:t>
      </w:r>
      <w:r>
        <w:rPr>
          <w:rFonts w:hint="eastAsia" w:cs="宋体" w:asciiTheme="minorEastAsia" w:hAnsiTheme="minorEastAsia" w:eastAsiaTheme="minorEastAsia"/>
          <w:color w:val="auto"/>
          <w:sz w:val="22"/>
          <w:szCs w:val="22"/>
          <w:highlight w:val="none"/>
          <w:lang w:val="en-US" w:eastAsia="zh-CN"/>
        </w:rPr>
        <w:t>02</w:t>
      </w:r>
      <w:r>
        <w:rPr>
          <w:rFonts w:hint="eastAsia" w:cs="宋体" w:asciiTheme="minorEastAsia" w:hAnsiTheme="minorEastAsia" w:eastAsiaTheme="minorEastAsia"/>
          <w:color w:val="auto"/>
          <w:sz w:val="22"/>
          <w:szCs w:val="22"/>
          <w:highlight w:val="none"/>
        </w:rPr>
        <w:t>月</w:t>
      </w:r>
      <w:r>
        <w:rPr>
          <w:rFonts w:hint="eastAsia" w:cs="宋体" w:asciiTheme="minorEastAsia" w:hAnsiTheme="minorEastAsia" w:eastAsiaTheme="minorEastAsia"/>
          <w:color w:val="auto"/>
          <w:sz w:val="22"/>
          <w:szCs w:val="22"/>
          <w:highlight w:val="none"/>
          <w:lang w:val="en-US" w:eastAsia="zh-CN"/>
        </w:rPr>
        <w:t>19</w:t>
      </w:r>
      <w:r>
        <w:rPr>
          <w:rFonts w:hint="eastAsia" w:cs="宋体" w:asciiTheme="minorEastAsia" w:hAnsiTheme="minorEastAsia" w:eastAsiaTheme="minorEastAsia"/>
          <w:color w:val="auto"/>
          <w:sz w:val="22"/>
          <w:szCs w:val="22"/>
          <w:highlight w:val="none"/>
        </w:rPr>
        <w:t>日</w:t>
      </w:r>
      <w:r>
        <w:rPr>
          <w:rFonts w:hint="eastAsia" w:cs="宋体" w:asciiTheme="minorEastAsia" w:hAnsiTheme="minorEastAsia" w:eastAsiaTheme="minorEastAsia"/>
          <w:color w:val="auto"/>
          <w:sz w:val="22"/>
          <w:szCs w:val="22"/>
          <w:highlight w:val="none"/>
          <w:lang w:val="en-US" w:eastAsia="zh-CN"/>
        </w:rPr>
        <w:t>10:00</w:t>
      </w:r>
      <w:r>
        <w:rPr>
          <w:rFonts w:hint="eastAsia" w:cs="宋体" w:asciiTheme="minorEastAsia" w:hAnsiTheme="minorEastAsia" w:eastAsiaTheme="minorEastAsia"/>
          <w:color w:val="auto"/>
          <w:highlight w:val="none"/>
        </w:rPr>
        <w:t>（北京时间）；</w:t>
      </w:r>
    </w:p>
    <w:p>
      <w:pPr>
        <w:tabs>
          <w:tab w:val="left" w:pos="1620"/>
        </w:tabs>
        <w:spacing w:line="360" w:lineRule="auto"/>
        <w:ind w:right="-226"/>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2、谈判时间：202</w:t>
      </w:r>
      <w:r>
        <w:rPr>
          <w:rFonts w:hint="eastAsia" w:cs="宋体" w:asciiTheme="minorEastAsia" w:hAnsiTheme="minorEastAsia" w:eastAsiaTheme="minorEastAsia"/>
          <w:color w:val="auto"/>
          <w:highlight w:val="none"/>
          <w:lang w:val="en-US" w:eastAsia="zh-CN"/>
        </w:rPr>
        <w:t>4</w:t>
      </w:r>
      <w:r>
        <w:rPr>
          <w:rFonts w:hint="eastAsia" w:cs="宋体" w:asciiTheme="minorEastAsia" w:hAnsiTheme="minorEastAsia" w:eastAsiaTheme="minorEastAsia"/>
          <w:color w:val="auto"/>
          <w:highlight w:val="none"/>
        </w:rPr>
        <w:t>年</w:t>
      </w:r>
      <w:r>
        <w:rPr>
          <w:rFonts w:hint="eastAsia" w:cs="宋体" w:asciiTheme="minorEastAsia" w:hAnsiTheme="minorEastAsia" w:eastAsiaTheme="minorEastAsia"/>
          <w:color w:val="auto"/>
          <w:sz w:val="22"/>
          <w:szCs w:val="22"/>
          <w:highlight w:val="none"/>
          <w:lang w:val="en-US" w:eastAsia="zh-CN"/>
        </w:rPr>
        <w:t>02</w:t>
      </w:r>
      <w:r>
        <w:rPr>
          <w:rFonts w:hint="eastAsia" w:cs="宋体" w:asciiTheme="minorEastAsia" w:hAnsiTheme="minorEastAsia" w:eastAsiaTheme="minorEastAsia"/>
          <w:color w:val="auto"/>
          <w:sz w:val="22"/>
          <w:szCs w:val="22"/>
          <w:highlight w:val="none"/>
        </w:rPr>
        <w:t>月</w:t>
      </w:r>
      <w:r>
        <w:rPr>
          <w:rFonts w:hint="eastAsia" w:cs="宋体" w:asciiTheme="minorEastAsia" w:hAnsiTheme="minorEastAsia" w:eastAsiaTheme="minorEastAsia"/>
          <w:color w:val="auto"/>
          <w:sz w:val="22"/>
          <w:szCs w:val="22"/>
          <w:highlight w:val="none"/>
          <w:lang w:val="en-US" w:eastAsia="zh-CN"/>
        </w:rPr>
        <w:t>19</w:t>
      </w:r>
      <w:r>
        <w:rPr>
          <w:rFonts w:hint="eastAsia" w:cs="宋体" w:asciiTheme="minorEastAsia" w:hAnsiTheme="minorEastAsia" w:eastAsiaTheme="minorEastAsia"/>
          <w:color w:val="auto"/>
          <w:sz w:val="22"/>
          <w:szCs w:val="22"/>
          <w:highlight w:val="none"/>
        </w:rPr>
        <w:t>日</w:t>
      </w:r>
      <w:r>
        <w:rPr>
          <w:rFonts w:hint="eastAsia" w:cs="宋体" w:asciiTheme="minorEastAsia" w:hAnsiTheme="minorEastAsia" w:eastAsiaTheme="minorEastAsia"/>
          <w:color w:val="auto"/>
          <w:sz w:val="22"/>
          <w:szCs w:val="22"/>
          <w:highlight w:val="none"/>
          <w:lang w:val="en-US" w:eastAsia="zh-CN"/>
        </w:rPr>
        <w:t>10:00</w:t>
      </w:r>
      <w:r>
        <w:rPr>
          <w:rFonts w:hint="eastAsia" w:cs="宋体" w:asciiTheme="minorEastAsia" w:hAnsiTheme="minorEastAsia" w:eastAsiaTheme="minorEastAsia"/>
          <w:color w:val="auto"/>
          <w:highlight w:val="none"/>
        </w:rPr>
        <w:t>（北京时间）；</w:t>
      </w:r>
    </w:p>
    <w:p>
      <w:pPr>
        <w:tabs>
          <w:tab w:val="left" w:pos="1620"/>
        </w:tabs>
        <w:spacing w:line="360" w:lineRule="auto"/>
        <w:ind w:right="-22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3、谈判地点：西安市高新区唐延路35号旺座现代城G座2301室</w:t>
      </w:r>
      <w:r>
        <w:rPr>
          <w:rFonts w:hint="eastAsia" w:cs="宋体" w:asciiTheme="minorEastAsia" w:hAnsiTheme="minorEastAsia" w:eastAsiaTheme="minorEastAsia"/>
          <w:color w:val="auto"/>
          <w:highlight w:val="none"/>
          <w:lang w:val="en-US" w:eastAsia="zh-CN"/>
        </w:rPr>
        <w:t xml:space="preserve"> </w:t>
      </w:r>
      <w:r>
        <w:rPr>
          <w:rFonts w:hint="eastAsia" w:cs="宋体" w:asciiTheme="minorEastAsia" w:hAnsiTheme="minorEastAsia" w:eastAsiaTheme="minorEastAsia"/>
          <w:color w:val="auto"/>
          <w:highlight w:val="none"/>
        </w:rPr>
        <w:t>。</w:t>
      </w:r>
    </w:p>
    <w:p>
      <w:pPr>
        <w:tabs>
          <w:tab w:val="left" w:pos="1620"/>
        </w:tabs>
        <w:spacing w:line="360" w:lineRule="auto"/>
        <w:ind w:right="-22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十、其他应说明的事项：</w:t>
      </w:r>
    </w:p>
    <w:p>
      <w:pPr>
        <w:tabs>
          <w:tab w:val="left" w:pos="1620"/>
        </w:tabs>
        <w:spacing w:line="360" w:lineRule="auto"/>
        <w:ind w:right="-226"/>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rPr>
        <w:t>招标代理机构联系人：</w:t>
      </w:r>
      <w:r>
        <w:rPr>
          <w:rFonts w:hint="eastAsia" w:cs="宋体" w:asciiTheme="minorEastAsia" w:hAnsiTheme="minorEastAsia" w:eastAsiaTheme="minorEastAsia"/>
          <w:color w:val="auto"/>
          <w:highlight w:val="none"/>
          <w:lang w:eastAsia="zh-CN"/>
        </w:rPr>
        <w:t>连女士</w:t>
      </w:r>
      <w:r>
        <w:rPr>
          <w:rFonts w:hint="eastAsia" w:cs="宋体" w:asciiTheme="minorEastAsia" w:hAnsiTheme="minorEastAsia" w:eastAsiaTheme="minorEastAsia"/>
          <w:color w:val="auto"/>
          <w:highlight w:val="none"/>
        </w:rPr>
        <w:t>联系方式：029-88854272转80</w:t>
      </w:r>
      <w:r>
        <w:rPr>
          <w:rFonts w:hint="eastAsia" w:cs="宋体" w:asciiTheme="minorEastAsia" w:hAnsiTheme="minorEastAsia" w:eastAsiaTheme="minorEastAsia"/>
          <w:color w:val="auto"/>
          <w:highlight w:val="none"/>
          <w:lang w:val="en-US" w:eastAsia="zh-CN"/>
        </w:rPr>
        <w:t>09</w:t>
      </w:r>
    </w:p>
    <w:p>
      <w:pPr>
        <w:tabs>
          <w:tab w:val="left" w:pos="1620"/>
        </w:tabs>
        <w:spacing w:line="360" w:lineRule="auto"/>
        <w:ind w:right="-22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十一、公告期自发布起三个工作日。</w:t>
      </w:r>
    </w:p>
    <w:p>
      <w:pPr>
        <w:spacing w:line="360" w:lineRule="auto"/>
        <w:ind w:right="-226"/>
        <w:jc w:val="righ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2"/>
          <w:szCs w:val="22"/>
          <w:highlight w:val="none"/>
          <w:lang w:val="en-US" w:eastAsia="zh-CN"/>
        </w:rPr>
        <w:t xml:space="preserve">                                </w:t>
      </w:r>
      <w:r>
        <w:rPr>
          <w:rFonts w:hint="eastAsia" w:cs="宋体" w:asciiTheme="minorEastAsia" w:hAnsiTheme="minorEastAsia" w:eastAsiaTheme="minorEastAsia"/>
          <w:color w:val="auto"/>
          <w:highlight w:val="none"/>
        </w:rPr>
        <w:t>四川国际招标有限责任公司</w:t>
      </w:r>
    </w:p>
    <w:p>
      <w:pPr>
        <w:spacing w:line="360" w:lineRule="auto"/>
        <w:ind w:firstLine="6480" w:firstLineChars="2700"/>
        <w:rPr>
          <w:rFonts w:hint="eastAsia"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2024年02月</w:t>
      </w:r>
    </w:p>
    <w:p>
      <w:pPr>
        <w:rPr>
          <w:rFonts w:hAnsi="宋体"/>
          <w:b/>
          <w:color w:val="auto"/>
          <w:sz w:val="40"/>
          <w:szCs w:val="28"/>
          <w:highlight w:val="none"/>
        </w:rPr>
      </w:pPr>
      <w:r>
        <w:rPr>
          <w:rFonts w:hAnsi="宋体"/>
          <w:b/>
          <w:color w:val="auto"/>
          <w:sz w:val="40"/>
          <w:szCs w:val="28"/>
          <w:highlight w:val="none"/>
        </w:rPr>
        <w:br w:type="page"/>
      </w:r>
    </w:p>
    <w:p>
      <w:pPr>
        <w:spacing w:line="360" w:lineRule="auto"/>
        <w:jc w:val="center"/>
        <w:outlineLvl w:val="0"/>
        <w:rPr>
          <w:rFonts w:hAnsi="宋体"/>
          <w:b/>
          <w:color w:val="auto"/>
          <w:sz w:val="40"/>
          <w:szCs w:val="28"/>
          <w:highlight w:val="none"/>
        </w:rPr>
      </w:pPr>
      <w:bookmarkStart w:name="_Toc29838" w:id="8"/>
      <w:r>
        <w:rPr>
          <w:rFonts w:hAnsi="宋体"/>
          <w:b/>
          <w:color w:val="auto"/>
          <w:sz w:val="40"/>
          <w:szCs w:val="28"/>
          <w:highlight w:val="none"/>
        </w:rPr>
        <w:t>第二章  谈判须知</w:t>
      </w:r>
      <w:bookmarkEnd w:id="4"/>
      <w:bookmarkEnd w:id="5"/>
      <w:bookmarkEnd w:id="6"/>
      <w:bookmarkEnd w:id="7"/>
      <w:bookmarkEnd w:id="8"/>
    </w:p>
    <w:p>
      <w:pPr>
        <w:pStyle w:val="18"/>
        <w:spacing w:line="360" w:lineRule="auto"/>
        <w:jc w:val="center"/>
        <w:rPr>
          <w:color w:val="auto"/>
          <w:sz w:val="28"/>
          <w:szCs w:val="28"/>
          <w:highlight w:val="none"/>
        </w:rPr>
      </w:pPr>
      <w:r>
        <w:rPr>
          <w:rFonts w:hint="eastAsia" w:hAnsi="宋体"/>
          <w:b/>
          <w:bCs/>
          <w:color w:val="auto"/>
          <w:sz w:val="28"/>
          <w:szCs w:val="28"/>
          <w:highlight w:val="none"/>
        </w:rPr>
        <w:t>一、谈判须知前附表</w:t>
      </w:r>
    </w:p>
    <w:tbl>
      <w:tblPr>
        <w:tblStyle w:val="43"/>
        <w:tblW w:w="8580"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1654"/>
        <w:gridCol w:w="6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646" w:type="dxa"/>
            <w:vAlign w:val="center"/>
          </w:tcPr>
          <w:p>
            <w:pPr>
              <w:spacing w:line="360" w:lineRule="auto"/>
              <w:ind w:left="9"/>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654" w:type="dxa"/>
            <w:vAlign w:val="center"/>
          </w:tcPr>
          <w:p>
            <w:pPr>
              <w:spacing w:line="360" w:lineRule="auto"/>
              <w:ind w:left="3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条款名称</w:t>
            </w:r>
          </w:p>
        </w:tc>
        <w:tc>
          <w:tcPr>
            <w:tcW w:w="6280"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646"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654" w:type="dxa"/>
            <w:vAlign w:val="center"/>
          </w:tcPr>
          <w:p>
            <w:pPr>
              <w:spacing w:line="360" w:lineRule="auto"/>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采购项目名称</w:t>
            </w:r>
          </w:p>
        </w:tc>
        <w:tc>
          <w:tcPr>
            <w:tcW w:w="6280" w:type="dxa"/>
            <w:vAlign w:val="center"/>
          </w:tcPr>
          <w:p>
            <w:pPr>
              <w:pStyle w:val="39"/>
              <w:spacing w:before="0" w:beforeAutospacing="false" w:after="0" w:afterAutospacing="false" w:line="360" w:lineRule="auto"/>
              <w:jc w:val="left"/>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蓝田县滋水学校营养午餐改善计划服务项目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646"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654" w:type="dxa"/>
            <w:vAlign w:val="center"/>
          </w:tcPr>
          <w:p>
            <w:pPr>
              <w:spacing w:line="360" w:lineRule="auto"/>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采购文件编号</w:t>
            </w:r>
          </w:p>
        </w:tc>
        <w:tc>
          <w:tcPr>
            <w:tcW w:w="6280" w:type="dxa"/>
            <w:vAlign w:val="center"/>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SCIT-ZT-SX2024020001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646"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654" w:type="dxa"/>
            <w:vAlign w:val="center"/>
          </w:tcPr>
          <w:p>
            <w:pPr>
              <w:spacing w:line="360" w:lineRule="auto"/>
              <w:ind w:left="38"/>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最高限价</w:t>
            </w:r>
            <w:r>
              <w:rPr>
                <w:rFonts w:hint="eastAsia" w:asciiTheme="minorEastAsia" w:hAnsiTheme="minorEastAsia" w:eastAsiaTheme="minorEastAsia" w:cstheme="minorEastAsia"/>
                <w:b/>
                <w:color w:val="auto"/>
                <w:sz w:val="21"/>
                <w:szCs w:val="21"/>
                <w:highlight w:val="none"/>
              </w:rPr>
              <w:t>（实质性要求）</w:t>
            </w:r>
          </w:p>
        </w:tc>
        <w:tc>
          <w:tcPr>
            <w:tcW w:w="6280" w:type="dxa"/>
            <w:vAlign w:val="center"/>
          </w:tcPr>
          <w:p>
            <w:pPr>
              <w:pStyle w:val="39"/>
              <w:spacing w:before="0" w:beforeAutospacing="false" w:after="0" w:afterAutospacing="false" w:line="360" w:lineRule="auto"/>
              <w:jc w:val="left"/>
              <w:rPr>
                <w:rFonts w:hint="eastAsia" w:cs="Times New Roman" w:asciiTheme="minorEastAsia" w:hAnsiTheme="minorEastAsia" w:eastAsiaTheme="minorEastAsia"/>
                <w:color w:val="auto"/>
                <w:sz w:val="21"/>
                <w:szCs w:val="21"/>
                <w:highlight w:val="none"/>
                <w:lang w:eastAsia="zh-CN"/>
              </w:rPr>
            </w:pPr>
            <w:r>
              <w:rPr>
                <w:rFonts w:hint="eastAsia" w:cs="Times New Roman" w:asciiTheme="minorEastAsia" w:hAnsiTheme="minorEastAsia" w:eastAsiaTheme="minorEastAsia"/>
                <w:color w:val="auto"/>
                <w:sz w:val="21"/>
                <w:szCs w:val="21"/>
                <w:highlight w:val="none"/>
                <w:lang w:eastAsia="zh-CN"/>
              </w:rPr>
              <w:t>1、供应商在</w:t>
            </w:r>
            <w:r>
              <w:rPr>
                <w:rFonts w:hint="eastAsia" w:cs="Times New Roman" w:asciiTheme="minorEastAsia" w:hAnsiTheme="minorEastAsia" w:eastAsiaTheme="minorEastAsia"/>
                <w:color w:val="auto"/>
                <w:sz w:val="21"/>
                <w:szCs w:val="21"/>
                <w:highlight w:val="none"/>
                <w:lang w:val="en-US" w:eastAsia="zh-CN"/>
              </w:rPr>
              <w:t>市场基准价格的基础上</w:t>
            </w:r>
            <w:r>
              <w:rPr>
                <w:rFonts w:hint="eastAsia" w:cs="Times New Roman" w:asciiTheme="minorEastAsia" w:hAnsiTheme="minorEastAsia" w:eastAsiaTheme="minorEastAsia"/>
                <w:color w:val="auto"/>
                <w:sz w:val="21"/>
                <w:szCs w:val="21"/>
                <w:highlight w:val="none"/>
                <w:lang w:eastAsia="zh-CN"/>
              </w:rPr>
              <w:t>按照下浮率报价，以1个百分点为最小浮动单位。</w:t>
            </w:r>
          </w:p>
          <w:p>
            <w:pPr>
              <w:pStyle w:val="39"/>
              <w:spacing w:before="0" w:beforeAutospacing="false" w:after="0" w:afterAutospacing="false" w:line="360" w:lineRule="auto"/>
              <w:jc w:val="left"/>
              <w:rPr>
                <w:rFonts w:hint="eastAsia" w:cs="Times New Roman" w:asciiTheme="minorEastAsia" w:hAnsiTheme="minorEastAsia" w:eastAsiaTheme="minorEastAsia"/>
                <w:color w:val="auto"/>
                <w:sz w:val="21"/>
                <w:szCs w:val="21"/>
                <w:highlight w:val="none"/>
                <w:lang w:eastAsia="zh-CN"/>
              </w:rPr>
            </w:pPr>
            <w:r>
              <w:rPr>
                <w:rFonts w:hint="eastAsia" w:cs="Times New Roman" w:asciiTheme="minorEastAsia" w:hAnsiTheme="minorEastAsia" w:eastAsiaTheme="minorEastAsia"/>
                <w:color w:val="auto"/>
                <w:sz w:val="21"/>
                <w:szCs w:val="21"/>
                <w:highlight w:val="none"/>
                <w:lang w:eastAsia="zh-CN"/>
              </w:rPr>
              <w:t>2、</w:t>
            </w:r>
            <w:r>
              <w:rPr>
                <w:rFonts w:hint="eastAsia" w:cs="Times New Roman" w:asciiTheme="minorEastAsia" w:hAnsiTheme="minorEastAsia" w:eastAsiaTheme="minorEastAsia"/>
                <w:color w:val="auto"/>
                <w:sz w:val="21"/>
                <w:szCs w:val="21"/>
                <w:highlight w:val="none"/>
                <w:lang w:val="en-US" w:eastAsia="zh-CN"/>
              </w:rPr>
              <w:t>按照询价小组采用市场询价的方式确认的市场基准价格为准</w:t>
            </w:r>
            <w:r>
              <w:rPr>
                <w:rFonts w:hint="eastAsia" w:cs="Times New Roman" w:asciiTheme="minorEastAsia" w:hAnsiTheme="minorEastAsia" w:eastAsiaTheme="minorEastAsia"/>
                <w:color w:val="auto"/>
                <w:sz w:val="21"/>
                <w:szCs w:val="21"/>
                <w:highlight w:val="none"/>
                <w:lang w:eastAsia="zh-CN"/>
              </w:rPr>
              <w:t>。</w:t>
            </w:r>
          </w:p>
          <w:p>
            <w:pPr>
              <w:pStyle w:val="39"/>
              <w:spacing w:before="0" w:beforeAutospacing="false" w:after="0" w:afterAutospacing="false" w:line="360" w:lineRule="auto"/>
              <w:jc w:val="left"/>
              <w:rPr>
                <w:rFonts w:hint="eastAsia" w:cs="Times New Roman" w:asciiTheme="minorEastAsia" w:hAnsiTheme="minorEastAsia" w:eastAsiaTheme="minorEastAsia"/>
                <w:color w:val="auto"/>
                <w:sz w:val="21"/>
                <w:szCs w:val="21"/>
                <w:highlight w:val="none"/>
                <w:lang w:eastAsia="zh-CN"/>
              </w:rPr>
            </w:pPr>
            <w:r>
              <w:rPr>
                <w:rFonts w:hint="eastAsia" w:cs="Times New Roman" w:asciiTheme="minorEastAsia" w:hAnsiTheme="minorEastAsia" w:eastAsiaTheme="minorEastAsia"/>
                <w:color w:val="auto"/>
                <w:sz w:val="21"/>
                <w:szCs w:val="21"/>
                <w:highlight w:val="none"/>
                <w:lang w:val="en-US" w:eastAsia="zh-CN"/>
              </w:rPr>
              <w:t>3.</w:t>
            </w:r>
            <w:r>
              <w:rPr>
                <w:rFonts w:hint="eastAsia" w:cs="Times New Roman" w:asciiTheme="minorEastAsia" w:hAnsiTheme="minorEastAsia" w:eastAsiaTheme="minorEastAsia"/>
                <w:color w:val="auto"/>
                <w:sz w:val="21"/>
                <w:szCs w:val="21"/>
                <w:highlight w:val="none"/>
                <w:lang w:eastAsia="zh-CN"/>
              </w:rPr>
              <w:t>供应商</w:t>
            </w:r>
            <w:r>
              <w:rPr>
                <w:rFonts w:hint="eastAsia" w:cs="Times New Roman" w:asciiTheme="minorEastAsia" w:hAnsiTheme="minorEastAsia" w:eastAsiaTheme="minorEastAsia"/>
                <w:color w:val="auto"/>
                <w:sz w:val="21"/>
                <w:szCs w:val="21"/>
                <w:highlight w:val="none"/>
                <w:lang w:val="en-US" w:eastAsia="zh-CN"/>
              </w:rPr>
              <w:t>报价下浮率不得低于1%，否则视为无效报价。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646"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654" w:type="dxa"/>
            <w:vAlign w:val="center"/>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响应文件有效期</w:t>
            </w:r>
          </w:p>
        </w:tc>
        <w:tc>
          <w:tcPr>
            <w:tcW w:w="6280" w:type="dxa"/>
            <w:vAlign w:val="center"/>
          </w:tcPr>
          <w:p>
            <w:pPr>
              <w:pStyle w:val="39"/>
              <w:spacing w:before="0" w:beforeAutospacing="false" w:after="0" w:afterAutospacing="false" w:line="360" w:lineRule="auto"/>
              <w:jc w:val="left"/>
              <w:rPr>
                <w:rFonts w:hint="eastAsia" w:cs="Times New Roman" w:asciiTheme="minorEastAsia" w:hAnsiTheme="minorEastAsia" w:eastAsiaTheme="minorEastAsia"/>
                <w:color w:val="auto"/>
                <w:sz w:val="21"/>
                <w:szCs w:val="21"/>
                <w:highlight w:val="none"/>
                <w:lang w:eastAsia="zh-CN"/>
              </w:rPr>
            </w:pPr>
            <w:bookmarkStart w:name="PO_默认文件内容_2" w:id="9"/>
            <w:r>
              <w:rPr>
                <w:rFonts w:hint="eastAsia" w:cs="Times New Roman" w:asciiTheme="minorEastAsia" w:hAnsiTheme="minorEastAsia" w:eastAsiaTheme="minorEastAsia"/>
                <w:color w:val="auto"/>
                <w:sz w:val="21"/>
                <w:szCs w:val="21"/>
                <w:highlight w:val="none"/>
                <w:lang w:eastAsia="zh-CN"/>
              </w:rPr>
              <w:t>90日历日</w:t>
            </w:r>
            <w:bookmarkEnd w:id="9"/>
            <w:r>
              <w:rPr>
                <w:rFonts w:hint="eastAsia" w:cs="Times New Roman" w:asciiTheme="minorEastAsia" w:hAnsiTheme="minorEastAsia" w:eastAsiaTheme="minorEastAsia"/>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46"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654" w:type="dxa"/>
            <w:vAlign w:val="center"/>
          </w:tcPr>
          <w:p>
            <w:pPr>
              <w:spacing w:line="360" w:lineRule="auto"/>
              <w:ind w:left="33"/>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谈判保证金</w:t>
            </w:r>
          </w:p>
        </w:tc>
        <w:tc>
          <w:tcPr>
            <w:tcW w:w="6280" w:type="dxa"/>
            <w:vAlign w:val="center"/>
          </w:tcPr>
          <w:p>
            <w:pPr>
              <w:spacing w:line="360" w:lineRule="auto"/>
              <w:ind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646" w:type="dxa"/>
            <w:vAlign w:val="center"/>
          </w:tcPr>
          <w:p>
            <w:pPr>
              <w:pStyle w:val="211"/>
              <w:ind w:firstLine="105" w:firstLine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val="en-US" w:eastAsia="zh-CN"/>
              </w:rPr>
              <w:t>6</w:t>
            </w:r>
          </w:p>
        </w:tc>
        <w:tc>
          <w:tcPr>
            <w:tcW w:w="1654" w:type="dxa"/>
            <w:vAlign w:val="center"/>
          </w:tcPr>
          <w:p>
            <w:pPr>
              <w:pStyle w:val="211"/>
              <w:ind w:firstLine="105" w:firstLineChars="50"/>
              <w:rPr>
                <w:rFonts w:asciiTheme="minorEastAsia" w:hAnsiTheme="minorEastAsia" w:eastAsiaTheme="minorEastAsia" w:cstheme="minorEastAsia"/>
                <w:color w:val="auto"/>
                <w:sz w:val="21"/>
                <w:szCs w:val="21"/>
                <w:highlight w:val="none"/>
              </w:rPr>
            </w:pPr>
            <w:r>
              <w:rPr>
                <w:rFonts w:hint="eastAsia" w:ascii="Times New Roman" w:cs="Times New Roman"/>
                <w:color w:val="auto"/>
                <w:sz w:val="21"/>
                <w:szCs w:val="21"/>
                <w:highlight w:val="none"/>
                <w:lang w:val="zh-CN"/>
              </w:rPr>
              <w:t>小微企业（监狱企业、残疾人福利性单位视同小微企业）价格扣除</w:t>
            </w:r>
          </w:p>
        </w:tc>
        <w:tc>
          <w:tcPr>
            <w:tcW w:w="6280" w:type="dxa"/>
            <w:vAlign w:val="center"/>
          </w:tcPr>
          <w:p>
            <w:pPr>
              <w:pStyle w:val="211"/>
              <w:ind w:firstLine="105" w:firstLineChars="50"/>
              <w:rPr>
                <w:rFonts w:ascii="Times New Roman" w:cs="Times New Roman"/>
                <w:color w:val="auto"/>
                <w:sz w:val="21"/>
                <w:szCs w:val="21"/>
                <w:highlight w:val="none"/>
                <w:lang w:val="zh-CN"/>
              </w:rPr>
            </w:pPr>
            <w:r>
              <w:rPr>
                <w:rFonts w:hint="eastAsia" w:ascii="Times New Roman" w:cs="Times New Roman"/>
                <w:color w:val="auto"/>
                <w:sz w:val="21"/>
                <w:szCs w:val="21"/>
                <w:highlight w:val="none"/>
                <w:lang w:val="zh-CN"/>
              </w:rPr>
              <w:t>1、根据《政府采购促进中小企业发展管理办法》（财库〔2020〕46号）的规定，对于经主管预算单位统筹后未预留份额专门面向中小企业采购的采购项目，以及预留份额项目中的非预留部分采购包，对符合规定的小微企业报价给予</w:t>
            </w:r>
            <w:r>
              <w:rPr>
                <w:rFonts w:hint="eastAsia" w:ascii="Times New Roman" w:cs="Times New Roman"/>
                <w:color w:val="auto"/>
                <w:sz w:val="21"/>
                <w:szCs w:val="21"/>
                <w:highlight w:val="none"/>
              </w:rPr>
              <w:t>10</w:t>
            </w:r>
            <w:r>
              <w:rPr>
                <w:rFonts w:hint="eastAsia" w:ascii="Times New Roman" w:cs="Times New Roman"/>
                <w:color w:val="auto"/>
                <w:sz w:val="21"/>
                <w:szCs w:val="21"/>
                <w:highlight w:val="none"/>
                <w:lang w:val="zh-CN"/>
              </w:rPr>
              <w:t>%的扣除，用扣除后的价格参加评审。</w:t>
            </w:r>
          </w:p>
          <w:p>
            <w:pPr>
              <w:pStyle w:val="211"/>
              <w:ind w:firstLine="105" w:firstLineChars="50"/>
              <w:rPr>
                <w:rFonts w:ascii="Times New Roman" w:cs="Times New Roman"/>
                <w:color w:val="auto"/>
                <w:sz w:val="21"/>
                <w:szCs w:val="21"/>
                <w:highlight w:val="none"/>
                <w:lang w:val="zh-CN"/>
              </w:rPr>
            </w:pPr>
            <w:r>
              <w:rPr>
                <w:rFonts w:hint="eastAsia" w:ascii="Times New Roman" w:cs="Times New Roman"/>
                <w:color w:val="auto"/>
                <w:sz w:val="21"/>
                <w:szCs w:val="21"/>
                <w:highlight w:val="none"/>
                <w:lang w:val="zh-CN"/>
              </w:rPr>
              <w:t>2、参加政府采购活动的中小企业（监狱企业）提供《中小企业（监狱企业）声明函》原件，未提供的，视为放弃享受小微企业价格扣除优惠政策。</w:t>
            </w:r>
          </w:p>
          <w:p>
            <w:pPr>
              <w:pStyle w:val="211"/>
              <w:ind w:firstLine="105" w:firstLineChars="50"/>
              <w:rPr>
                <w:rFonts w:ascii="Times New Roman" w:cs="Times New Roman"/>
                <w:color w:val="auto"/>
                <w:sz w:val="21"/>
                <w:szCs w:val="21"/>
                <w:highlight w:val="none"/>
                <w:lang w:val="zh-CN"/>
              </w:rPr>
            </w:pPr>
            <w:r>
              <w:rPr>
                <w:rFonts w:hint="eastAsia" w:ascii="Times New Roman" w:cs="Times New Roman"/>
                <w:color w:val="auto"/>
                <w:sz w:val="21"/>
                <w:szCs w:val="21"/>
                <w:highlight w:val="none"/>
                <w:lang w:val="zh-CN"/>
              </w:rPr>
              <w:t>3、参加政府采购活动的残疾人福利性单位应当提供《残疾人福利性单位声明函》原件，未提供的，视为放弃享受小微企业价格扣除优惠政策。</w:t>
            </w:r>
          </w:p>
          <w:p>
            <w:pPr>
              <w:pStyle w:val="211"/>
              <w:ind w:firstLine="105" w:firstLineChars="50"/>
              <w:rPr>
                <w:rFonts w:asciiTheme="minorEastAsia" w:hAnsiTheme="minorEastAsia" w:eastAsiaTheme="minorEastAsia" w:cstheme="minorEastAsia"/>
                <w:b/>
                <w:color w:val="auto"/>
                <w:sz w:val="21"/>
                <w:szCs w:val="21"/>
                <w:highlight w:val="none"/>
              </w:rPr>
            </w:pPr>
            <w:r>
              <w:rPr>
                <w:rFonts w:hint="eastAsia" w:ascii="Times New Roman" w:cs="Times New Roman"/>
                <w:color w:val="auto"/>
                <w:sz w:val="21"/>
                <w:szCs w:val="21"/>
                <w:highlight w:val="none"/>
                <w:lang w:val="en-US" w:eastAsia="zh-CN"/>
              </w:rPr>
              <w:t>4</w:t>
            </w:r>
            <w:r>
              <w:rPr>
                <w:rFonts w:hint="eastAsia" w:ascii="Times New Roman" w:cs="Times New Roman"/>
                <w:color w:val="auto"/>
                <w:sz w:val="21"/>
                <w:szCs w:val="21"/>
                <w:highlight w:val="none"/>
                <w:lang w:val="zh-CN"/>
              </w:rPr>
              <w:t>、符合中小企业划分标准的个体工商户，在政府采购活动中视同中小企业。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646" w:type="dxa"/>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654" w:type="dxa"/>
            <w:vAlign w:val="center"/>
          </w:tcPr>
          <w:p>
            <w:pPr>
              <w:pStyle w:val="211"/>
              <w:spacing w:line="360" w:lineRule="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zh-CN"/>
              </w:rPr>
              <w:t>节能、环保产品政府采购政策（本项目不适用）</w:t>
            </w:r>
          </w:p>
        </w:tc>
        <w:tc>
          <w:tcPr>
            <w:tcW w:w="6280" w:type="dxa"/>
            <w:vAlign w:val="center"/>
          </w:tcPr>
          <w:p>
            <w:pPr>
              <w:pStyle w:val="211"/>
              <w:ind w:firstLine="105" w:firstLineChars="50"/>
              <w:rPr>
                <w:rFonts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节能、环保产品政府采购政策：</w:t>
            </w:r>
          </w:p>
          <w:p>
            <w:pPr>
              <w:pStyle w:val="211"/>
              <w:ind w:firstLine="105" w:firstLineChars="50"/>
              <w:rPr>
                <w:rFonts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211"/>
              <w:ind w:firstLine="105" w:firstLineChars="5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本项目采购的产品属于品目清单范围内优先采购的，按照第五章的规则进行评审。</w:t>
            </w:r>
          </w:p>
          <w:p>
            <w:pPr>
              <w:pStyle w:val="211"/>
              <w:spacing w:line="360" w:lineRule="auto"/>
              <w:ind w:firstLine="420" w:firstLineChars="200"/>
              <w:jc w:val="both"/>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6" w:hRule="atLeast"/>
        </w:trPr>
        <w:tc>
          <w:tcPr>
            <w:tcW w:w="646" w:type="dxa"/>
            <w:vAlign w:val="center"/>
          </w:tcPr>
          <w:p>
            <w:pPr>
              <w:widowControl/>
              <w:wordWrap/>
              <w:spacing w:line="360" w:lineRule="atLeast"/>
              <w:ind w:right="264" w:right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8</w:t>
            </w:r>
          </w:p>
        </w:tc>
        <w:tc>
          <w:tcPr>
            <w:tcW w:w="1654" w:type="dxa"/>
            <w:vAlign w:val="center"/>
          </w:tcPr>
          <w:p>
            <w:pPr>
              <w:widowControl/>
              <w:wordWrap/>
              <w:spacing w:line="360" w:lineRule="atLeast"/>
              <w:jc w:val="center"/>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olor w:val="auto"/>
                <w:sz w:val="21"/>
                <w:szCs w:val="21"/>
                <w:highlight w:val="none"/>
              </w:rPr>
              <w:t>代理服务费</w:t>
            </w:r>
          </w:p>
        </w:tc>
        <w:tc>
          <w:tcPr>
            <w:tcW w:w="6280" w:type="dxa"/>
            <w:vAlign w:val="center"/>
          </w:tcPr>
          <w:p>
            <w:pPr>
              <w:pStyle w:val="211"/>
              <w:ind w:firstLine="210" w:firstLineChars="100"/>
              <w:rPr>
                <w:rFonts w:hint="eastAsia" w:eastAsia="宋体" w:cs="Times New Roman"/>
                <w:color w:val="auto"/>
                <w:kern w:val="2"/>
                <w:sz w:val="21"/>
                <w:szCs w:val="21"/>
                <w:highlight w:val="none"/>
                <w:lang w:val="zh-CN"/>
              </w:rPr>
            </w:pPr>
            <w:bookmarkStart w:name="PO_默认文件内容_4" w:id="10"/>
            <w:bookmarkEnd w:id="10"/>
            <w:r>
              <w:rPr>
                <w:rFonts w:hint="eastAsia" w:eastAsia="宋体" w:cs="Times New Roman"/>
                <w:color w:val="auto"/>
                <w:kern w:val="2"/>
                <w:sz w:val="21"/>
                <w:szCs w:val="21"/>
                <w:highlight w:val="none"/>
                <w:lang w:val="zh-CN"/>
              </w:rPr>
              <w:t>以预算金额为基数</w:t>
            </w:r>
            <w:r>
              <w:rPr>
                <w:rFonts w:hint="eastAsia" w:eastAsia="宋体" w:cs="Times New Roman"/>
                <w:color w:val="auto"/>
                <w:kern w:val="2"/>
                <w:sz w:val="21"/>
                <w:szCs w:val="21"/>
                <w:highlight w:val="none"/>
                <w:lang w:val="en-US" w:eastAsia="zh-CN"/>
              </w:rPr>
              <w:t>,</w:t>
            </w:r>
            <w:r>
              <w:rPr>
                <w:rFonts w:hint="eastAsia" w:eastAsia="宋体" w:cs="Times New Roman"/>
                <w:color w:val="auto"/>
                <w:kern w:val="2"/>
                <w:sz w:val="21"/>
                <w:szCs w:val="21"/>
                <w:highlight w:val="none"/>
                <w:lang w:val="zh-CN"/>
              </w:rPr>
              <w:t>参照国家计委计价格[2002]1980号及发改办价格[2003]857号通知规定</w:t>
            </w:r>
            <w:r>
              <w:rPr>
                <w:rFonts w:hint="eastAsia" w:eastAsia="宋体" w:cs="Times New Roman"/>
                <w:color w:val="auto"/>
                <w:kern w:val="2"/>
                <w:sz w:val="21"/>
                <w:szCs w:val="21"/>
                <w:highlight w:val="none"/>
                <w:lang w:val="en-US" w:eastAsia="zh-CN"/>
              </w:rPr>
              <w:t>收取</w:t>
            </w:r>
            <w:r>
              <w:rPr>
                <w:rFonts w:hint="eastAsia" w:eastAsia="宋体" w:cs="Times New Roman"/>
                <w:color w:val="auto"/>
                <w:kern w:val="2"/>
                <w:sz w:val="21"/>
                <w:szCs w:val="21"/>
                <w:highlight w:val="none"/>
                <w:lang w:val="zh-CN"/>
              </w:rPr>
              <w:t>，由成交人在领取成交通知书前向招标代理机构交纳招标服务费。</w:t>
            </w:r>
          </w:p>
          <w:p>
            <w:pPr>
              <w:pStyle w:val="211"/>
              <w:ind w:firstLine="210" w:firstLineChars="100"/>
              <w:rPr>
                <w:rFonts w:hint="eastAsia" w:eastAsia="宋体" w:cs="Times New Roman"/>
                <w:color w:val="auto"/>
                <w:kern w:val="2"/>
                <w:sz w:val="21"/>
                <w:szCs w:val="21"/>
                <w:highlight w:val="none"/>
                <w:lang w:val="zh-CN"/>
              </w:rPr>
            </w:pPr>
            <w:r>
              <w:rPr>
                <w:rFonts w:hint="eastAsia" w:eastAsia="宋体" w:cs="Times New Roman"/>
                <w:color w:val="auto"/>
                <w:kern w:val="2"/>
                <w:sz w:val="21"/>
                <w:szCs w:val="21"/>
                <w:highlight w:val="none"/>
                <w:lang w:val="zh-CN"/>
              </w:rPr>
              <w:t>招标代理服务费支付方式：银行转账或现金方式</w:t>
            </w:r>
          </w:p>
          <w:p>
            <w:pPr>
              <w:pStyle w:val="211"/>
              <w:ind w:firstLine="105" w:firstLineChars="50"/>
              <w:rPr>
                <w:rFonts w:cs="Times New Roman"/>
                <w:color w:val="auto"/>
                <w:kern w:val="2"/>
                <w:sz w:val="21"/>
                <w:szCs w:val="21"/>
                <w:highlight w:val="none"/>
                <w:lang w:val="zh-CN"/>
              </w:rPr>
            </w:pPr>
            <w:r>
              <w:rPr>
                <w:rFonts w:hint="eastAsia" w:cs="Times New Roman"/>
                <w:color w:val="auto"/>
                <w:kern w:val="2"/>
                <w:sz w:val="21"/>
                <w:szCs w:val="21"/>
                <w:highlight w:val="none"/>
                <w:lang w:val="zh-CN"/>
              </w:rPr>
              <w:t>收款单位：四川国际招标有限责任公司陕西分公司</w:t>
            </w:r>
          </w:p>
          <w:p>
            <w:pPr>
              <w:pStyle w:val="211"/>
              <w:ind w:firstLine="105" w:firstLineChars="50"/>
              <w:rPr>
                <w:rFonts w:cs="Times New Roman"/>
                <w:color w:val="auto"/>
                <w:kern w:val="2"/>
                <w:sz w:val="21"/>
                <w:szCs w:val="21"/>
                <w:highlight w:val="none"/>
                <w:lang w:val="zh-CN"/>
              </w:rPr>
            </w:pPr>
            <w:r>
              <w:rPr>
                <w:rFonts w:hint="eastAsia" w:cs="Times New Roman"/>
                <w:color w:val="auto"/>
                <w:kern w:val="2"/>
                <w:sz w:val="21"/>
                <w:szCs w:val="21"/>
                <w:highlight w:val="none"/>
                <w:lang w:val="zh-CN"/>
              </w:rPr>
              <w:t>开 户 行：中国民生银行股份有限公司西安高新开发区支行</w:t>
            </w:r>
          </w:p>
          <w:p>
            <w:pPr>
              <w:pStyle w:val="211"/>
              <w:spacing w:line="370" w:lineRule="exact"/>
              <w:rPr>
                <w:rFonts w:cs="Times New Roman"/>
                <w:color w:val="auto"/>
                <w:kern w:val="2"/>
                <w:sz w:val="21"/>
                <w:szCs w:val="21"/>
                <w:highlight w:val="none"/>
                <w:lang w:val="zh-CN"/>
              </w:rPr>
            </w:pPr>
            <w:r>
              <w:rPr>
                <w:rFonts w:hint="eastAsia" w:cs="Times New Roman"/>
                <w:color w:val="auto"/>
                <w:kern w:val="2"/>
                <w:sz w:val="21"/>
                <w:szCs w:val="21"/>
                <w:highlight w:val="none"/>
                <w:lang w:val="zh-CN"/>
              </w:rPr>
              <w:t>银行账号：600582071</w:t>
            </w:r>
            <w:r>
              <w:rPr>
                <w:rFonts w:hint="eastAsia" w:cs="Times New Roman"/>
                <w:color w:val="auto"/>
                <w:kern w:val="2"/>
                <w:sz w:val="21"/>
                <w:szCs w:val="21"/>
                <w:highlight w:val="none"/>
                <w:lang w:val="en-US" w:eastAsia="zh-CN"/>
              </w:rPr>
              <w:t xml:space="preserve"> </w:t>
            </w:r>
            <w:r>
              <w:rPr>
                <w:rFonts w:hint="eastAsia"/>
                <w:color w:val="auto"/>
                <w:sz w:val="21"/>
                <w:szCs w:val="21"/>
                <w:highlight w:val="none"/>
              </w:rPr>
              <w:t xml:space="preserve"> </w:t>
            </w:r>
          </w:p>
          <w:tbl>
            <w:tblPr>
              <w:tblStyle w:val="43"/>
              <w:tblW w:w="6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1275"/>
              <w:gridCol w:w="1228"/>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79"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服务类型/费率/中标金额（万元）</w:t>
                  </w:r>
                </w:p>
              </w:tc>
              <w:tc>
                <w:tcPr>
                  <w:tcW w:w="1275" w:type="dxa"/>
                  <w:tcBorders>
                    <w:top w:val="single" w:color="auto" w:sz="4" w:space="0"/>
                    <w:left w:val="single" w:color="auto" w:sz="4" w:space="0"/>
                    <w:bottom w:val="single" w:color="auto" w:sz="4" w:space="0"/>
                    <w:right w:val="single" w:color="auto" w:sz="4" w:space="0"/>
                  </w:tcBorders>
                  <w:vAlign w:val="center"/>
                </w:tcPr>
                <w:p>
                  <w:pPr>
                    <w:pStyle w:val="211"/>
                    <w:spacing w:line="370" w:lineRule="exact"/>
                    <w:rPr>
                      <w:color w:val="auto"/>
                      <w:sz w:val="21"/>
                      <w:szCs w:val="21"/>
                      <w:highlight w:val="none"/>
                      <w:lang w:val="zh-CN"/>
                    </w:rPr>
                  </w:pPr>
                  <w:r>
                    <w:rPr>
                      <w:rFonts w:hint="eastAsia"/>
                      <w:color w:val="auto"/>
                      <w:sz w:val="21"/>
                      <w:szCs w:val="21"/>
                      <w:highlight w:val="none"/>
                      <w:lang w:val="zh-CN"/>
                    </w:rPr>
                    <w:t>货物招标</w:t>
                  </w:r>
                </w:p>
              </w:tc>
              <w:tc>
                <w:tcPr>
                  <w:tcW w:w="1228" w:type="dxa"/>
                  <w:tcBorders>
                    <w:top w:val="single" w:color="auto" w:sz="4" w:space="0"/>
                    <w:left w:val="single" w:color="auto" w:sz="4" w:space="0"/>
                    <w:bottom w:val="single" w:color="auto" w:sz="4" w:space="0"/>
                    <w:right w:val="single" w:color="auto" w:sz="4" w:space="0"/>
                  </w:tcBorders>
                  <w:vAlign w:val="center"/>
                </w:tcPr>
                <w:p>
                  <w:pPr>
                    <w:pStyle w:val="211"/>
                    <w:spacing w:line="370" w:lineRule="exact"/>
                    <w:rPr>
                      <w:color w:val="auto"/>
                      <w:sz w:val="21"/>
                      <w:szCs w:val="21"/>
                      <w:highlight w:val="none"/>
                      <w:lang w:val="zh-CN"/>
                    </w:rPr>
                  </w:pPr>
                  <w:r>
                    <w:rPr>
                      <w:rFonts w:hint="eastAsia"/>
                      <w:color w:val="auto"/>
                      <w:sz w:val="21"/>
                      <w:szCs w:val="21"/>
                      <w:highlight w:val="none"/>
                      <w:lang w:val="zh-CN"/>
                    </w:rPr>
                    <w:t>服务招标</w:t>
                  </w:r>
                </w:p>
              </w:tc>
              <w:tc>
                <w:tcPr>
                  <w:tcW w:w="1478" w:type="dxa"/>
                  <w:tcBorders>
                    <w:top w:val="single" w:color="auto" w:sz="4" w:space="0"/>
                    <w:left w:val="single" w:color="auto" w:sz="4" w:space="0"/>
                    <w:bottom w:val="single" w:color="auto" w:sz="4" w:space="0"/>
                    <w:right w:val="single" w:color="auto" w:sz="4" w:space="0"/>
                  </w:tcBorders>
                  <w:vAlign w:val="center"/>
                </w:tcPr>
                <w:p>
                  <w:pPr>
                    <w:pStyle w:val="211"/>
                    <w:spacing w:line="370" w:lineRule="exact"/>
                    <w:rPr>
                      <w:color w:val="auto"/>
                      <w:sz w:val="21"/>
                      <w:szCs w:val="21"/>
                      <w:highlight w:val="none"/>
                      <w:lang w:val="zh-CN"/>
                    </w:rPr>
                  </w:pPr>
                  <w:r>
                    <w:rPr>
                      <w:rFonts w:hint="eastAsia"/>
                      <w:color w:val="auto"/>
                      <w:sz w:val="21"/>
                      <w:szCs w:val="21"/>
                      <w:highlight w:val="none"/>
                      <w:lang w:val="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279"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100以下</w:t>
                  </w:r>
                </w:p>
              </w:tc>
              <w:tc>
                <w:tcPr>
                  <w:tcW w:w="1275"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1.5%</w:t>
                  </w:r>
                </w:p>
              </w:tc>
              <w:tc>
                <w:tcPr>
                  <w:tcW w:w="1228"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1.5%</w:t>
                  </w:r>
                </w:p>
              </w:tc>
              <w:tc>
                <w:tcPr>
                  <w:tcW w:w="1478"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279"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100-500</w:t>
                  </w:r>
                </w:p>
              </w:tc>
              <w:tc>
                <w:tcPr>
                  <w:tcW w:w="1275"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1.1%</w:t>
                  </w:r>
                </w:p>
              </w:tc>
              <w:tc>
                <w:tcPr>
                  <w:tcW w:w="1228"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0.8%</w:t>
                  </w:r>
                </w:p>
              </w:tc>
              <w:tc>
                <w:tcPr>
                  <w:tcW w:w="1478"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279"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500-1000</w:t>
                  </w:r>
                </w:p>
              </w:tc>
              <w:tc>
                <w:tcPr>
                  <w:tcW w:w="1275"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0.8%</w:t>
                  </w:r>
                </w:p>
              </w:tc>
              <w:tc>
                <w:tcPr>
                  <w:tcW w:w="1228"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0.45%</w:t>
                  </w:r>
                </w:p>
              </w:tc>
              <w:tc>
                <w:tcPr>
                  <w:tcW w:w="1478"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279"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1000-5000</w:t>
                  </w:r>
                </w:p>
              </w:tc>
              <w:tc>
                <w:tcPr>
                  <w:tcW w:w="1275"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0.5%</w:t>
                  </w:r>
                </w:p>
              </w:tc>
              <w:tc>
                <w:tcPr>
                  <w:tcW w:w="1228"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0.25%</w:t>
                  </w:r>
                </w:p>
              </w:tc>
              <w:tc>
                <w:tcPr>
                  <w:tcW w:w="1478"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279"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5000-10000</w:t>
                  </w:r>
                </w:p>
              </w:tc>
              <w:tc>
                <w:tcPr>
                  <w:tcW w:w="1275"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0.25%</w:t>
                  </w:r>
                </w:p>
              </w:tc>
              <w:tc>
                <w:tcPr>
                  <w:tcW w:w="1228"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0.1%</w:t>
                  </w:r>
                </w:p>
              </w:tc>
              <w:tc>
                <w:tcPr>
                  <w:tcW w:w="1478"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279"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10000-100000</w:t>
                  </w:r>
                </w:p>
              </w:tc>
              <w:tc>
                <w:tcPr>
                  <w:tcW w:w="1275"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0.05%</w:t>
                  </w:r>
                </w:p>
              </w:tc>
              <w:tc>
                <w:tcPr>
                  <w:tcW w:w="1228"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0.05%</w:t>
                  </w:r>
                </w:p>
              </w:tc>
              <w:tc>
                <w:tcPr>
                  <w:tcW w:w="1478"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279"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1000000以上</w:t>
                  </w:r>
                </w:p>
              </w:tc>
              <w:tc>
                <w:tcPr>
                  <w:tcW w:w="1275"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0.01%</w:t>
                  </w:r>
                </w:p>
              </w:tc>
              <w:tc>
                <w:tcPr>
                  <w:tcW w:w="1228"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0.01%</w:t>
                  </w:r>
                </w:p>
              </w:tc>
              <w:tc>
                <w:tcPr>
                  <w:tcW w:w="1478" w:type="dxa"/>
                  <w:tcBorders>
                    <w:top w:val="single" w:color="auto" w:sz="4" w:space="0"/>
                    <w:left w:val="single" w:color="auto" w:sz="4" w:space="0"/>
                    <w:bottom w:val="single" w:color="auto" w:sz="4" w:space="0"/>
                    <w:right w:val="single" w:color="auto" w:sz="4" w:space="0"/>
                  </w:tcBorders>
                </w:tcPr>
                <w:p>
                  <w:pPr>
                    <w:pStyle w:val="211"/>
                    <w:spacing w:line="370" w:lineRule="exact"/>
                    <w:rPr>
                      <w:color w:val="auto"/>
                      <w:sz w:val="21"/>
                      <w:szCs w:val="21"/>
                      <w:highlight w:val="none"/>
                      <w:lang w:val="zh-CN"/>
                    </w:rPr>
                  </w:pPr>
                  <w:r>
                    <w:rPr>
                      <w:rFonts w:hint="eastAsia"/>
                      <w:color w:val="auto"/>
                      <w:sz w:val="21"/>
                      <w:szCs w:val="21"/>
                      <w:highlight w:val="none"/>
                      <w:lang w:val="zh-CN"/>
                    </w:rPr>
                    <w:t>0.01%</w:t>
                  </w:r>
                </w:p>
              </w:tc>
            </w:tr>
          </w:tbl>
          <w:p>
            <w:pPr>
              <w:pStyle w:val="211"/>
              <w:rPr>
                <w:rFonts w:asciiTheme="minorEastAsia" w:hAnsiTheme="minorEastAsia" w:eastAsiaTheme="minorEastAsia" w:cstheme="minorEastAsia"/>
                <w:color w:val="auto"/>
                <w:sz w:val="21"/>
                <w:szCs w:val="21"/>
                <w:highlight w:val="none"/>
              </w:rPr>
            </w:pPr>
            <w:r>
              <w:rPr>
                <w:rFonts w:hint="eastAsia"/>
                <w:color w:val="auto"/>
                <w:sz w:val="21"/>
                <w:szCs w:val="21"/>
                <w:highlight w:val="none"/>
                <w:lang w:val="zh-CN"/>
              </w:rPr>
              <w:t>注: 1、按本表费率计算的收费为招标代理服务全过程的收费基准价格。  2、招标代理服务收费按差额定率累进法计算。例如：某工程招标代理业务中标金额为6000万元，计算招标代理服务收费额如下：  100万元×1.0%=1万元  (500-100)万元×0.7%=2.8万元 (1000-500)万元×0.55%=2.75万元 (5000-1000)万元×0.35%=14万元 (6000-5000)万元×0.2%=2万元  合计收费=1＋2.8＋2.75＋14＋2=22.55(万元)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6" w:hRule="atLeast"/>
        </w:trPr>
        <w:tc>
          <w:tcPr>
            <w:tcW w:w="646" w:type="dxa"/>
            <w:vAlign w:val="center"/>
          </w:tcPr>
          <w:p>
            <w:pPr>
              <w:widowControl/>
              <w:wordWrap/>
              <w:spacing w:line="360" w:lineRule="atLeast"/>
              <w:ind w:right="264" w:rightChars="0"/>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9</w:t>
            </w:r>
          </w:p>
        </w:tc>
        <w:tc>
          <w:tcPr>
            <w:tcW w:w="1654" w:type="dxa"/>
            <w:vAlign w:val="center"/>
          </w:tcPr>
          <w:p>
            <w:pPr>
              <w:pStyle w:val="211"/>
              <w:ind w:firstLine="105" w:firstLineChars="50"/>
              <w:rPr>
                <w:rFonts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政府采购信用担保及信用融资政策</w:t>
            </w:r>
          </w:p>
          <w:p>
            <w:pPr>
              <w:pStyle w:val="211"/>
              <w:ind w:firstLine="105" w:firstLineChars="50"/>
              <w:rPr>
                <w:rFonts w:cs="Courier New" w:asciiTheme="minorEastAsia" w:hAnsiTheme="minorEastAsia" w:eastAsiaTheme="minorEastAsia"/>
                <w:color w:val="auto"/>
                <w:sz w:val="21"/>
                <w:szCs w:val="21"/>
                <w:highlight w:val="none"/>
                <w:lang w:val="zh-CN" w:eastAsia="zh-CN" w:bidi="ar-SA"/>
              </w:rPr>
            </w:pPr>
          </w:p>
        </w:tc>
        <w:tc>
          <w:tcPr>
            <w:tcW w:w="6280" w:type="dxa"/>
            <w:vAlign w:val="center"/>
          </w:tcPr>
          <w:p>
            <w:pPr>
              <w:pStyle w:val="211"/>
              <w:ind w:firstLine="315" w:firstLineChars="150"/>
              <w:rPr>
                <w:rFonts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为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需要的投标人可自行决定是否参加，并按信用融资办法的相关程序申请办理。</w:t>
            </w:r>
          </w:p>
          <w:p>
            <w:pPr>
              <w:pStyle w:val="211"/>
              <w:ind w:firstLine="105" w:firstLineChars="50"/>
              <w:rPr>
                <w:rFonts w:hint="eastAsia" w:cs="Courier New" w:asciiTheme="minorEastAsia" w:hAnsiTheme="minorEastAsia" w:eastAsiaTheme="minorEastAsia"/>
                <w:color w:val="auto"/>
                <w:sz w:val="21"/>
                <w:szCs w:val="21"/>
                <w:highlight w:val="none"/>
                <w:lang w:val="zh-CN" w:eastAsia="zh-CN" w:bidi="ar-SA"/>
              </w:rPr>
            </w:pPr>
            <w:r>
              <w:rPr>
                <w:rFonts w:hint="eastAsia" w:asciiTheme="minorEastAsia" w:hAnsiTheme="minorEastAsia" w:eastAsiaTheme="minorEastAsia"/>
                <w:color w:val="auto"/>
                <w:sz w:val="21"/>
                <w:szCs w:val="21"/>
                <w:highlight w:val="none"/>
                <w:lang w:val="zh-CN"/>
              </w:rPr>
              <w:t>陕西省政府采购支持中小企业信用融资合作银行名单详见（陕西省政府采购网-采购动态-重要通知http://www.ccgp-shaanxi.gov.cn/）</w:t>
            </w:r>
          </w:p>
        </w:tc>
      </w:tr>
    </w:tbl>
    <w:p>
      <w:pPr>
        <w:spacing w:line="360" w:lineRule="auto"/>
        <w:jc w:val="both"/>
        <w:rPr>
          <w:rFonts w:ascii="宋体" w:hAnsi="宋体"/>
          <w:b/>
          <w:color w:val="auto"/>
          <w:highlight w:val="none"/>
        </w:rPr>
      </w:pPr>
    </w:p>
    <w:p>
      <w:pPr>
        <w:rPr>
          <w:b/>
          <w:bCs/>
          <w:color w:val="auto"/>
          <w:highlight w:val="none"/>
        </w:rPr>
      </w:pPr>
      <w:r>
        <w:rPr>
          <w:rFonts w:ascii="宋体" w:hAnsi="宋体"/>
          <w:b/>
          <w:color w:val="auto"/>
          <w:highlight w:val="none"/>
        </w:rPr>
        <w:br w:type="page"/>
      </w:r>
    </w:p>
    <w:p>
      <w:pPr>
        <w:rPr>
          <w:rFonts w:hAnsi="宋体"/>
          <w:b/>
          <w:bCs/>
          <w:color w:val="auto"/>
          <w:sz w:val="28"/>
          <w:szCs w:val="28"/>
          <w:highlight w:val="none"/>
        </w:rPr>
      </w:pPr>
    </w:p>
    <w:p>
      <w:pPr>
        <w:spacing w:line="300" w:lineRule="auto"/>
        <w:jc w:val="center"/>
        <w:rPr>
          <w:b/>
          <w:bCs/>
          <w:color w:val="auto"/>
          <w:highlight w:val="none"/>
        </w:rPr>
      </w:pPr>
      <w:r>
        <w:rPr>
          <w:rFonts w:hAnsi="宋体"/>
          <w:b/>
          <w:bCs/>
          <w:color w:val="auto"/>
          <w:sz w:val="28"/>
          <w:szCs w:val="28"/>
          <w:highlight w:val="none"/>
        </w:rPr>
        <w:t>二</w:t>
      </w:r>
      <w:r>
        <w:rPr>
          <w:rFonts w:hint="eastAsia" w:hAnsi="宋体"/>
          <w:b/>
          <w:bCs/>
          <w:color w:val="auto"/>
          <w:sz w:val="28"/>
          <w:szCs w:val="28"/>
          <w:highlight w:val="none"/>
        </w:rPr>
        <w:t>、</w:t>
      </w:r>
      <w:r>
        <w:rPr>
          <w:rFonts w:hAnsi="宋体"/>
          <w:b/>
          <w:bCs/>
          <w:color w:val="auto"/>
          <w:sz w:val="28"/>
          <w:szCs w:val="28"/>
          <w:highlight w:val="none"/>
        </w:rPr>
        <w:t xml:space="preserve"> 总 则</w:t>
      </w:r>
    </w:p>
    <w:p>
      <w:pPr>
        <w:spacing w:line="360" w:lineRule="auto"/>
        <w:ind w:firstLine="480" w:firstLineChars="200"/>
        <w:rPr>
          <w:rFonts w:ascii="宋体" w:hAnsi="宋体"/>
          <w:color w:val="auto"/>
          <w:highlight w:val="none"/>
        </w:rPr>
      </w:pPr>
      <w:r>
        <w:rPr>
          <w:rFonts w:ascii="宋体" w:hAnsi="宋体"/>
          <w:color w:val="auto"/>
          <w:highlight w:val="none"/>
        </w:rPr>
        <w:t>1、适用范围</w:t>
      </w:r>
    </w:p>
    <w:p>
      <w:pPr>
        <w:tabs>
          <w:tab w:val="left" w:pos="7665"/>
        </w:tabs>
        <w:spacing w:line="360" w:lineRule="auto"/>
        <w:ind w:firstLine="480" w:firstLineChars="200"/>
        <w:jc w:val="both"/>
        <w:rPr>
          <w:rFonts w:ascii="宋体" w:hAnsi="宋体"/>
          <w:color w:val="auto"/>
          <w:highlight w:val="none"/>
        </w:rPr>
      </w:pP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1本谈判文件仅适用于本次谈判采购项目。</w:t>
      </w:r>
    </w:p>
    <w:p>
      <w:pPr>
        <w:tabs>
          <w:tab w:val="left" w:pos="7665"/>
        </w:tabs>
        <w:spacing w:line="360" w:lineRule="auto"/>
        <w:ind w:firstLine="480" w:firstLineChars="200"/>
        <w:jc w:val="both"/>
        <w:rPr>
          <w:rFonts w:ascii="宋体" w:hAnsi="宋体"/>
          <w:color w:val="auto"/>
          <w:highlight w:val="none"/>
        </w:rPr>
      </w:pPr>
      <w:r>
        <w:rPr>
          <w:rFonts w:hint="eastAsia" w:ascii="宋体" w:hAnsi="宋体"/>
          <w:color w:val="auto"/>
          <w:highlight w:val="none"/>
        </w:rPr>
        <w:t>1.2本谈判文件的解释权归采购人和采购代理机构所有。</w:t>
      </w:r>
    </w:p>
    <w:p>
      <w:pPr>
        <w:spacing w:line="360" w:lineRule="auto"/>
        <w:ind w:firstLine="480" w:firstLineChars="200"/>
        <w:rPr>
          <w:rFonts w:ascii="宋体" w:hAnsi="宋体"/>
          <w:color w:val="auto"/>
          <w:highlight w:val="none"/>
        </w:rPr>
      </w:pPr>
      <w:r>
        <w:rPr>
          <w:rFonts w:ascii="宋体" w:hAnsi="宋体"/>
          <w:color w:val="auto"/>
          <w:highlight w:val="none"/>
        </w:rPr>
        <w:t>2、定义</w:t>
      </w:r>
    </w:p>
    <w:p>
      <w:pPr>
        <w:tabs>
          <w:tab w:val="left" w:pos="7665"/>
        </w:tabs>
        <w:spacing w:line="360" w:lineRule="auto"/>
        <w:ind w:firstLine="480" w:firstLineChars="200"/>
        <w:jc w:val="both"/>
        <w:rPr>
          <w:rFonts w:ascii="宋体" w:hAnsi="宋体"/>
          <w:color w:val="auto"/>
          <w:highlight w:val="none"/>
        </w:rPr>
      </w:pPr>
      <w:r>
        <w:rPr>
          <w:rFonts w:ascii="宋体" w:hAnsi="宋体"/>
          <w:color w:val="auto"/>
          <w:highlight w:val="none"/>
        </w:rPr>
        <w:t>2.1“采购人”系</w:t>
      </w:r>
      <w:r>
        <w:rPr>
          <w:rFonts w:hint="eastAsia" w:ascii="宋体" w:hAnsi="宋体"/>
          <w:color w:val="auto"/>
          <w:highlight w:val="none"/>
          <w:u w:val="single"/>
          <w:lang w:eastAsia="zh-CN"/>
        </w:rPr>
        <w:t>西安市蓝田县教育和科学技术局（本级）</w:t>
      </w:r>
      <w:r>
        <w:rPr>
          <w:rFonts w:ascii="宋体" w:hAnsi="宋体"/>
          <w:color w:val="auto"/>
          <w:highlight w:val="none"/>
        </w:rPr>
        <w:t>。</w:t>
      </w:r>
    </w:p>
    <w:p>
      <w:pPr>
        <w:tabs>
          <w:tab w:val="left" w:pos="7665"/>
        </w:tabs>
        <w:spacing w:line="360" w:lineRule="auto"/>
        <w:ind w:firstLine="480" w:firstLineChars="200"/>
        <w:jc w:val="both"/>
        <w:rPr>
          <w:rFonts w:ascii="宋体" w:hAnsi="宋体"/>
          <w:color w:val="auto"/>
          <w:highlight w:val="none"/>
        </w:rPr>
      </w:pPr>
      <w:r>
        <w:rPr>
          <w:rFonts w:ascii="宋体" w:hAnsi="宋体"/>
          <w:color w:val="auto"/>
          <w:highlight w:val="none"/>
        </w:rPr>
        <w:t>2.2 “供应商”系指响应竞争性谈判文件要求，并提交报价文件的</w:t>
      </w:r>
      <w:r>
        <w:rPr>
          <w:rFonts w:hint="eastAsia" w:ascii="宋体" w:hAnsi="宋体"/>
          <w:color w:val="auto"/>
          <w:highlight w:val="none"/>
        </w:rPr>
        <w:t>法人、其他组织或者自然人</w:t>
      </w:r>
      <w:r>
        <w:rPr>
          <w:rFonts w:ascii="宋体" w:hAnsi="宋体"/>
          <w:color w:val="auto"/>
          <w:highlight w:val="none"/>
        </w:rPr>
        <w:t>。</w:t>
      </w:r>
    </w:p>
    <w:p>
      <w:pPr>
        <w:tabs>
          <w:tab w:val="left" w:pos="7665"/>
        </w:tabs>
        <w:spacing w:line="360" w:lineRule="auto"/>
        <w:ind w:firstLine="480" w:firstLineChars="200"/>
        <w:jc w:val="both"/>
        <w:rPr>
          <w:rFonts w:ascii="宋体" w:hAnsi="宋体"/>
          <w:color w:val="auto"/>
          <w:highlight w:val="none"/>
        </w:rPr>
      </w:pPr>
      <w:r>
        <w:rPr>
          <w:rFonts w:hint="eastAsia" w:ascii="宋体" w:hAnsi="宋体"/>
          <w:color w:val="auto"/>
          <w:highlight w:val="none"/>
        </w:rPr>
        <w:t>2.3 “采购代理机构”系指根据采购人的委托依法办理采购事宜的采购机构。本次竞争性谈判的采购代理机构是</w:t>
      </w:r>
      <w:r>
        <w:rPr>
          <w:rFonts w:hint="eastAsia" w:ascii="宋体" w:hAnsi="宋体"/>
          <w:color w:val="auto"/>
          <w:highlight w:val="none"/>
          <w:u w:val="single"/>
        </w:rPr>
        <w:t>四川国际招标有限责任公司</w:t>
      </w:r>
      <w:r>
        <w:rPr>
          <w:rFonts w:hint="eastAsia" w:ascii="宋体" w:hAnsi="宋体"/>
          <w:color w:val="auto"/>
          <w:highlight w:val="none"/>
        </w:rPr>
        <w:t>。</w:t>
      </w:r>
    </w:p>
    <w:p>
      <w:pPr>
        <w:spacing w:line="360" w:lineRule="auto"/>
        <w:ind w:firstLine="480" w:firstLineChars="200"/>
        <w:rPr>
          <w:rFonts w:ascii="宋体" w:hAnsi="宋体"/>
          <w:color w:val="auto"/>
          <w:highlight w:val="none"/>
        </w:rPr>
      </w:pPr>
      <w:r>
        <w:rPr>
          <w:rFonts w:hint="eastAsia" w:ascii="宋体" w:hAnsi="宋体"/>
          <w:color w:val="auto"/>
          <w:highlight w:val="none"/>
        </w:rPr>
        <w:t>3.本项目</w:t>
      </w:r>
      <w:r>
        <w:rPr>
          <w:rFonts w:ascii="宋体" w:hAnsi="宋体"/>
          <w:color w:val="auto"/>
          <w:highlight w:val="none"/>
        </w:rPr>
        <w:t>合格的供应商资格条件</w:t>
      </w:r>
    </w:p>
    <w:p>
      <w:pPr>
        <w:spacing w:line="360" w:lineRule="auto"/>
        <w:ind w:firstLine="480" w:firstLineChars="200"/>
        <w:jc w:val="both"/>
        <w:rPr>
          <w:rFonts w:ascii="宋体" w:hAnsi="宋体"/>
          <w:color w:val="auto"/>
          <w:highlight w:val="none"/>
        </w:rPr>
      </w:pPr>
      <w:r>
        <w:rPr>
          <w:rFonts w:hint="eastAsia" w:ascii="宋体" w:hAnsi="宋体"/>
          <w:color w:val="auto"/>
          <w:highlight w:val="none"/>
        </w:rPr>
        <w:t>合格供应商应具备以下条件：</w:t>
      </w:r>
    </w:p>
    <w:p>
      <w:pPr>
        <w:spacing w:line="360" w:lineRule="auto"/>
        <w:ind w:firstLine="480" w:firstLineChars="200"/>
        <w:jc w:val="both"/>
        <w:rPr>
          <w:rFonts w:ascii="宋体" w:hAnsi="宋体"/>
          <w:color w:val="auto"/>
          <w:highlight w:val="none"/>
        </w:rPr>
      </w:pPr>
      <w:r>
        <w:rPr>
          <w:rFonts w:hint="eastAsia" w:ascii="宋体" w:hAnsi="宋体"/>
          <w:color w:val="auto"/>
          <w:highlight w:val="none"/>
        </w:rPr>
        <w:t>3.1 具备法律法规和本采购文件规定的资格条件；</w:t>
      </w:r>
    </w:p>
    <w:p>
      <w:pPr>
        <w:spacing w:line="360" w:lineRule="auto"/>
        <w:ind w:firstLine="480" w:firstLineChars="200"/>
        <w:jc w:val="both"/>
        <w:rPr>
          <w:rFonts w:ascii="宋体" w:hAnsi="宋体"/>
          <w:color w:val="auto"/>
          <w:highlight w:val="none"/>
        </w:rPr>
      </w:pPr>
      <w:r>
        <w:rPr>
          <w:rFonts w:hint="eastAsia" w:ascii="宋体" w:hAnsi="宋体"/>
          <w:color w:val="auto"/>
          <w:highlight w:val="none"/>
        </w:rPr>
        <w:t>3.2 不属于禁止参加本项目采购活动的供应商；</w:t>
      </w:r>
    </w:p>
    <w:p>
      <w:pPr>
        <w:spacing w:line="360" w:lineRule="auto"/>
        <w:ind w:firstLine="480" w:firstLineChars="200"/>
        <w:jc w:val="both"/>
        <w:rPr>
          <w:rFonts w:ascii="宋体" w:hAnsi="宋体"/>
          <w:color w:val="auto"/>
          <w:highlight w:val="none"/>
        </w:rPr>
      </w:pPr>
      <w:r>
        <w:rPr>
          <w:rFonts w:hint="eastAsia" w:ascii="宋体" w:hAnsi="宋体"/>
          <w:color w:val="auto"/>
          <w:highlight w:val="none"/>
        </w:rPr>
        <w:t>3.3 按照规定获取了</w:t>
      </w:r>
      <w:r>
        <w:rPr>
          <w:rFonts w:ascii="宋体" w:hAnsi="宋体"/>
          <w:color w:val="auto"/>
          <w:highlight w:val="none"/>
        </w:rPr>
        <w:t>竞争性谈判</w:t>
      </w:r>
      <w:r>
        <w:rPr>
          <w:rFonts w:hint="eastAsia" w:ascii="宋体" w:hAnsi="宋体"/>
          <w:color w:val="auto"/>
          <w:highlight w:val="none"/>
        </w:rPr>
        <w:t>文件</w:t>
      </w:r>
      <w:r>
        <w:rPr>
          <w:rFonts w:hint="eastAsia" w:ascii="宋体" w:hAnsi="宋体"/>
          <w:b/>
          <w:color w:val="auto"/>
          <w:highlight w:val="none"/>
        </w:rPr>
        <w:t>（实质性</w:t>
      </w:r>
      <w:r>
        <w:rPr>
          <w:rFonts w:ascii="宋体" w:hAnsi="宋体"/>
          <w:b/>
          <w:color w:val="auto"/>
          <w:highlight w:val="none"/>
        </w:rPr>
        <w:t>要求</w:t>
      </w:r>
      <w:r>
        <w:rPr>
          <w:rFonts w:hint="eastAsia" w:ascii="宋体" w:hAnsi="宋体"/>
          <w:b/>
          <w:color w:val="auto"/>
          <w:highlight w:val="none"/>
        </w:rPr>
        <w:t>）</w:t>
      </w:r>
      <w:r>
        <w:rPr>
          <w:rFonts w:hint="eastAsia" w:ascii="宋体" w:hAnsi="宋体"/>
          <w:color w:val="auto"/>
          <w:highlight w:val="none"/>
        </w:rPr>
        <w:t>。</w:t>
      </w:r>
    </w:p>
    <w:p>
      <w:pPr>
        <w:spacing w:line="360" w:lineRule="auto"/>
        <w:ind w:firstLine="480" w:firstLineChars="200"/>
        <w:jc w:val="both"/>
        <w:rPr>
          <w:color w:val="auto"/>
          <w:highlight w:val="none"/>
        </w:rPr>
      </w:pPr>
      <w:r>
        <w:rPr>
          <w:rFonts w:hint="eastAsia"/>
          <w:color w:val="auto"/>
          <w:highlight w:val="none"/>
        </w:rPr>
        <w:t>4、关系供应商限制。</w:t>
      </w:r>
    </w:p>
    <w:p>
      <w:pPr>
        <w:spacing w:line="360" w:lineRule="auto"/>
        <w:ind w:firstLine="480" w:firstLineChars="200"/>
        <w:jc w:val="both"/>
        <w:rPr>
          <w:rFonts w:ascii="宋体" w:hAnsi="宋体"/>
          <w:color w:val="auto"/>
          <w:highlight w:val="none"/>
        </w:rPr>
      </w:pPr>
      <w:r>
        <w:rPr>
          <w:rFonts w:hint="eastAsia" w:ascii="宋体" w:hAnsi="宋体"/>
          <w:color w:val="auto"/>
          <w:highlight w:val="none"/>
        </w:rPr>
        <w:t>4.1利害关系供应商处理。单位负责人为同一人或者存在直接控股、管理关系的不同供应商不得参加同一合同项下的政府采购活动。</w:t>
      </w:r>
    </w:p>
    <w:p>
      <w:pPr>
        <w:spacing w:line="360" w:lineRule="auto"/>
        <w:ind w:firstLine="480" w:firstLineChars="200"/>
        <w:jc w:val="both"/>
        <w:rPr>
          <w:rFonts w:ascii="宋体" w:hAnsi="宋体"/>
          <w:color w:val="auto"/>
          <w:highlight w:val="none"/>
        </w:rPr>
      </w:pPr>
      <w:r>
        <w:rPr>
          <w:rFonts w:hint="eastAsia" w:ascii="宋体" w:hAnsi="宋体"/>
          <w:color w:val="auto"/>
          <w:highlight w:val="none"/>
        </w:rPr>
        <w:t>4.</w:t>
      </w:r>
      <w:r>
        <w:rPr>
          <w:rFonts w:ascii="宋体" w:hAnsi="宋体"/>
          <w:color w:val="auto"/>
          <w:highlight w:val="none"/>
        </w:rPr>
        <w:t>2</w:t>
      </w:r>
      <w:r>
        <w:rPr>
          <w:rFonts w:hint="eastAsia" w:ascii="宋体" w:hAnsi="宋体"/>
          <w:color w:val="auto"/>
          <w:highlight w:val="none"/>
        </w:rPr>
        <w:t>前期参与供应商处理。为采购项目提供整体设计、规范编制或者项目管理、监理、检测等服务的供应商，不得再参加该采购项目的其他采购活动。</w:t>
      </w:r>
    </w:p>
    <w:p>
      <w:pPr>
        <w:spacing w:line="360" w:lineRule="auto"/>
        <w:ind w:firstLine="480" w:firstLineChars="200"/>
        <w:jc w:val="both"/>
        <w:rPr>
          <w:rFonts w:ascii="宋体" w:hAnsi="宋体"/>
          <w:color w:val="auto"/>
          <w:highlight w:val="none"/>
        </w:rPr>
      </w:pPr>
      <w:r>
        <w:rPr>
          <w:rFonts w:hint="eastAsia" w:ascii="宋体" w:hAnsi="宋体"/>
          <w:color w:val="auto"/>
          <w:highlight w:val="none"/>
        </w:rPr>
        <w:t>4.</w:t>
      </w:r>
      <w:r>
        <w:rPr>
          <w:rFonts w:hint="eastAsia" w:ascii="宋体" w:hAnsi="宋体"/>
          <w:color w:val="auto"/>
          <w:sz w:val="22"/>
          <w:szCs w:val="22"/>
          <w:highlight w:val="none"/>
          <w:lang w:val="en-US" w:eastAsia="zh-CN"/>
        </w:rPr>
        <w:t xml:space="preserve">3 </w:t>
      </w:r>
      <w:r>
        <w:rPr>
          <w:rFonts w:hint="eastAsia" w:ascii="宋体" w:hAnsi="宋体"/>
          <w:color w:val="auto"/>
          <w:highlight w:val="none"/>
        </w:rPr>
        <w:t>回避。政府采购活动中，采购人员及相关人员与供应商有下列利害关系之一的，应当回避：</w:t>
      </w:r>
    </w:p>
    <w:p>
      <w:pPr>
        <w:spacing w:line="360" w:lineRule="auto"/>
        <w:ind w:firstLine="480" w:firstLineChars="200"/>
        <w:jc w:val="both"/>
        <w:rPr>
          <w:rFonts w:ascii="宋体" w:hAnsi="宋体"/>
          <w:color w:val="auto"/>
          <w:highlight w:val="none"/>
        </w:rPr>
      </w:pPr>
      <w:r>
        <w:rPr>
          <w:rFonts w:hint="eastAsia" w:ascii="宋体" w:hAnsi="宋体"/>
          <w:color w:val="auto"/>
          <w:highlight w:val="none"/>
        </w:rPr>
        <w:t>（1）参加采购活动前3年内与供应商存在劳动关系；</w:t>
      </w:r>
    </w:p>
    <w:p>
      <w:pPr>
        <w:spacing w:line="360" w:lineRule="auto"/>
        <w:ind w:firstLine="480" w:firstLineChars="200"/>
        <w:jc w:val="both"/>
        <w:rPr>
          <w:rFonts w:ascii="宋体" w:hAnsi="宋体"/>
          <w:color w:val="auto"/>
          <w:highlight w:val="none"/>
        </w:rPr>
      </w:pPr>
      <w:r>
        <w:rPr>
          <w:rFonts w:hint="eastAsia" w:ascii="宋体" w:hAnsi="宋体"/>
          <w:color w:val="auto"/>
          <w:highlight w:val="none"/>
        </w:rPr>
        <w:t>（2）参加采购活动前3年内担任供应商的董事、监事；</w:t>
      </w:r>
    </w:p>
    <w:p>
      <w:pPr>
        <w:spacing w:line="360" w:lineRule="auto"/>
        <w:ind w:firstLine="480" w:firstLineChars="200"/>
        <w:jc w:val="both"/>
        <w:rPr>
          <w:rFonts w:ascii="宋体" w:hAnsi="宋体"/>
          <w:color w:val="auto"/>
          <w:highlight w:val="none"/>
        </w:rPr>
      </w:pPr>
      <w:r>
        <w:rPr>
          <w:rFonts w:hint="eastAsia" w:ascii="宋体" w:hAnsi="宋体"/>
          <w:color w:val="auto"/>
          <w:highlight w:val="none"/>
        </w:rPr>
        <w:t>（3）参加采购活动前3年内是供应商的控股股东或者实际控制人；</w:t>
      </w:r>
    </w:p>
    <w:p>
      <w:pPr>
        <w:spacing w:line="360" w:lineRule="auto"/>
        <w:ind w:firstLine="480" w:firstLineChars="200"/>
        <w:jc w:val="both"/>
        <w:rPr>
          <w:rFonts w:ascii="宋体" w:hAnsi="宋体"/>
          <w:color w:val="auto"/>
          <w:highlight w:val="none"/>
        </w:rPr>
      </w:pPr>
      <w:r>
        <w:rPr>
          <w:rFonts w:hint="eastAsia" w:ascii="宋体" w:hAnsi="宋体"/>
          <w:color w:val="auto"/>
          <w:highlight w:val="none"/>
        </w:rPr>
        <w:t>（4）与供应商的法定代表人或者负责人有夫妻、直系血亲、三代以内旁系血亲或者近姻亲关系；</w:t>
      </w:r>
    </w:p>
    <w:p>
      <w:pPr>
        <w:spacing w:line="360" w:lineRule="auto"/>
        <w:ind w:firstLine="480" w:firstLineChars="200"/>
        <w:jc w:val="both"/>
        <w:rPr>
          <w:rFonts w:ascii="宋体" w:hAnsi="宋体"/>
          <w:color w:val="auto"/>
          <w:highlight w:val="none"/>
        </w:rPr>
      </w:pPr>
      <w:r>
        <w:rPr>
          <w:rFonts w:hint="eastAsia" w:ascii="宋体" w:hAnsi="宋体"/>
          <w:color w:val="auto"/>
          <w:highlight w:val="none"/>
        </w:rPr>
        <w:t>（5）与供应商有其他可能影响政府采购活动公平、公正进行的关系。</w:t>
      </w:r>
    </w:p>
    <w:p>
      <w:pPr>
        <w:spacing w:line="360" w:lineRule="auto"/>
        <w:ind w:firstLine="480" w:firstLineChars="200"/>
        <w:jc w:val="both"/>
        <w:rPr>
          <w:rFonts w:ascii="宋体" w:hAnsi="宋体"/>
          <w:color w:val="auto"/>
          <w:highlight w:val="none"/>
        </w:rPr>
      </w:pPr>
      <w:r>
        <w:rPr>
          <w:rFonts w:hint="eastAsia" w:ascii="宋体" w:hAnsi="宋体"/>
          <w:color w:val="auto"/>
          <w:highlight w:val="none"/>
        </w:rPr>
        <w:t>本项目政府采购活动中需要依法回避的相关人员是指谈判小组成员。</w:t>
      </w:r>
    </w:p>
    <w:p>
      <w:pPr>
        <w:spacing w:line="360" w:lineRule="auto"/>
        <w:ind w:firstLine="480" w:firstLineChars="200"/>
        <w:jc w:val="both"/>
        <w:rPr>
          <w:rFonts w:ascii="宋体" w:hAnsi="宋体"/>
          <w:color w:val="auto"/>
          <w:highlight w:val="none"/>
        </w:rPr>
      </w:pPr>
      <w:r>
        <w:rPr>
          <w:rFonts w:hint="eastAsia" w:ascii="宋体" w:hAnsi="宋体"/>
          <w:color w:val="auto"/>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ind w:firstLine="480" w:firstLineChars="200"/>
        <w:rPr>
          <w:rFonts w:hAnsi="宋体"/>
          <w:b/>
          <w:color w:val="auto"/>
          <w:highlight w:val="none"/>
        </w:rPr>
      </w:pPr>
      <w:r>
        <w:rPr>
          <w:rFonts w:hint="eastAsia"/>
          <w:color w:val="auto"/>
          <w:highlight w:val="none"/>
        </w:rPr>
        <w:t>5</w:t>
      </w:r>
      <w:r>
        <w:rPr>
          <w:rFonts w:hAnsi="宋体"/>
          <w:color w:val="auto"/>
          <w:highlight w:val="none"/>
        </w:rPr>
        <w:t>、竞争性谈判采购费用</w:t>
      </w:r>
      <w:r>
        <w:rPr>
          <w:rFonts w:hint="eastAsia" w:hAnsi="宋体"/>
          <w:b/>
          <w:color w:val="auto"/>
          <w:highlight w:val="none"/>
        </w:rPr>
        <w:t>（实质性要求）</w:t>
      </w:r>
    </w:p>
    <w:p>
      <w:pPr>
        <w:pStyle w:val="23"/>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供应商自行承担所有与参加竞争性谈判有关的全部费用。</w:t>
      </w:r>
    </w:p>
    <w:p>
      <w:pPr>
        <w:spacing w:line="360" w:lineRule="auto"/>
        <w:ind w:firstLine="480" w:firstLineChars="200"/>
        <w:rPr>
          <w:b/>
          <w:bCs/>
          <w:color w:val="auto"/>
          <w:highlight w:val="none"/>
        </w:rPr>
      </w:pPr>
      <w:r>
        <w:rPr>
          <w:rFonts w:hint="eastAsia"/>
          <w:color w:val="auto"/>
          <w:highlight w:val="none"/>
        </w:rPr>
        <w:t>6、</w:t>
      </w:r>
      <w:r>
        <w:rPr>
          <w:rFonts w:hint="eastAsia"/>
          <w:b/>
          <w:bCs/>
          <w:color w:val="auto"/>
          <w:highlight w:val="none"/>
        </w:rPr>
        <w:t>知识产权（实质性要求）</w:t>
      </w:r>
    </w:p>
    <w:p>
      <w:pPr>
        <w:spacing w:line="360" w:lineRule="auto"/>
        <w:ind w:firstLine="480" w:firstLineChars="200"/>
        <w:rPr>
          <w:color w:val="auto"/>
          <w:highlight w:val="none"/>
        </w:rPr>
      </w:pPr>
      <w:r>
        <w:rPr>
          <w:rFonts w:hint="eastAsia"/>
          <w:color w:val="auto"/>
          <w:highlight w:val="none"/>
        </w:rPr>
        <w:t>6</w:t>
      </w:r>
      <w:r>
        <w:rPr>
          <w:color w:val="auto"/>
          <w:highlight w:val="none"/>
        </w:rPr>
        <w:t>.1</w:t>
      </w:r>
      <w:r>
        <w:rPr>
          <w:rFonts w:hint="eastAsia"/>
          <w:color w:val="auto"/>
          <w:highlight w:val="none"/>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firstLineChars="200"/>
        <w:rPr>
          <w:color w:val="auto"/>
          <w:highlight w:val="none"/>
        </w:rPr>
      </w:pPr>
      <w:r>
        <w:rPr>
          <w:rFonts w:hint="eastAsia"/>
          <w:color w:val="auto"/>
          <w:highlight w:val="none"/>
        </w:rPr>
        <w:t>6</w:t>
      </w:r>
      <w:r>
        <w:rPr>
          <w:color w:val="auto"/>
          <w:highlight w:val="none"/>
        </w:rPr>
        <w:t>.2</w:t>
      </w:r>
      <w:r>
        <w:rPr>
          <w:rFonts w:hint="eastAsia"/>
          <w:color w:val="auto"/>
          <w:highlight w:val="none"/>
        </w:rPr>
        <w:t>除非谈判文件特别规定，采购人享有本项目实施过程中产生的知识成果及知识产权。</w:t>
      </w:r>
    </w:p>
    <w:p>
      <w:pPr>
        <w:spacing w:line="360" w:lineRule="auto"/>
        <w:ind w:firstLine="480" w:firstLineChars="200"/>
        <w:rPr>
          <w:color w:val="auto"/>
          <w:highlight w:val="none"/>
        </w:rPr>
      </w:pPr>
      <w:r>
        <w:rPr>
          <w:rFonts w:hint="eastAsia"/>
          <w:color w:val="auto"/>
          <w:highlight w:val="none"/>
        </w:rPr>
        <w:t>6</w:t>
      </w:r>
      <w:r>
        <w:rPr>
          <w:color w:val="auto"/>
          <w:highlight w:val="none"/>
        </w:rPr>
        <w:t>.3</w:t>
      </w:r>
      <w:r>
        <w:rPr>
          <w:rFonts w:hint="eastAsia"/>
          <w:color w:val="auto"/>
          <w:highlight w:val="none"/>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80" w:firstLineChars="200"/>
        <w:rPr>
          <w:color w:val="auto"/>
          <w:highlight w:val="none"/>
        </w:rPr>
      </w:pPr>
      <w:r>
        <w:rPr>
          <w:rFonts w:hint="eastAsia"/>
          <w:color w:val="auto"/>
          <w:highlight w:val="none"/>
        </w:rPr>
        <w:t>6</w:t>
      </w:r>
      <w:r>
        <w:rPr>
          <w:color w:val="auto"/>
          <w:highlight w:val="none"/>
        </w:rPr>
        <w:t>.4</w:t>
      </w:r>
      <w:r>
        <w:rPr>
          <w:rFonts w:hint="eastAsia"/>
          <w:color w:val="auto"/>
          <w:highlight w:val="none"/>
        </w:rPr>
        <w:t xml:space="preserve">如采用供应商所不拥有的知识产权，则在报价中必须包括合法获取该知识产权的相关费用。 </w:t>
      </w:r>
    </w:p>
    <w:p>
      <w:pPr>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三</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谈判</w:t>
      </w:r>
      <w:r>
        <w:rPr>
          <w:rFonts w:asciiTheme="minorEastAsia" w:hAnsiTheme="minorEastAsia" w:eastAsiaTheme="minorEastAsia"/>
          <w:b/>
          <w:color w:val="auto"/>
          <w:highlight w:val="none"/>
        </w:rPr>
        <w:t>文件</w:t>
      </w:r>
    </w:p>
    <w:p>
      <w:pPr>
        <w:pStyle w:val="18"/>
        <w:rPr>
          <w:color w:val="auto"/>
          <w:highlight w:val="none"/>
        </w:rPr>
      </w:pPr>
    </w:p>
    <w:p>
      <w:pPr>
        <w:spacing w:line="360" w:lineRule="auto"/>
        <w:ind w:firstLine="480" w:firstLineChars="200"/>
        <w:rPr>
          <w:color w:val="auto"/>
          <w:highlight w:val="none"/>
        </w:rPr>
      </w:pPr>
      <w:r>
        <w:rPr>
          <w:rFonts w:hint="eastAsia" w:hAnsi="宋体"/>
          <w:color w:val="auto"/>
          <w:highlight w:val="none"/>
        </w:rPr>
        <w:t>7</w:t>
      </w:r>
      <w:r>
        <w:rPr>
          <w:rFonts w:hAnsi="宋体"/>
          <w:color w:val="auto"/>
          <w:highlight w:val="none"/>
        </w:rPr>
        <w:t>、竞争性谈判文件</w:t>
      </w:r>
    </w:p>
    <w:p>
      <w:pPr>
        <w:pStyle w:val="23"/>
        <w:spacing w:line="360" w:lineRule="auto"/>
        <w:ind w:firstLine="480" w:firstLineChars="200"/>
        <w:rPr>
          <w:rFonts w:hint="default" w:hAnsi="宋体"/>
          <w:color w:val="auto"/>
          <w:sz w:val="24"/>
          <w:szCs w:val="24"/>
          <w:highlight w:val="none"/>
        </w:rPr>
      </w:pPr>
      <w:r>
        <w:rPr>
          <w:rFonts w:hAnsi="宋体"/>
          <w:color w:val="auto"/>
          <w:sz w:val="24"/>
          <w:szCs w:val="24"/>
          <w:highlight w:val="none"/>
        </w:rPr>
        <w:t>7</w:t>
      </w:r>
      <w:r>
        <w:rPr>
          <w:rFonts w:hint="default" w:hAnsi="宋体"/>
          <w:color w:val="auto"/>
          <w:sz w:val="24"/>
          <w:szCs w:val="24"/>
          <w:highlight w:val="none"/>
        </w:rPr>
        <w:t>.1 竞争性谈判文件是采购人用以阐明所需提供的服务、竞争性谈判采购的程序和评定成交供应商的标准、合同草案条款等内容的文件。</w:t>
      </w:r>
    </w:p>
    <w:p>
      <w:pPr>
        <w:pStyle w:val="23"/>
        <w:spacing w:line="360" w:lineRule="auto"/>
        <w:ind w:firstLine="480" w:firstLineChars="200"/>
        <w:rPr>
          <w:rFonts w:hint="default" w:hAnsi="宋体"/>
          <w:color w:val="auto"/>
          <w:sz w:val="24"/>
          <w:szCs w:val="24"/>
          <w:highlight w:val="none"/>
        </w:rPr>
      </w:pPr>
      <w:r>
        <w:rPr>
          <w:rFonts w:hAnsi="宋体"/>
          <w:color w:val="auto"/>
          <w:sz w:val="24"/>
          <w:szCs w:val="24"/>
          <w:highlight w:val="none"/>
        </w:rPr>
        <w:t>7</w:t>
      </w:r>
      <w:r>
        <w:rPr>
          <w:rFonts w:hint="default" w:hAnsi="宋体"/>
          <w:color w:val="auto"/>
          <w:sz w:val="24"/>
          <w:szCs w:val="24"/>
          <w:highlight w:val="none"/>
        </w:rPr>
        <w:t>.2 竞争性谈判文件的组成</w:t>
      </w:r>
    </w:p>
    <w:p>
      <w:pPr>
        <w:pStyle w:val="23"/>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（1）竞争性谈判邀请通知</w:t>
      </w:r>
    </w:p>
    <w:p>
      <w:pPr>
        <w:pStyle w:val="23"/>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（2）谈判须知</w:t>
      </w:r>
    </w:p>
    <w:p>
      <w:pPr>
        <w:pStyle w:val="23"/>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（3）供应商资格证明文件</w:t>
      </w:r>
    </w:p>
    <w:p>
      <w:pPr>
        <w:pStyle w:val="23"/>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（4）合同草案条款（参考文本）</w:t>
      </w:r>
    </w:p>
    <w:p>
      <w:pPr>
        <w:pStyle w:val="23"/>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（5）谈判程序</w:t>
      </w:r>
    </w:p>
    <w:p>
      <w:pPr>
        <w:pStyle w:val="23"/>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（6）服务及商务要求</w:t>
      </w:r>
    </w:p>
    <w:p>
      <w:pPr>
        <w:pStyle w:val="23"/>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（7）响应文件格式</w:t>
      </w:r>
    </w:p>
    <w:p>
      <w:pPr>
        <w:pStyle w:val="180"/>
        <w:spacing w:line="360" w:lineRule="auto"/>
        <w:ind w:firstLine="480"/>
        <w:rPr>
          <w:rFonts w:ascii="宋体" w:hAnsi="宋体"/>
          <w:color w:val="auto"/>
          <w:sz w:val="24"/>
          <w:highlight w:val="none"/>
        </w:rPr>
      </w:pPr>
      <w:r>
        <w:rPr>
          <w:rFonts w:ascii="宋体" w:hAnsi="宋体"/>
          <w:color w:val="auto"/>
          <w:sz w:val="24"/>
          <w:highlight w:val="none"/>
        </w:rPr>
        <w:t>（8）谈判过程中形成的实质性变更的书面变更通知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7.3 供应商应详细阅读竞争性谈判文件的全部内容，并实质性响应竞争性谈判文件的要求。</w:t>
      </w:r>
    </w:p>
    <w:p>
      <w:pPr>
        <w:spacing w:line="360" w:lineRule="auto"/>
        <w:ind w:firstLine="480" w:firstLineChars="200"/>
        <w:jc w:val="both"/>
        <w:rPr>
          <w:rFonts w:hAnsi="宋体"/>
          <w:color w:val="auto"/>
          <w:highlight w:val="none"/>
        </w:rPr>
      </w:pPr>
      <w:r>
        <w:rPr>
          <w:rFonts w:hint="eastAsia"/>
          <w:color w:val="auto"/>
          <w:highlight w:val="none"/>
        </w:rPr>
        <w:t>7</w:t>
      </w:r>
      <w:r>
        <w:rPr>
          <w:color w:val="auto"/>
          <w:highlight w:val="none"/>
        </w:rPr>
        <w:t>.4</w:t>
      </w:r>
      <w:r>
        <w:rPr>
          <w:rFonts w:hint="eastAsia" w:hAnsi="宋体"/>
          <w:color w:val="auto"/>
          <w:highlight w:val="none"/>
        </w:rPr>
        <w:t>提交首次响应文件截止之日前，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起3个工作日前，发布公告并以书面形式通知所有获取</w:t>
      </w:r>
      <w:r>
        <w:rPr>
          <w:rFonts w:hint="eastAsia" w:cs="宋体" w:asciiTheme="minorEastAsia" w:hAnsiTheme="minorEastAsia" w:eastAsiaTheme="minorEastAsia"/>
          <w:color w:val="auto"/>
          <w:highlight w:val="none"/>
        </w:rPr>
        <w:t>谈判</w:t>
      </w:r>
      <w:r>
        <w:rPr>
          <w:rFonts w:hint="eastAsia" w:hAnsi="宋体"/>
          <w:color w:val="auto"/>
          <w:highlight w:val="none"/>
        </w:rPr>
        <w:t>文件的供应商；不足上述时间的，采购人、采购代理机构应当顺延提交首次响应文件截止时间。</w:t>
      </w:r>
    </w:p>
    <w:p>
      <w:pPr>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四</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响应</w:t>
      </w:r>
      <w:r>
        <w:rPr>
          <w:rFonts w:asciiTheme="minorEastAsia" w:hAnsiTheme="minorEastAsia" w:eastAsiaTheme="minorEastAsia"/>
          <w:b/>
          <w:color w:val="auto"/>
          <w:highlight w:val="none"/>
        </w:rPr>
        <w:t>文件</w:t>
      </w:r>
    </w:p>
    <w:p>
      <w:pPr>
        <w:spacing w:line="360" w:lineRule="auto"/>
        <w:ind w:firstLine="480" w:firstLineChars="200"/>
        <w:rPr>
          <w:color w:val="auto"/>
          <w:highlight w:val="none"/>
        </w:rPr>
      </w:pPr>
      <w:r>
        <w:rPr>
          <w:rFonts w:hint="eastAsia"/>
          <w:color w:val="auto"/>
          <w:highlight w:val="none"/>
        </w:rPr>
        <w:t>8</w:t>
      </w:r>
      <w:r>
        <w:rPr>
          <w:rFonts w:hAnsi="宋体"/>
          <w:color w:val="auto"/>
          <w:highlight w:val="none"/>
        </w:rPr>
        <w:t>、响应文件</w:t>
      </w:r>
    </w:p>
    <w:p>
      <w:pPr>
        <w:spacing w:line="360" w:lineRule="auto"/>
        <w:ind w:firstLine="480" w:firstLineChars="200"/>
        <w:jc w:val="both"/>
        <w:rPr>
          <w:rFonts w:hAnsi="宋体"/>
          <w:color w:val="auto"/>
          <w:highlight w:val="none"/>
        </w:rPr>
      </w:pPr>
      <w:r>
        <w:rPr>
          <w:rFonts w:hint="eastAsia" w:hAnsi="宋体"/>
          <w:color w:val="auto"/>
          <w:highlight w:val="none"/>
        </w:rPr>
        <w:t>8.1供应商提交的响应文件以及供应商与采购代理机构就有关响应的所有来往书面文件均须使用中文。响应文件中如附有外文资料，主要部分对应翻译成中文并加盖供应商公章后附在相关外文资料后面。</w:t>
      </w:r>
    </w:p>
    <w:p>
      <w:pPr>
        <w:spacing w:line="360" w:lineRule="auto"/>
        <w:ind w:firstLine="480" w:firstLineChars="200"/>
        <w:jc w:val="both"/>
        <w:rPr>
          <w:rFonts w:hAnsi="宋体"/>
          <w:color w:val="auto"/>
          <w:highlight w:val="none"/>
        </w:rPr>
      </w:pPr>
      <w:r>
        <w:rPr>
          <w:rFonts w:hint="eastAsia" w:hAnsi="宋体"/>
          <w:color w:val="auto"/>
          <w:highlight w:val="none"/>
        </w:rPr>
        <w:t>8.1.1翻译的中文资料与外文资料如果出现差异和矛盾时，以中文为准，涉嫌虚假响应的按照相关法律法规处理。</w:t>
      </w:r>
    </w:p>
    <w:p>
      <w:pPr>
        <w:spacing w:line="360" w:lineRule="auto"/>
        <w:ind w:firstLine="480" w:firstLineChars="200"/>
        <w:jc w:val="both"/>
        <w:rPr>
          <w:rFonts w:hAnsi="宋体"/>
          <w:color w:val="auto"/>
          <w:highlight w:val="none"/>
        </w:rPr>
      </w:pPr>
      <w:r>
        <w:rPr>
          <w:rFonts w:hint="eastAsia" w:hAnsi="宋体"/>
          <w:color w:val="auto"/>
          <w:highlight w:val="none"/>
        </w:rPr>
        <w:t>8.1.2未翻译的外文资料，谈判小组可将其视为无效材料。</w:t>
      </w:r>
    </w:p>
    <w:p>
      <w:pPr>
        <w:spacing w:line="360" w:lineRule="auto"/>
        <w:ind w:firstLine="480" w:firstLineChars="200"/>
        <w:jc w:val="both"/>
        <w:rPr>
          <w:rFonts w:hAnsi="宋体"/>
          <w:color w:val="auto"/>
          <w:highlight w:val="none"/>
        </w:rPr>
      </w:pPr>
      <w:r>
        <w:rPr>
          <w:rFonts w:hint="eastAsia" w:hAnsi="宋体"/>
          <w:color w:val="auto"/>
          <w:highlight w:val="none"/>
        </w:rPr>
        <w:t>8.1.3除谈判文件中另有规定外，本采购项下的响应均采用国家法定的计量单位。</w:t>
      </w:r>
      <w:r>
        <w:rPr>
          <w:rFonts w:hint="eastAsia" w:hAnsi="宋体"/>
          <w:b/>
          <w:color w:val="auto"/>
          <w:highlight w:val="none"/>
        </w:rPr>
        <w:t>（实质性要求）</w:t>
      </w:r>
    </w:p>
    <w:p>
      <w:pPr>
        <w:spacing w:line="360" w:lineRule="auto"/>
        <w:ind w:firstLine="480" w:firstLineChars="200"/>
        <w:rPr>
          <w:rFonts w:hAnsi="宋体"/>
          <w:color w:val="auto"/>
          <w:highlight w:val="none"/>
        </w:rPr>
      </w:pPr>
      <w:r>
        <w:rPr>
          <w:rFonts w:hint="eastAsia" w:hAnsi="宋体"/>
          <w:color w:val="auto"/>
          <w:highlight w:val="none"/>
        </w:rPr>
        <w:t xml:space="preserve">8.2 </w:t>
      </w:r>
      <w:r>
        <w:rPr>
          <w:rFonts w:hAnsi="宋体"/>
          <w:color w:val="auto"/>
          <w:highlight w:val="none"/>
        </w:rPr>
        <w:t>供应商须按</w:t>
      </w:r>
      <w:r>
        <w:rPr>
          <w:rFonts w:hint="eastAsia" w:hAnsi="宋体"/>
          <w:color w:val="auto"/>
          <w:highlight w:val="none"/>
        </w:rPr>
        <w:t>采购</w:t>
      </w:r>
      <w:r>
        <w:rPr>
          <w:rFonts w:hAnsi="宋体"/>
          <w:color w:val="auto"/>
          <w:highlight w:val="none"/>
        </w:rPr>
        <w:t>文件的要求</w:t>
      </w:r>
      <w:r>
        <w:rPr>
          <w:rFonts w:hint="eastAsia" w:hAnsi="宋体"/>
          <w:color w:val="auto"/>
          <w:highlight w:val="none"/>
        </w:rPr>
        <w:t>编制</w:t>
      </w:r>
      <w:r>
        <w:rPr>
          <w:rFonts w:hAnsi="宋体"/>
          <w:color w:val="auto"/>
          <w:highlight w:val="none"/>
        </w:rPr>
        <w:t>响应文件</w:t>
      </w:r>
      <w:r>
        <w:rPr>
          <w:rFonts w:hint="eastAsia" w:hAnsi="宋体"/>
          <w:color w:val="auto"/>
          <w:highlight w:val="none"/>
        </w:rPr>
        <w:t>。供应商编写的响应文件应包括（但不限于）下列部分：</w:t>
      </w:r>
    </w:p>
    <w:p>
      <w:pPr>
        <w:spacing w:line="360" w:lineRule="auto"/>
        <w:ind w:firstLine="480" w:firstLineChars="200"/>
        <w:rPr>
          <w:color w:val="auto"/>
          <w:highlight w:val="none"/>
        </w:rPr>
      </w:pPr>
      <w:r>
        <w:rPr>
          <w:color w:val="auto"/>
          <w:highlight w:val="none"/>
        </w:rPr>
        <w:t>文件一：资格性响应文件</w:t>
      </w:r>
    </w:p>
    <w:p>
      <w:pPr>
        <w:spacing w:line="360" w:lineRule="auto"/>
        <w:ind w:firstLine="480" w:firstLineChars="200"/>
        <w:rPr>
          <w:color w:val="auto"/>
          <w:highlight w:val="none"/>
        </w:rPr>
      </w:pPr>
      <w:r>
        <w:rPr>
          <w:color w:val="auto"/>
          <w:highlight w:val="none"/>
        </w:rPr>
        <w:t>符合</w:t>
      </w:r>
      <w:r>
        <w:rPr>
          <w:rFonts w:hint="eastAsia"/>
          <w:color w:val="auto"/>
          <w:highlight w:val="none"/>
        </w:rPr>
        <w:t>谈判</w:t>
      </w:r>
      <w:r>
        <w:rPr>
          <w:color w:val="auto"/>
          <w:highlight w:val="none"/>
        </w:rPr>
        <w:t>文件第三章规定的资格证明材料。</w:t>
      </w:r>
    </w:p>
    <w:p>
      <w:pPr>
        <w:spacing w:line="360" w:lineRule="auto"/>
        <w:ind w:firstLine="480" w:firstLineChars="200"/>
        <w:rPr>
          <w:color w:val="auto"/>
          <w:highlight w:val="none"/>
        </w:rPr>
      </w:pPr>
      <w:r>
        <w:rPr>
          <w:color w:val="auto"/>
          <w:highlight w:val="none"/>
        </w:rPr>
        <w:t>文件二：技术、服务性响应文件</w:t>
      </w:r>
    </w:p>
    <w:p>
      <w:pPr>
        <w:spacing w:line="360" w:lineRule="auto"/>
        <w:ind w:firstLine="480" w:firstLineChars="200"/>
        <w:rPr>
          <w:color w:val="auto"/>
          <w:highlight w:val="none"/>
        </w:rPr>
      </w:pPr>
      <w:r>
        <w:rPr>
          <w:color w:val="auto"/>
          <w:highlight w:val="none"/>
        </w:rPr>
        <w:t>包括响应函、技术要求响应/偏离表、商务要求响应/偏离表、质量保证和售后服务承诺、服务计划及承诺、初次报价等文件。</w:t>
      </w:r>
    </w:p>
    <w:p>
      <w:pPr>
        <w:spacing w:line="360" w:lineRule="auto"/>
        <w:ind w:firstLine="480" w:firstLineChars="200"/>
        <w:rPr>
          <w:color w:val="auto"/>
          <w:highlight w:val="none"/>
        </w:rPr>
      </w:pPr>
      <w:r>
        <w:rPr>
          <w:rFonts w:hint="eastAsia"/>
          <w:color w:val="auto"/>
          <w:highlight w:val="none"/>
        </w:rPr>
        <w:t>9</w:t>
      </w:r>
      <w:r>
        <w:rPr>
          <w:rFonts w:hAnsi="宋体"/>
          <w:color w:val="auto"/>
          <w:highlight w:val="none"/>
        </w:rPr>
        <w:t>、报价</w:t>
      </w:r>
      <w:r>
        <w:rPr>
          <w:rFonts w:hint="eastAsia" w:hAnsi="宋体"/>
          <w:b/>
          <w:color w:val="auto"/>
          <w:highlight w:val="none"/>
        </w:rPr>
        <w:t>（实质性要求）</w:t>
      </w:r>
    </w:p>
    <w:p>
      <w:pPr>
        <w:pStyle w:val="18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9</w:t>
      </w:r>
      <w:r>
        <w:rPr>
          <w:rFonts w:ascii="宋体" w:hAnsi="宋体"/>
          <w:color w:val="auto"/>
          <w:kern w:val="0"/>
          <w:sz w:val="24"/>
          <w:highlight w:val="none"/>
        </w:rPr>
        <w:t>.1所有报价一律以人民币报价。</w:t>
      </w:r>
    </w:p>
    <w:p>
      <w:pPr>
        <w:pStyle w:val="180"/>
        <w:spacing w:line="360" w:lineRule="auto"/>
        <w:ind w:firstLine="480"/>
        <w:rPr>
          <w:b/>
          <w:color w:val="auto"/>
          <w:sz w:val="24"/>
          <w:highlight w:val="none"/>
        </w:rPr>
      </w:pPr>
      <w:r>
        <w:rPr>
          <w:rFonts w:hint="eastAsia" w:ascii="宋体" w:hAnsi="宋体"/>
          <w:color w:val="auto"/>
          <w:kern w:val="0"/>
          <w:sz w:val="24"/>
          <w:highlight w:val="none"/>
        </w:rPr>
        <w:t>9</w:t>
      </w:r>
      <w:r>
        <w:rPr>
          <w:rFonts w:ascii="宋体" w:hAnsi="宋体"/>
          <w:color w:val="auto"/>
          <w:kern w:val="0"/>
          <w:sz w:val="24"/>
          <w:highlight w:val="none"/>
        </w:rPr>
        <w:t>.2供应商报价应为完成本竞争性谈判文件中所要求的货物所应包括内容的所有价格。</w:t>
      </w:r>
    </w:p>
    <w:p>
      <w:pPr>
        <w:pStyle w:val="180"/>
        <w:spacing w:line="360" w:lineRule="auto"/>
        <w:ind w:firstLine="480"/>
        <w:rPr>
          <w:b/>
          <w:color w:val="auto"/>
          <w:sz w:val="24"/>
          <w:highlight w:val="none"/>
        </w:rPr>
      </w:pPr>
      <w:r>
        <w:rPr>
          <w:rFonts w:hint="eastAsia" w:hAnsi="宋体"/>
          <w:color w:val="auto"/>
          <w:sz w:val="24"/>
          <w:highlight w:val="none"/>
        </w:rPr>
        <w:t>9.3</w:t>
      </w:r>
      <w:r>
        <w:rPr>
          <w:rFonts w:hAnsi="宋体"/>
          <w:color w:val="auto"/>
          <w:sz w:val="24"/>
          <w:highlight w:val="none"/>
        </w:rPr>
        <w:t>供应商</w:t>
      </w:r>
      <w:r>
        <w:rPr>
          <w:rFonts w:hint="eastAsia" w:hAnsi="宋体"/>
          <w:color w:val="auto"/>
          <w:sz w:val="24"/>
          <w:highlight w:val="none"/>
        </w:rPr>
        <w:t>报价不允许有备选方案，且报价不允许有选择性，否则</w:t>
      </w:r>
      <w:r>
        <w:rPr>
          <w:rFonts w:hAnsi="宋体"/>
          <w:color w:val="auto"/>
          <w:sz w:val="24"/>
          <w:highlight w:val="none"/>
        </w:rPr>
        <w:t>将视为无效报价，其响应文件将被视为无效响应文件处理</w:t>
      </w:r>
      <w:r>
        <w:rPr>
          <w:rFonts w:hint="eastAsia" w:hAnsi="宋体"/>
          <w:color w:val="auto"/>
          <w:sz w:val="24"/>
          <w:highlight w:val="none"/>
        </w:rPr>
        <w:t>。</w:t>
      </w:r>
    </w:p>
    <w:p>
      <w:pPr>
        <w:pStyle w:val="180"/>
        <w:spacing w:line="360" w:lineRule="auto"/>
        <w:ind w:firstLine="480"/>
        <w:rPr>
          <w:rFonts w:hAnsi="宋体"/>
          <w:color w:val="auto"/>
          <w:sz w:val="24"/>
          <w:highlight w:val="none"/>
        </w:rPr>
      </w:pPr>
      <w:r>
        <w:rPr>
          <w:rFonts w:hint="eastAsia" w:hAnsi="宋体"/>
          <w:color w:val="auto"/>
          <w:sz w:val="24"/>
          <w:highlight w:val="none"/>
        </w:rPr>
        <w:t>9</w:t>
      </w:r>
      <w:r>
        <w:rPr>
          <w:rFonts w:hAnsi="宋体"/>
          <w:color w:val="auto"/>
          <w:sz w:val="24"/>
          <w:highlight w:val="none"/>
        </w:rPr>
        <w:t>.</w:t>
      </w:r>
      <w:r>
        <w:rPr>
          <w:rFonts w:hint="eastAsia" w:hAnsi="宋体"/>
          <w:color w:val="auto"/>
          <w:sz w:val="24"/>
          <w:highlight w:val="none"/>
        </w:rPr>
        <w:t>4供应商报价或者某些分项报价明显不合理或者低于成本价，有可能影响商品质量和不能诚信履约的，谈判小组有权在谈判现场要求参与谈判的供应商在规定时间内出具相关证明材料予以解释说明，并提交相关证明材料。谈判小组有权根据《中华人民共和国反不正当竞争法》相关规定，对供应商出具相关证明材料不予认同，将其视为无效报价，其响应文件将被视为无效响应文件处理。</w:t>
      </w:r>
    </w:p>
    <w:p>
      <w:pPr>
        <w:pStyle w:val="180"/>
        <w:spacing w:line="360" w:lineRule="auto"/>
        <w:ind w:firstLine="480"/>
        <w:rPr>
          <w:rFonts w:hAnsi="宋体"/>
          <w:color w:val="auto"/>
          <w:sz w:val="24"/>
          <w:highlight w:val="none"/>
        </w:rPr>
      </w:pPr>
      <w:r>
        <w:rPr>
          <w:rFonts w:hint="eastAsia" w:hAnsi="宋体"/>
          <w:color w:val="auto"/>
          <w:sz w:val="24"/>
          <w:highlight w:val="none"/>
        </w:rPr>
        <w:t>9.5本次谈判采用现场报价方式，通过资格审查的供应商在与谈判小组进行谈判后，按要求进行报价。（初始报价表放在技术、服务性响应文件中，初始报价不属于现场报价范畴，仅供谈判小组成员谈判参考使用。如谈判过程中，技术指标未发生实质性变化，各供应商的每轮报价不得高于上轮报价，本次报价高于上次报价的，视为无效报价，响应文件按无效处理）。</w:t>
      </w:r>
    </w:p>
    <w:p>
      <w:pPr>
        <w:spacing w:line="360" w:lineRule="auto"/>
        <w:ind w:firstLine="480" w:firstLineChars="200"/>
        <w:rPr>
          <w:color w:val="auto"/>
          <w:highlight w:val="none"/>
        </w:rPr>
      </w:pPr>
      <w:r>
        <w:rPr>
          <w:rFonts w:hint="eastAsia"/>
          <w:color w:val="auto"/>
          <w:highlight w:val="none"/>
        </w:rPr>
        <w:t>10</w:t>
      </w:r>
      <w:r>
        <w:rPr>
          <w:rFonts w:hAnsi="宋体"/>
          <w:color w:val="auto"/>
          <w:highlight w:val="none"/>
        </w:rPr>
        <w:t>、响应文件的递交</w:t>
      </w:r>
    </w:p>
    <w:p>
      <w:pPr>
        <w:pStyle w:val="18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10</w:t>
      </w:r>
      <w:r>
        <w:rPr>
          <w:rFonts w:ascii="宋体" w:hAnsi="宋体"/>
          <w:color w:val="auto"/>
          <w:kern w:val="0"/>
          <w:sz w:val="24"/>
          <w:highlight w:val="none"/>
        </w:rPr>
        <w:t>.1响应文件分资格性响应文件和技术、服务性响应文件两部分，应分册密封</w:t>
      </w:r>
      <w:r>
        <w:rPr>
          <w:rFonts w:hint="eastAsia" w:ascii="宋体" w:hAnsi="宋体"/>
          <w:color w:val="auto"/>
          <w:kern w:val="0"/>
          <w:sz w:val="24"/>
          <w:highlight w:val="none"/>
        </w:rPr>
        <w:t>、</w:t>
      </w:r>
      <w:r>
        <w:rPr>
          <w:rFonts w:ascii="宋体" w:hAnsi="宋体"/>
          <w:color w:val="auto"/>
          <w:kern w:val="0"/>
          <w:sz w:val="24"/>
          <w:highlight w:val="none"/>
        </w:rPr>
        <w:t>装订。资格性响应文件用于资格审查，技术</w:t>
      </w:r>
      <w:r>
        <w:rPr>
          <w:rFonts w:hint="eastAsia" w:ascii="宋体" w:hAnsi="宋体"/>
          <w:color w:val="auto"/>
          <w:kern w:val="0"/>
          <w:sz w:val="24"/>
          <w:highlight w:val="none"/>
        </w:rPr>
        <w:t>、服务性</w:t>
      </w:r>
      <w:r>
        <w:rPr>
          <w:rFonts w:ascii="宋体" w:hAnsi="宋体"/>
          <w:color w:val="auto"/>
          <w:kern w:val="0"/>
          <w:sz w:val="24"/>
          <w:highlight w:val="none"/>
        </w:rPr>
        <w:t>响应文件用于供应商与谈判小组谈判。</w:t>
      </w:r>
    </w:p>
    <w:p>
      <w:pPr>
        <w:pStyle w:val="18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10</w:t>
      </w:r>
      <w:r>
        <w:rPr>
          <w:rFonts w:ascii="宋体" w:hAnsi="宋体"/>
          <w:color w:val="auto"/>
          <w:kern w:val="0"/>
          <w:sz w:val="24"/>
          <w:highlight w:val="none"/>
        </w:rPr>
        <w:t>.2供应商递交的响应文件为一式</w:t>
      </w:r>
      <w:r>
        <w:rPr>
          <w:rFonts w:hint="eastAsia" w:ascii="宋体" w:hAnsi="宋体"/>
          <w:color w:val="auto"/>
          <w:kern w:val="0"/>
          <w:sz w:val="24"/>
          <w:highlight w:val="none"/>
        </w:rPr>
        <w:t>3</w:t>
      </w:r>
      <w:r>
        <w:rPr>
          <w:rFonts w:ascii="宋体" w:hAnsi="宋体"/>
          <w:color w:val="auto"/>
          <w:kern w:val="0"/>
          <w:sz w:val="24"/>
          <w:highlight w:val="none"/>
        </w:rPr>
        <w:t>份，其中正本</w:t>
      </w:r>
      <w:r>
        <w:rPr>
          <w:rFonts w:hint="eastAsia" w:ascii="宋体" w:hAnsi="宋体"/>
          <w:color w:val="auto"/>
          <w:kern w:val="0"/>
          <w:sz w:val="24"/>
          <w:highlight w:val="none"/>
        </w:rPr>
        <w:t>1</w:t>
      </w:r>
      <w:r>
        <w:rPr>
          <w:rFonts w:ascii="宋体" w:hAnsi="宋体"/>
          <w:color w:val="auto"/>
          <w:kern w:val="0"/>
          <w:sz w:val="24"/>
          <w:highlight w:val="none"/>
        </w:rPr>
        <w:t>份，副本</w:t>
      </w:r>
      <w:r>
        <w:rPr>
          <w:rFonts w:hint="eastAsia" w:ascii="宋体" w:hAnsi="宋体"/>
          <w:color w:val="auto"/>
          <w:kern w:val="0"/>
          <w:sz w:val="24"/>
          <w:highlight w:val="none"/>
        </w:rPr>
        <w:t>2</w:t>
      </w:r>
      <w:r>
        <w:rPr>
          <w:rFonts w:ascii="宋体" w:hAnsi="宋体"/>
          <w:color w:val="auto"/>
          <w:kern w:val="0"/>
          <w:sz w:val="24"/>
          <w:highlight w:val="none"/>
        </w:rPr>
        <w:t>份。响应文件正本应用不褪色的墨水中文书写或打印，并装订成册。并在响应文件封面标明</w:t>
      </w:r>
      <w:r>
        <w:rPr>
          <w:color w:val="auto"/>
          <w:sz w:val="24"/>
          <w:highlight w:val="none"/>
        </w:rPr>
        <w:t>资格性响应文件</w:t>
      </w:r>
      <w:r>
        <w:rPr>
          <w:rFonts w:hint="eastAsia"/>
          <w:color w:val="auto"/>
          <w:sz w:val="24"/>
          <w:highlight w:val="none"/>
        </w:rPr>
        <w:t>/</w:t>
      </w:r>
      <w:r>
        <w:rPr>
          <w:color w:val="auto"/>
          <w:sz w:val="24"/>
          <w:highlight w:val="none"/>
        </w:rPr>
        <w:t>技术、服务性响应文件</w:t>
      </w:r>
      <w:r>
        <w:rPr>
          <w:rFonts w:hint="eastAsia"/>
          <w:color w:val="auto"/>
          <w:sz w:val="24"/>
          <w:highlight w:val="none"/>
        </w:rPr>
        <w:t>、</w:t>
      </w:r>
      <w:r>
        <w:rPr>
          <w:rFonts w:ascii="宋体" w:hAnsi="宋体"/>
          <w:color w:val="auto"/>
          <w:kern w:val="0"/>
          <w:sz w:val="24"/>
          <w:highlight w:val="none"/>
        </w:rPr>
        <w:t>项目名称、</w:t>
      </w:r>
      <w:r>
        <w:rPr>
          <w:rFonts w:hint="eastAsia" w:ascii="宋体" w:hAnsi="宋体"/>
          <w:color w:val="auto"/>
          <w:kern w:val="0"/>
          <w:sz w:val="24"/>
          <w:highlight w:val="none"/>
        </w:rPr>
        <w:t>项目编号</w:t>
      </w:r>
      <w:r>
        <w:rPr>
          <w:rFonts w:ascii="宋体" w:hAnsi="宋体"/>
          <w:color w:val="auto"/>
          <w:kern w:val="0"/>
          <w:sz w:val="24"/>
          <w:highlight w:val="none"/>
        </w:rPr>
        <w:t>、供应商名称以及 “正本”、“副本”字样。</w:t>
      </w:r>
    </w:p>
    <w:p>
      <w:pPr>
        <w:pStyle w:val="180"/>
        <w:spacing w:line="360" w:lineRule="auto"/>
        <w:ind w:firstLine="480"/>
        <w:rPr>
          <w:rFonts w:hAnsi="宋体"/>
          <w:bCs/>
          <w:color w:val="auto"/>
          <w:sz w:val="24"/>
          <w:highlight w:val="none"/>
        </w:rPr>
      </w:pPr>
      <w:r>
        <w:rPr>
          <w:rFonts w:hAnsi="宋体"/>
          <w:bCs/>
          <w:color w:val="auto"/>
          <w:sz w:val="24"/>
          <w:highlight w:val="none"/>
        </w:rPr>
        <w:t>响应文件分资格性响应文件和技术、服务性响应文件</w:t>
      </w:r>
      <w:r>
        <w:rPr>
          <w:rFonts w:hint="eastAsia" w:hAnsi="宋体"/>
          <w:bCs/>
          <w:color w:val="auto"/>
          <w:sz w:val="24"/>
          <w:highlight w:val="none"/>
        </w:rPr>
        <w:t>两</w:t>
      </w:r>
      <w:r>
        <w:rPr>
          <w:rFonts w:hAnsi="宋体"/>
          <w:bCs/>
          <w:color w:val="auto"/>
          <w:sz w:val="24"/>
          <w:highlight w:val="none"/>
        </w:rPr>
        <w:t>部分，应</w:t>
      </w:r>
      <w:r>
        <w:rPr>
          <w:rFonts w:hint="eastAsia" w:hAnsi="宋体"/>
          <w:bCs/>
          <w:color w:val="auto"/>
          <w:sz w:val="24"/>
          <w:highlight w:val="none"/>
        </w:rPr>
        <w:t>分别</w:t>
      </w:r>
      <w:r>
        <w:rPr>
          <w:rFonts w:hAnsi="宋体"/>
          <w:bCs/>
          <w:color w:val="auto"/>
          <w:sz w:val="24"/>
          <w:highlight w:val="none"/>
        </w:rPr>
        <w:t>装订</w:t>
      </w:r>
      <w:r>
        <w:rPr>
          <w:rFonts w:hint="eastAsia" w:hAnsi="宋体"/>
          <w:bCs/>
          <w:color w:val="auto"/>
          <w:sz w:val="24"/>
          <w:highlight w:val="none"/>
        </w:rPr>
        <w:t>、</w:t>
      </w:r>
      <w:r>
        <w:rPr>
          <w:rFonts w:hAnsi="宋体"/>
          <w:bCs/>
          <w:color w:val="auto"/>
          <w:sz w:val="24"/>
          <w:highlight w:val="none"/>
        </w:rPr>
        <w:t>密封</w:t>
      </w:r>
      <w:r>
        <w:rPr>
          <w:rFonts w:hint="eastAsia" w:hAnsi="宋体"/>
          <w:bCs/>
          <w:color w:val="auto"/>
          <w:sz w:val="24"/>
          <w:highlight w:val="none"/>
        </w:rPr>
        <w:t>。资格性响应文件一个包装，技术、服务性响应文件一个包装。</w:t>
      </w:r>
    </w:p>
    <w:p>
      <w:pPr>
        <w:pStyle w:val="180"/>
        <w:spacing w:line="360" w:lineRule="auto"/>
        <w:ind w:firstLine="480"/>
        <w:rPr>
          <w:rFonts w:hAnsi="宋体"/>
          <w:bCs/>
          <w:color w:val="auto"/>
          <w:sz w:val="24"/>
          <w:highlight w:val="none"/>
        </w:rPr>
      </w:pPr>
      <w:r>
        <w:rPr>
          <w:rFonts w:hint="eastAsia" w:hAnsi="宋体"/>
          <w:bCs/>
          <w:color w:val="auto"/>
          <w:sz w:val="24"/>
          <w:highlight w:val="none"/>
        </w:rPr>
        <w:t>未密封的响应文件，采购人、采购代理机构将拒收或者在时间允许的范围内，要求修改完善后接收。</w:t>
      </w:r>
    </w:p>
    <w:p>
      <w:pPr>
        <w:pStyle w:val="18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10</w:t>
      </w:r>
      <w:r>
        <w:rPr>
          <w:rFonts w:ascii="宋体" w:hAnsi="宋体"/>
          <w:color w:val="auto"/>
          <w:kern w:val="0"/>
          <w:sz w:val="24"/>
          <w:highlight w:val="none"/>
        </w:rPr>
        <w:t>.</w:t>
      </w:r>
      <w:r>
        <w:rPr>
          <w:rFonts w:hint="eastAsia" w:ascii="宋体" w:hAnsi="宋体"/>
          <w:color w:val="auto"/>
          <w:kern w:val="0"/>
          <w:sz w:val="24"/>
          <w:highlight w:val="none"/>
        </w:rPr>
        <w:t>3</w:t>
      </w:r>
      <w:r>
        <w:rPr>
          <w:rFonts w:ascii="宋体" w:hAnsi="宋体"/>
          <w:color w:val="auto"/>
          <w:kern w:val="0"/>
          <w:sz w:val="24"/>
          <w:highlight w:val="none"/>
        </w:rPr>
        <w:t>在递交响应文件截止时间后送达的任何响应文件将被拒绝。</w:t>
      </w:r>
    </w:p>
    <w:p>
      <w:pPr>
        <w:spacing w:line="360" w:lineRule="auto"/>
        <w:ind w:firstLine="480" w:firstLineChars="200"/>
        <w:rPr>
          <w:rFonts w:hint="eastAsia" w:eastAsia="宋体"/>
          <w:color w:val="auto"/>
          <w:highlight w:val="none"/>
          <w:lang w:eastAsia="zh-CN"/>
        </w:rPr>
      </w:pPr>
      <w:r>
        <w:rPr>
          <w:rFonts w:hint="eastAsia"/>
          <w:color w:val="auto"/>
          <w:highlight w:val="none"/>
        </w:rPr>
        <w:t>11</w:t>
      </w:r>
      <w:r>
        <w:rPr>
          <w:rFonts w:hAnsi="宋体"/>
          <w:color w:val="auto"/>
          <w:highlight w:val="none"/>
        </w:rPr>
        <w:t>、谈判保证金</w:t>
      </w:r>
      <w:r>
        <w:rPr>
          <w:rFonts w:hint="eastAsia" w:hAnsi="宋体"/>
          <w:color w:val="auto"/>
          <w:highlight w:val="none"/>
          <w:lang w:eastAsia="zh-CN"/>
        </w:rPr>
        <w:t>（</w:t>
      </w:r>
      <w:r>
        <w:rPr>
          <w:rFonts w:hint="eastAsia" w:hAnsi="宋体"/>
          <w:color w:val="auto"/>
          <w:highlight w:val="none"/>
          <w:lang w:val="en-US" w:eastAsia="zh-CN"/>
        </w:rPr>
        <w:t>不适用</w:t>
      </w:r>
      <w:r>
        <w:rPr>
          <w:rFonts w:hint="eastAsia" w:hAnsi="宋体"/>
          <w:color w:val="auto"/>
          <w:highlight w:val="none"/>
          <w:lang w:eastAsia="zh-CN"/>
        </w:rPr>
        <w:t>）</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11</w:t>
      </w:r>
      <w:r>
        <w:rPr>
          <w:color w:val="auto"/>
          <w:highlight w:val="none"/>
        </w:rPr>
        <w:t>.1 供应商应提交一笔不少于本竞争性谈判文件规定的人民币金额的谈判保证金。</w:t>
      </w:r>
    </w:p>
    <w:p>
      <w:pPr>
        <w:widowControl w:val="false"/>
        <w:tabs>
          <w:tab w:val="left" w:pos="0"/>
          <w:tab w:val="left" w:pos="1080"/>
        </w:tabs>
        <w:spacing w:line="360" w:lineRule="auto"/>
        <w:ind w:firstLine="480" w:firstLineChars="200"/>
        <w:jc w:val="both"/>
        <w:rPr>
          <w:color w:val="auto"/>
          <w:highlight w:val="none"/>
        </w:rPr>
      </w:pPr>
      <w:r>
        <w:rPr>
          <w:color w:val="auto"/>
          <w:highlight w:val="none"/>
        </w:rPr>
        <w:t>谈判保证金是为了保护采购人免遭因供应商的行为而蒙受损失，采购人在因供应商的行为受到损害时可根据第</w:t>
      </w:r>
      <w:r>
        <w:rPr>
          <w:rFonts w:hint="eastAsia"/>
          <w:color w:val="auto"/>
          <w:highlight w:val="none"/>
        </w:rPr>
        <w:t>11</w:t>
      </w:r>
      <w:r>
        <w:rPr>
          <w:color w:val="auto"/>
          <w:highlight w:val="none"/>
        </w:rPr>
        <w:t>.4条的规定不予退还供应商的谈判保证金。</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11</w:t>
      </w:r>
      <w:r>
        <w:rPr>
          <w:color w:val="auto"/>
          <w:highlight w:val="none"/>
        </w:rPr>
        <w:t>.2 未按规定时间和数额交纳谈判保证金的响应文件，其响应文件被视为无效响应文件。</w:t>
      </w:r>
      <w:r>
        <w:rPr>
          <w:rFonts w:hint="eastAsia"/>
          <w:b/>
          <w:color w:val="auto"/>
          <w:highlight w:val="none"/>
        </w:rPr>
        <w:t>（实质性要求）</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11</w:t>
      </w:r>
      <w:r>
        <w:rPr>
          <w:color w:val="auto"/>
          <w:highlight w:val="none"/>
        </w:rPr>
        <w:t>.3</w:t>
      </w:r>
      <w:r>
        <w:rPr>
          <w:rFonts w:hint="eastAsia"/>
          <w:color w:val="auto"/>
          <w:highlight w:val="none"/>
        </w:rPr>
        <w:t>未成交人的谈判保证金，将在成交通知书发出后五个工作日内全额退还（非现金形式）。</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成交人的谈判保证金在成交人与采购人签订采购合同后5个工作日内退还（非现金形式）。退还时请返还采购合同（原件）1份后，到本采购代理机构财务部办理。</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11</w:t>
      </w:r>
      <w:r>
        <w:rPr>
          <w:color w:val="auto"/>
          <w:highlight w:val="none"/>
        </w:rPr>
        <w:t>.4  下列任何情况发生时，谈判保证金将被不予退还：</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11</w:t>
      </w:r>
      <w:r>
        <w:rPr>
          <w:color w:val="auto"/>
          <w:highlight w:val="none"/>
        </w:rPr>
        <w:t>.4.1 供应商在有效期内撤回其响应文件的；</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11</w:t>
      </w:r>
      <w:r>
        <w:rPr>
          <w:color w:val="auto"/>
          <w:highlight w:val="none"/>
        </w:rPr>
        <w:t>.4.2 供应商在采购活动中有违法、违纪行为的；</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11</w:t>
      </w:r>
      <w:r>
        <w:rPr>
          <w:color w:val="auto"/>
          <w:highlight w:val="none"/>
        </w:rPr>
        <w:t>.4.3 成交供应商无正当理由不与采购人签订政府采购合同的；</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11</w:t>
      </w:r>
      <w:r>
        <w:rPr>
          <w:color w:val="auto"/>
          <w:highlight w:val="none"/>
        </w:rPr>
        <w:t>.4.4 成交供应商未按谈判文件要求交纳履约保证金的；</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11</w:t>
      </w:r>
      <w:r>
        <w:rPr>
          <w:color w:val="auto"/>
          <w:highlight w:val="none"/>
        </w:rPr>
        <w:t>.4.5 供应商在响应文件中提供虚假材料的；</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11</w:t>
      </w:r>
      <w:r>
        <w:rPr>
          <w:color w:val="auto"/>
          <w:highlight w:val="none"/>
        </w:rPr>
        <w:t>.4.6 成交供应商未交纳成交服务费的。</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12、响应文件有效期</w:t>
      </w:r>
      <w:r>
        <w:rPr>
          <w:rFonts w:hint="eastAsia"/>
          <w:b/>
          <w:color w:val="auto"/>
          <w:highlight w:val="none"/>
        </w:rPr>
        <w:t>（实质性要求）</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本项目响应文件有效期为递交响应文件截止之日起90天。供应商响应文件中必须载明响应文件有效期，响应文件中载明的响应文件有效期可以长于文件规定的期限，但不得短于采购文件规定的期限。否则，其响应文件将作为无效处理。</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13</w:t>
      </w:r>
      <w:r>
        <w:rPr>
          <w:rFonts w:hAnsi="宋体"/>
          <w:color w:val="auto"/>
          <w:highlight w:val="none"/>
        </w:rPr>
        <w:t>、确定成交候选人</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13</w:t>
      </w:r>
      <w:r>
        <w:rPr>
          <w:color w:val="auto"/>
          <w:highlight w:val="none"/>
        </w:rPr>
        <w:t>.1</w:t>
      </w:r>
      <w:r>
        <w:rPr>
          <w:rFonts w:hAnsi="宋体"/>
          <w:color w:val="auto"/>
          <w:highlight w:val="none"/>
        </w:rPr>
        <w:t>采购代理机构应当在谈判结束后</w:t>
      </w:r>
      <w:r>
        <w:rPr>
          <w:rFonts w:hint="eastAsia"/>
          <w:color w:val="auto"/>
          <w:highlight w:val="none"/>
          <w:lang w:val="en-US" w:eastAsia="zh-CN"/>
        </w:rPr>
        <w:t>1</w:t>
      </w:r>
      <w:r>
        <w:rPr>
          <w:rFonts w:hAnsi="宋体"/>
          <w:color w:val="auto"/>
          <w:highlight w:val="none"/>
        </w:rPr>
        <w:t>个工作日内将谈判报告送采购人确认。</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13</w:t>
      </w:r>
      <w:r>
        <w:rPr>
          <w:color w:val="auto"/>
          <w:highlight w:val="none"/>
        </w:rPr>
        <w:t xml:space="preserve">.2 </w:t>
      </w:r>
      <w:r>
        <w:rPr>
          <w:rFonts w:hAnsi="宋体"/>
          <w:color w:val="auto"/>
          <w:highlight w:val="none"/>
        </w:rPr>
        <w:t>采购人应当在收到谈判报告后</w:t>
      </w:r>
      <w:r>
        <w:rPr>
          <w:rFonts w:hint="eastAsia"/>
          <w:color w:val="auto"/>
          <w:highlight w:val="none"/>
          <w:lang w:val="en-US" w:eastAsia="zh-CN"/>
        </w:rPr>
        <w:t>4</w:t>
      </w:r>
      <w:r>
        <w:rPr>
          <w:rFonts w:hAnsi="宋体"/>
          <w:color w:val="auto"/>
          <w:highlight w:val="none"/>
        </w:rPr>
        <w:t>个工作日内，从谈判报告提出的成交候选人中，根据质量和服务均能满足采购文件实质性响应要求且最后报价最低的原则确定成交供应商。</w:t>
      </w:r>
    </w:p>
    <w:p>
      <w:pPr>
        <w:widowControl w:val="false"/>
        <w:tabs>
          <w:tab w:val="left" w:pos="0"/>
          <w:tab w:val="left" w:pos="1080"/>
        </w:tabs>
        <w:spacing w:line="360" w:lineRule="auto"/>
        <w:ind w:firstLine="480" w:firstLineChars="200"/>
        <w:jc w:val="both"/>
        <w:rPr>
          <w:color w:val="auto"/>
          <w:highlight w:val="none"/>
        </w:rPr>
      </w:pPr>
      <w:r>
        <w:rPr>
          <w:rFonts w:hint="eastAsia"/>
          <w:color w:val="auto"/>
          <w:highlight w:val="none"/>
        </w:rPr>
        <w:t>13</w:t>
      </w:r>
      <w:r>
        <w:rPr>
          <w:color w:val="auto"/>
          <w:highlight w:val="none"/>
        </w:rPr>
        <w:t>.3</w:t>
      </w:r>
      <w:r>
        <w:rPr>
          <w:rFonts w:hAnsi="宋体"/>
          <w:color w:val="auto"/>
          <w:highlight w:val="none"/>
        </w:rPr>
        <w:t>采购人确定成交供应商过程中，发现成交候选供应商有下列情形之一的，将不予确定其为成交供应商：</w:t>
      </w:r>
    </w:p>
    <w:p>
      <w:pPr>
        <w:widowControl w:val="false"/>
        <w:tabs>
          <w:tab w:val="left" w:pos="0"/>
          <w:tab w:val="left" w:pos="1080"/>
        </w:tabs>
        <w:spacing w:line="360" w:lineRule="auto"/>
        <w:ind w:firstLine="480" w:firstLineChars="200"/>
        <w:jc w:val="both"/>
        <w:rPr>
          <w:color w:val="auto"/>
          <w:highlight w:val="none"/>
        </w:rPr>
      </w:pPr>
      <w:r>
        <w:rPr>
          <w:rFonts w:hAnsi="宋体"/>
          <w:color w:val="auto"/>
          <w:highlight w:val="none"/>
        </w:rPr>
        <w:t>（一）成交候选供应商存在违法、违纪行为的；</w:t>
      </w:r>
    </w:p>
    <w:p>
      <w:pPr>
        <w:widowControl w:val="false"/>
        <w:tabs>
          <w:tab w:val="left" w:pos="0"/>
          <w:tab w:val="left" w:pos="1080"/>
        </w:tabs>
        <w:spacing w:line="360" w:lineRule="auto"/>
        <w:ind w:firstLine="480" w:firstLineChars="200"/>
        <w:jc w:val="both"/>
        <w:rPr>
          <w:color w:val="auto"/>
          <w:highlight w:val="none"/>
        </w:rPr>
      </w:pPr>
      <w:r>
        <w:rPr>
          <w:rFonts w:hint="eastAsia" w:hAnsi="宋体"/>
          <w:color w:val="auto"/>
          <w:highlight w:val="none"/>
        </w:rPr>
        <w:t>（</w:t>
      </w:r>
      <w:r>
        <w:rPr>
          <w:rFonts w:hAnsi="宋体"/>
          <w:color w:val="auto"/>
          <w:highlight w:val="none"/>
        </w:rPr>
        <w:t>二）成交候选供应商因不可抗力、社会经济形势发生重大变化、破产、重组等原因确定无法履行政府采购合同的；</w:t>
      </w:r>
    </w:p>
    <w:p>
      <w:pPr>
        <w:widowControl w:val="false"/>
        <w:tabs>
          <w:tab w:val="left" w:pos="0"/>
          <w:tab w:val="left" w:pos="1080"/>
        </w:tabs>
        <w:spacing w:line="360" w:lineRule="auto"/>
        <w:ind w:firstLine="480" w:firstLineChars="200"/>
        <w:jc w:val="both"/>
        <w:rPr>
          <w:color w:val="auto"/>
          <w:highlight w:val="none"/>
        </w:rPr>
      </w:pPr>
      <w:r>
        <w:rPr>
          <w:rFonts w:hAnsi="宋体"/>
          <w:color w:val="auto"/>
          <w:highlight w:val="none"/>
        </w:rPr>
        <w:t>（三）成交候选供应商书面自愿放弃成交，且无其他非法目的的。</w:t>
      </w:r>
    </w:p>
    <w:p>
      <w:pPr>
        <w:widowControl w:val="false"/>
        <w:tabs>
          <w:tab w:val="left" w:pos="0"/>
          <w:tab w:val="left" w:pos="1080"/>
        </w:tabs>
        <w:spacing w:line="360" w:lineRule="auto"/>
        <w:ind w:firstLine="480" w:firstLineChars="200"/>
        <w:jc w:val="both"/>
        <w:rPr>
          <w:color w:val="auto"/>
          <w:highlight w:val="none"/>
        </w:rPr>
      </w:pPr>
      <w:r>
        <w:rPr>
          <w:rFonts w:hAnsi="宋体"/>
          <w:color w:val="auto"/>
          <w:highlight w:val="none"/>
        </w:rPr>
        <w:t>成交候选供应商有本款情形之一的，采购人将确定后一位成交候选供应商为成交供应商。依次类推。无法确定成交供应商的，采购人将重新组织采购。</w:t>
      </w:r>
    </w:p>
    <w:p>
      <w:pPr>
        <w:widowControl w:val="false"/>
        <w:tabs>
          <w:tab w:val="left" w:pos="0"/>
          <w:tab w:val="left" w:pos="1080"/>
        </w:tabs>
        <w:spacing w:line="360" w:lineRule="auto"/>
        <w:ind w:firstLine="480" w:firstLineChars="200"/>
        <w:jc w:val="both"/>
        <w:rPr>
          <w:color w:val="auto"/>
          <w:highlight w:val="none"/>
        </w:rPr>
      </w:pPr>
      <w:r>
        <w:rPr>
          <w:rFonts w:hAnsi="宋体"/>
          <w:color w:val="auto"/>
          <w:highlight w:val="none"/>
        </w:rPr>
        <w:t>成交候选供应商以本款第（三）项放弃成交的，应当说明理由。</w:t>
      </w:r>
    </w:p>
    <w:p>
      <w:pPr>
        <w:pStyle w:val="180"/>
        <w:spacing w:line="360" w:lineRule="auto"/>
        <w:ind w:firstLine="48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4</w:t>
      </w:r>
      <w:r>
        <w:rPr>
          <w:rFonts w:ascii="宋体" w:hAnsi="宋体"/>
          <w:color w:val="auto"/>
          <w:kern w:val="0"/>
          <w:sz w:val="24"/>
          <w:highlight w:val="none"/>
        </w:rPr>
        <w:t>、成交通知书</w:t>
      </w:r>
    </w:p>
    <w:p>
      <w:pPr>
        <w:pStyle w:val="180"/>
        <w:spacing w:line="360" w:lineRule="auto"/>
        <w:ind w:firstLine="480"/>
        <w:rPr>
          <w:rFonts w:ascii="宋体" w:hAnsi="宋体"/>
          <w:color w:val="auto"/>
          <w:kern w:val="0"/>
          <w:sz w:val="24"/>
          <w:highlight w:val="none"/>
        </w:rPr>
      </w:pPr>
      <w:r>
        <w:rPr>
          <w:rFonts w:ascii="宋体" w:hAnsi="宋体"/>
          <w:color w:val="auto"/>
          <w:kern w:val="0"/>
          <w:sz w:val="24"/>
          <w:highlight w:val="none"/>
        </w:rPr>
        <w:t>采购代理机构在成交供应商确定后，在</w:t>
      </w:r>
      <w:r>
        <w:rPr>
          <w:rFonts w:hint="eastAsia" w:ascii="宋体" w:hAnsi="宋体"/>
          <w:color w:val="auto"/>
          <w:kern w:val="0"/>
          <w:sz w:val="24"/>
          <w:highlight w:val="none"/>
          <w:lang w:val="en-US" w:eastAsia="zh-CN"/>
        </w:rPr>
        <w:t>陕西省政府采购网</w:t>
      </w:r>
      <w:r>
        <w:rPr>
          <w:rFonts w:ascii="宋体" w:hAnsi="宋体"/>
          <w:color w:val="auto"/>
          <w:kern w:val="0"/>
          <w:sz w:val="24"/>
          <w:highlight w:val="none"/>
        </w:rPr>
        <w:t>上公告成交结果，</w:t>
      </w:r>
      <w:r>
        <w:rPr>
          <w:rFonts w:hint="eastAsia" w:ascii="宋体" w:hAnsi="宋体"/>
          <w:color w:val="auto"/>
          <w:kern w:val="0"/>
          <w:sz w:val="24"/>
          <w:highlight w:val="none"/>
        </w:rPr>
        <w:t>同日</w:t>
      </w:r>
      <w:r>
        <w:rPr>
          <w:rFonts w:ascii="宋体" w:hAnsi="宋体"/>
          <w:color w:val="auto"/>
          <w:kern w:val="0"/>
          <w:sz w:val="24"/>
          <w:highlight w:val="none"/>
        </w:rPr>
        <w:t>向成交供应商发出成交通知书。</w:t>
      </w:r>
    </w:p>
    <w:p>
      <w:pPr>
        <w:spacing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rPr>
        <w:t>5</w:t>
      </w:r>
      <w:r>
        <w:rPr>
          <w:rFonts w:hAnsi="宋体"/>
          <w:color w:val="auto"/>
          <w:highlight w:val="none"/>
        </w:rPr>
        <w:t>、签订合同</w:t>
      </w:r>
    </w:p>
    <w:p>
      <w:pPr>
        <w:pStyle w:val="180"/>
        <w:spacing w:line="360" w:lineRule="auto"/>
        <w:ind w:firstLine="48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5</w:t>
      </w:r>
      <w:r>
        <w:rPr>
          <w:rFonts w:ascii="宋体" w:hAnsi="宋体"/>
          <w:color w:val="auto"/>
          <w:kern w:val="0"/>
          <w:sz w:val="24"/>
          <w:highlight w:val="none"/>
        </w:rPr>
        <w:t>.1成交供应商应在</w:t>
      </w:r>
      <w:r>
        <w:rPr>
          <w:rFonts w:hint="eastAsia" w:ascii="宋体" w:hAnsi="宋体"/>
          <w:color w:val="auto"/>
          <w:kern w:val="0"/>
          <w:sz w:val="24"/>
          <w:highlight w:val="none"/>
        </w:rPr>
        <w:t>成交通知书发出之日起</w:t>
      </w:r>
      <w:r>
        <w:rPr>
          <w:rFonts w:ascii="宋体" w:hAnsi="宋体"/>
          <w:color w:val="auto"/>
          <w:kern w:val="0"/>
          <w:sz w:val="24"/>
          <w:highlight w:val="none"/>
        </w:rPr>
        <w:t>30日内，按照谈判文件、响应文件以及谈判过程中确定的事项与采购人签订采购合同。</w:t>
      </w:r>
    </w:p>
    <w:p>
      <w:pPr>
        <w:pStyle w:val="180"/>
        <w:spacing w:line="360" w:lineRule="auto"/>
        <w:ind w:firstLine="48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5</w:t>
      </w:r>
      <w:r>
        <w:rPr>
          <w:rFonts w:ascii="宋体" w:hAnsi="宋体"/>
          <w:color w:val="auto"/>
          <w:kern w:val="0"/>
          <w:sz w:val="24"/>
          <w:highlight w:val="none"/>
        </w:rPr>
        <w:t>.2竞争性谈判文件、供应商提交的响应文件、谈判中的最终报价、供应商承诺书、成交通知书等均成为有法律约束力的合同的组成内容。</w:t>
      </w:r>
    </w:p>
    <w:p>
      <w:pPr>
        <w:pStyle w:val="180"/>
        <w:spacing w:line="360" w:lineRule="auto"/>
        <w:ind w:firstLine="480"/>
        <w:rPr>
          <w:rFonts w:ascii="宋体" w:hAnsi="宋体"/>
          <w:color w:val="auto"/>
          <w:kern w:val="0"/>
          <w:sz w:val="24"/>
          <w:highlight w:val="none"/>
        </w:rPr>
      </w:pPr>
      <w:r>
        <w:rPr>
          <w:rFonts w:hint="eastAsia" w:hAnsi="宋体"/>
          <w:color w:val="auto"/>
          <w:sz w:val="24"/>
          <w:highlight w:val="none"/>
        </w:rPr>
        <w:t>16.</w:t>
      </w:r>
      <w:r>
        <w:rPr>
          <w:rFonts w:hint="eastAsia" w:ascii="宋体" w:hAnsi="宋体"/>
          <w:color w:val="auto"/>
          <w:kern w:val="0"/>
          <w:sz w:val="24"/>
          <w:highlight w:val="none"/>
        </w:rPr>
        <w:t>询问、质疑、投诉的接收和处理严格按照《中华人民共和国政府采购法》、《中华人民共和国政府采购法实施条例》、《财政部关于加强政府采购供应商投诉受理审查工作的通知》和《政府采购质疑和投诉办法》（财政部令第 94 号）等的相关规定办理.</w:t>
      </w:r>
    </w:p>
    <w:p>
      <w:pPr>
        <w:pStyle w:val="18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询问：根据委托代理协议约定，供应商询问由采购代理机构负责统一答复。</w:t>
      </w:r>
    </w:p>
    <w:p>
      <w:pPr>
        <w:pStyle w:val="18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质疑：根据委托代理协议约定，供应商质疑由采购代理机构负责统一接收、答复。</w:t>
      </w:r>
    </w:p>
    <w:p>
      <w:pPr>
        <w:pStyle w:val="18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质疑提出时间：1.对采购文件内容的质疑：在获取采购文件之日起七个工作日内。2.对采购过程质疑时间：为各采购程序环节结束之日起七个工作日内。3.对采购结果提出质疑时间：为成交结果公告期限届满之日起七个工作日内。</w:t>
      </w:r>
    </w:p>
    <w:p>
      <w:pPr>
        <w:pStyle w:val="18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注：1.潜在供应商已依法获取其可质疑的采购文件的，可以对该文件提出质疑。</w:t>
      </w:r>
    </w:p>
    <w:p>
      <w:pPr>
        <w:pStyle w:val="18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2.根据《中华人民共和国政府采购法》等规定，供应商质疑不得超出采购文件、采购过程、采购结果的范围, 供应商针对同一采购程序环节的质疑应在法定质疑期内一次性提出。</w:t>
      </w:r>
    </w:p>
    <w:p>
      <w:pPr>
        <w:pStyle w:val="18"/>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3.质疑函相关格式请自行在中国政府采购网下载相应范本进行填写。</w:t>
      </w:r>
    </w:p>
    <w:p>
      <w:pPr>
        <w:spacing w:line="300" w:lineRule="auto"/>
        <w:ind w:firstLine="480"/>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rPr>
        <w:t>接收</w:t>
      </w:r>
      <w:r>
        <w:rPr>
          <w:rFonts w:hint="eastAsia" w:asciiTheme="minorEastAsia" w:hAnsiTheme="minorEastAsia" w:eastAsiaTheme="minorEastAsia"/>
          <w:color w:val="auto"/>
          <w:highlight w:val="none"/>
        </w:rPr>
        <w:t>询问、</w:t>
      </w:r>
      <w:r>
        <w:rPr>
          <w:rFonts w:asciiTheme="minorEastAsia" w:hAnsiTheme="minorEastAsia" w:eastAsiaTheme="minorEastAsia"/>
          <w:color w:val="auto"/>
          <w:highlight w:val="none"/>
        </w:rPr>
        <w:t>质疑联系部门</w:t>
      </w:r>
      <w:r>
        <w:rPr>
          <w:rFonts w:hint="eastAsia" w:asciiTheme="minorEastAsia" w:hAnsiTheme="minorEastAsia" w:eastAsiaTheme="minorEastAsia"/>
          <w:color w:val="auto"/>
          <w:highlight w:val="none"/>
        </w:rPr>
        <w:t>：项目部    项目负责人：</w:t>
      </w:r>
      <w:r>
        <w:rPr>
          <w:rFonts w:hint="eastAsia" w:asciiTheme="minorEastAsia" w:hAnsiTheme="minorEastAsia" w:eastAsiaTheme="minorEastAsia"/>
          <w:color w:val="auto"/>
          <w:highlight w:val="none"/>
          <w:lang w:eastAsia="zh-CN"/>
        </w:rPr>
        <w:t>连女士</w:t>
      </w:r>
    </w:p>
    <w:p>
      <w:pPr>
        <w:spacing w:line="300" w:lineRule="auto"/>
        <w:ind w:firstLine="480"/>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rPr>
        <w:t>联系电话</w:t>
      </w:r>
      <w:r>
        <w:rPr>
          <w:rFonts w:hint="eastAsia" w:asciiTheme="minorEastAsia" w:hAnsiTheme="minorEastAsia" w:eastAsiaTheme="minorEastAsia"/>
          <w:color w:val="auto"/>
          <w:highlight w:val="none"/>
        </w:rPr>
        <w:t>：88854271转800</w:t>
      </w:r>
      <w:r>
        <w:rPr>
          <w:rFonts w:hint="eastAsia" w:asciiTheme="minorEastAsia" w:hAnsiTheme="minorEastAsia" w:eastAsiaTheme="minorEastAsia"/>
          <w:color w:val="auto"/>
          <w:highlight w:val="none"/>
          <w:lang w:val="en-US" w:eastAsia="zh-CN"/>
        </w:rPr>
        <w:t>9</w:t>
      </w:r>
    </w:p>
    <w:p>
      <w:pPr>
        <w:spacing w:line="300" w:lineRule="auto"/>
        <w:ind w:firstLine="480"/>
        <w:rPr>
          <w:rFonts w:asciiTheme="minorEastAsia" w:hAnsiTheme="minorEastAsia" w:eastAsiaTheme="minorEastAsia"/>
          <w:color w:val="auto"/>
          <w:highlight w:val="none"/>
        </w:rPr>
      </w:pPr>
      <w:r>
        <w:rPr>
          <w:rFonts w:asciiTheme="minorEastAsia" w:hAnsiTheme="minorEastAsia" w:eastAsiaTheme="minorEastAsia"/>
          <w:color w:val="auto"/>
          <w:highlight w:val="none"/>
        </w:rPr>
        <w:t>通讯地址</w:t>
      </w:r>
      <w:r>
        <w:rPr>
          <w:rFonts w:hint="eastAsia" w:asciiTheme="minorEastAsia" w:hAnsiTheme="minorEastAsia" w:eastAsiaTheme="minorEastAsia"/>
          <w:color w:val="auto"/>
          <w:highlight w:val="none"/>
        </w:rPr>
        <w:t>：西安市高新区唐延路35号旺座现代城G座2301室</w:t>
      </w:r>
    </w:p>
    <w:p>
      <w:pPr>
        <w:pStyle w:val="180"/>
        <w:keepNext w:val="false"/>
        <w:keepLines w:val="false"/>
        <w:pageBreakBefore w:val="false"/>
        <w:widowControl/>
        <w:kinsoku/>
        <w:wordWrap/>
        <w:overflowPunct/>
        <w:topLinePunct w:val="false"/>
        <w:autoSpaceDE/>
        <w:autoSpaceDN/>
        <w:bidi w:val="false"/>
        <w:adjustRightInd/>
        <w:snapToGrid/>
        <w:spacing w:line="360" w:lineRule="auto"/>
        <w:ind w:firstLine="560"/>
        <w:textAlignment w:val="auto"/>
        <w:outlineLvl w:val="0"/>
        <w:rPr>
          <w:color w:val="auto"/>
          <w:sz w:val="40"/>
          <w:szCs w:val="40"/>
          <w:highlight w:val="none"/>
        </w:rPr>
      </w:pPr>
      <w:r>
        <w:rPr>
          <w:color w:val="auto"/>
          <w:highlight w:val="none"/>
        </w:rPr>
        <w:br w:type="page"/>
      </w:r>
      <w:bookmarkStart w:name="_Toc18395" w:id="11"/>
      <w:bookmarkStart w:name="_Toc417905806" w:id="12"/>
      <w:bookmarkStart w:name="_Toc4795" w:id="13"/>
      <w:bookmarkStart w:name="_Toc19126" w:id="14"/>
      <w:bookmarkStart w:name="PO_默认文件内容_5" w:id="15"/>
      <w:r>
        <w:rPr>
          <w:rFonts w:hint="eastAsia"/>
          <w:color w:val="auto"/>
          <w:highlight w:val="none"/>
          <w:lang w:val="en-US" w:eastAsia="zh-CN"/>
        </w:rPr>
        <w:t xml:space="preserve">      </w:t>
      </w:r>
      <w:r>
        <w:rPr>
          <w:rFonts w:hint="eastAsia" w:ascii="Times New Roman" w:hAnsi="Times New Roman" w:eastAsia="宋体" w:cs="Times New Roman"/>
          <w:b/>
          <w:color w:val="auto"/>
          <w:kern w:val="0"/>
          <w:sz w:val="40"/>
          <w:szCs w:val="40"/>
          <w:highlight w:val="none"/>
          <w:lang w:val="en-US" w:eastAsia="zh-CN" w:bidi="ar-SA"/>
        </w:rPr>
        <w:t xml:space="preserve"> </w:t>
      </w:r>
      <w:bookmarkStart w:name="_Toc6216" w:id="16"/>
      <w:r>
        <w:rPr>
          <w:rFonts w:ascii="Times New Roman" w:hAnsi="Times New Roman" w:eastAsia="宋体" w:cs="Times New Roman"/>
          <w:b/>
          <w:color w:val="auto"/>
          <w:kern w:val="0"/>
          <w:sz w:val="40"/>
          <w:szCs w:val="40"/>
          <w:highlight w:val="none"/>
          <w:lang w:val="en-US" w:eastAsia="zh-CN" w:bidi="ar-SA"/>
        </w:rPr>
        <w:t>第三章供应商资格证明文件</w:t>
      </w:r>
      <w:bookmarkEnd w:id="11"/>
      <w:bookmarkEnd w:id="12"/>
      <w:bookmarkEnd w:id="13"/>
      <w:bookmarkEnd w:id="14"/>
      <w:bookmarkEnd w:id="16"/>
    </w:p>
    <w:p>
      <w:pPr>
        <w:rPr>
          <w:b/>
          <w:color w:val="auto"/>
          <w:highlight w:val="none"/>
        </w:rPr>
      </w:pPr>
      <w:r>
        <w:rPr>
          <w:b/>
          <w:color w:val="auto"/>
          <w:highlight w:val="none"/>
        </w:rPr>
        <w:t>资格条件：</w:t>
      </w:r>
    </w:p>
    <w:bookmarkEnd w:id="15"/>
    <w:tbl>
      <w:tblPr>
        <w:tblStyle w:val="43"/>
        <w:tblpPr w:leftFromText="180" w:rightFromText="180" w:vertAnchor="text" w:horzAnchor="page" w:tblpX="1442" w:tblpY="312"/>
        <w:tblOverlap w:val="never"/>
        <w:tblW w:w="918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952"/>
        <w:gridCol w:w="547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7" w:type="dxa"/>
            <w:vAlign w:val="center"/>
          </w:tcPr>
          <w:p>
            <w:pPr>
              <w:snapToGrid w:val="false"/>
              <w:spacing w:line="360" w:lineRule="auto"/>
              <w:jc w:val="center"/>
              <w:rPr>
                <w:rFonts w:hint="eastAsia" w:ascii="宋体" w:hAnsi="宋体" w:eastAsia="宋体" w:cs="宋体"/>
                <w:b/>
                <w:color w:val="auto"/>
                <w:sz w:val="24"/>
                <w:szCs w:val="24"/>
                <w:highlight w:val="none"/>
              </w:rPr>
            </w:pPr>
            <w:bookmarkStart w:name="_Toc417905807" w:id="17"/>
            <w:r>
              <w:rPr>
                <w:rFonts w:hint="eastAsia" w:ascii="宋体" w:hAnsi="宋体" w:eastAsia="宋体" w:cs="宋体"/>
                <w:b/>
                <w:color w:val="auto"/>
                <w:sz w:val="24"/>
                <w:szCs w:val="24"/>
                <w:highlight w:val="none"/>
              </w:rPr>
              <w:t>序号</w:t>
            </w:r>
          </w:p>
        </w:tc>
        <w:tc>
          <w:tcPr>
            <w:tcW w:w="2952" w:type="dxa"/>
            <w:vAlign w:val="center"/>
          </w:tcPr>
          <w:p>
            <w:pPr>
              <w:snapToGrid w:val="false"/>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     目</w:t>
            </w:r>
          </w:p>
        </w:tc>
        <w:tc>
          <w:tcPr>
            <w:tcW w:w="5478" w:type="dxa"/>
            <w:vAlign w:val="center"/>
          </w:tcPr>
          <w:p>
            <w:pPr>
              <w:snapToGrid w:val="false"/>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合格条件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57" w:type="dxa"/>
            <w:vAlign w:val="center"/>
          </w:tcPr>
          <w:p>
            <w:pPr>
              <w:snapToGrid w:val="false"/>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2" w:type="dxa"/>
            <w:vAlign w:val="center"/>
          </w:tcPr>
          <w:p>
            <w:pPr>
              <w:ind w:left="120" w:left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满足《中华人民共和国政府采购法》第二十二条规定的条件；</w:t>
            </w:r>
          </w:p>
        </w:tc>
        <w:tc>
          <w:tcPr>
            <w:tcW w:w="5478"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2.具备良好商业信誉的证明材料（按照文件格式附件1－2提供承诺函）；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3.具备健全的财务会计制度的证明材料。｛注：①可提供</w:t>
            </w:r>
            <w:r>
              <w:rPr>
                <w:rFonts w:hint="eastAsia" w:ascii="宋体" w:hAnsi="宋体" w:eastAsia="宋体" w:cs="宋体"/>
                <w:color w:val="auto"/>
                <w:sz w:val="24"/>
                <w:szCs w:val="24"/>
                <w:highlight w:val="none"/>
                <w:lang w:eastAsia="zh-CN"/>
              </w:rPr>
              <w:t>2022或2023年</w:t>
            </w:r>
            <w:r>
              <w:rPr>
                <w:rFonts w:hint="eastAsia" w:ascii="宋体" w:hAnsi="宋体" w:eastAsia="宋体" w:cs="宋体"/>
                <w:color w:val="auto"/>
                <w:sz w:val="24"/>
                <w:szCs w:val="24"/>
                <w:highlight w:val="none"/>
              </w:rPr>
              <w:t>度经审计的财务报告复印件（包含审计报告和审计报告中所涉及的财务报表和报表附注），②也可提供供应商内部的</w:t>
            </w:r>
            <w:r>
              <w:rPr>
                <w:rFonts w:hint="eastAsia" w:ascii="宋体" w:hAnsi="宋体" w:eastAsia="宋体" w:cs="宋体"/>
                <w:color w:val="auto"/>
                <w:sz w:val="24"/>
                <w:szCs w:val="24"/>
                <w:highlight w:val="none"/>
                <w:lang w:eastAsia="zh-CN"/>
              </w:rPr>
              <w:t>2022或2023年</w:t>
            </w:r>
            <w:r>
              <w:rPr>
                <w:rFonts w:hint="eastAsia" w:ascii="宋体" w:hAnsi="宋体" w:eastAsia="宋体" w:cs="宋体"/>
                <w:color w:val="auto"/>
                <w:sz w:val="24"/>
                <w:szCs w:val="24"/>
                <w:highlight w:val="none"/>
              </w:rPr>
              <w:t>度财务报表复印件（至少包含资产负债表），③也可提供截至响应文件递交截止日一年内银行出具的资信证明（复印件），④供应商注册时间截至响应文件递交截止日不足一年的，也可提供加盖工商备案主管部门印章的公司章程复印件，⑤也可提供政府采购信用担保机构出具的《政府采购投标担保函》｝</w:t>
            </w:r>
          </w:p>
          <w:p>
            <w:pPr>
              <w:pStyle w:val="18"/>
              <w:spacing w:after="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4.具有依法缴纳税收和社会保障资金的良好记录（（①社会保障资金缴纳证明：提供202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年1月1日至今已缴存的任一月份的社会保障资金缴存单据或社保机构开具的社会保险参保缴费情况证明，依法不需要缴纳社会保障资金的供应商应提供相关文件证明；</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年1月1日至今已缴纳的至少一个月的纳税证明或完税证明，依法免税的单位应提供相关证明材料；）；</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5.具备履行合同所必需的设备和专业技术能力的证明材料（按照文件格式附件1－2提供承诺函）；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6.参加政府采购活动前3年内在经营活动中没有重大违法记录的承诺函（按照文件格式附件1－2提供承诺函）；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7.具备法律、行政法规规定的其他条件的证明材料（按照文件格式附件1－2提供承诺函）；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57"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2" w:type="dxa"/>
            <w:vAlign w:val="center"/>
          </w:tcPr>
          <w:p>
            <w:pPr>
              <w:snapToGrid w:val="false"/>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w:t>
            </w:r>
          </w:p>
        </w:tc>
        <w:tc>
          <w:tcPr>
            <w:tcW w:w="5478"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按采购文件规定格式提供原件（放入资格响应文件正本中，法定代表人直接参加的不需提供）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757" w:type="dxa"/>
            <w:vAlign w:val="center"/>
          </w:tcPr>
          <w:p>
            <w:pPr>
              <w:tabs>
                <w:tab w:val="left" w:pos="394"/>
                <w:tab w:val="left" w:pos="846"/>
              </w:tabs>
              <w:ind w:left="1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952" w:type="dxa"/>
            <w:vAlign w:val="center"/>
          </w:tcPr>
          <w:p>
            <w:pPr>
              <w:snapToGrid w:val="false"/>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法定代表人和被授权人身份证件</w:t>
            </w:r>
          </w:p>
        </w:tc>
        <w:tc>
          <w:tcPr>
            <w:tcW w:w="5478"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复印件加盖公章（放入资格性响应文件正本中）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1339" w:hRule="atLeast"/>
        </w:trPr>
        <w:tc>
          <w:tcPr>
            <w:tcW w:w="757" w:type="dxa"/>
            <w:vAlign w:val="center"/>
          </w:tcPr>
          <w:p>
            <w:pPr>
              <w:tabs>
                <w:tab w:val="left" w:pos="394"/>
                <w:tab w:val="left" w:pos="846"/>
              </w:tabs>
              <w:ind w:left="1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952" w:type="dxa"/>
            <w:vAlign w:val="center"/>
          </w:tcPr>
          <w:p>
            <w:pPr>
              <w:snapToGrid w:val="false"/>
              <w:spacing w:line="360" w:lineRule="auto"/>
              <w:rPr>
                <w:rFonts w:hint="eastAsia" w:ascii="宋体" w:hAnsi="宋体" w:eastAsia="宋体" w:cs="宋体"/>
                <w:color w:val="auto"/>
                <w:sz w:val="24"/>
                <w:szCs w:val="24"/>
                <w:highlight w:val="none"/>
              </w:rPr>
            </w:pPr>
            <w:r>
              <w:rPr>
                <w:rFonts w:hint="eastAsia" w:cs="Times New Roman" w:asciiTheme="minorEastAsia" w:hAnsiTheme="minorEastAsia" w:eastAsiaTheme="minorEastAsia"/>
                <w:color w:val="auto"/>
                <w:highlight w:val="none"/>
                <w:lang w:val="en-US" w:eastAsia="zh-CN"/>
              </w:rPr>
              <w:t>供应商须提供有效期内的《食品经营许可证》</w:t>
            </w:r>
            <w:r>
              <w:rPr>
                <w:rFonts w:hint="eastAsia" w:ascii="Times New Roman" w:hAnsi="Times New Roman" w:eastAsia="宋体" w:cs="Times New Roman"/>
              </w:rPr>
              <w:t>或食品经营许可证电子证书</w:t>
            </w:r>
          </w:p>
        </w:tc>
        <w:tc>
          <w:tcPr>
            <w:tcW w:w="5478" w:type="dxa"/>
            <w:vAlign w:val="center"/>
          </w:tcPr>
          <w:p>
            <w:pPr>
              <w:snapToGrid w:val="false"/>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复印件加盖公章（放入资格性响应文件正本中）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757" w:type="dxa"/>
            <w:vAlign w:val="center"/>
          </w:tcPr>
          <w:p>
            <w:pPr>
              <w:tabs>
                <w:tab w:val="left" w:pos="394"/>
                <w:tab w:val="left" w:pos="846"/>
              </w:tabs>
              <w:ind w:left="11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952"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供应商未被列入失信被执行人、重大税收违法案件当事人名单、政府采购严重违法失信行为记录</w:t>
            </w:r>
          </w:p>
        </w:tc>
        <w:tc>
          <w:tcPr>
            <w:tcW w:w="5478"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于本项目谈判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506" w:hRule="atLeast"/>
        </w:trPr>
        <w:tc>
          <w:tcPr>
            <w:tcW w:w="9187" w:type="dxa"/>
            <w:gridSpan w:val="3"/>
            <w:vAlign w:val="center"/>
          </w:tcPr>
          <w:p>
            <w:pPr>
              <w:snapToGrid w:val="false"/>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注：1.本项目不接受联合体。</w:t>
            </w:r>
          </w:p>
          <w:p>
            <w:pPr>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2.请供应商仔细核对资格响应文件是否按上述要求及格式提供相关证明材料，如未按上述要求提供，自行承担无法通过资格审核的风险。</w:t>
            </w:r>
          </w:p>
          <w:p>
            <w:pPr>
              <w:snapToGrid w:val="false"/>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kern w:val="2"/>
                <w:sz w:val="24"/>
                <w:szCs w:val="24"/>
                <w:highlight w:val="none"/>
                <w:lang w:eastAsia="ko-KR"/>
              </w:rPr>
              <w:t xml:space="preserve"> </w:t>
            </w:r>
            <w:r>
              <w:rPr>
                <w:rFonts w:hint="eastAsia" w:ascii="宋体" w:hAnsi="宋体" w:eastAsia="宋体" w:cs="宋体"/>
                <w:b/>
                <w:color w:val="auto"/>
                <w:sz w:val="24"/>
                <w:szCs w:val="24"/>
                <w:highlight w:val="none"/>
              </w:rPr>
              <w:t>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false"/>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tc>
      </w:tr>
    </w:tbl>
    <w:p>
      <w:pPr>
        <w:tabs>
          <w:tab w:val="left" w:pos="1620"/>
        </w:tabs>
        <w:spacing w:line="360" w:lineRule="auto"/>
        <w:ind w:right="-223" w:rightChars="-93"/>
        <w:jc w:val="center"/>
        <w:outlineLvl w:val="0"/>
        <w:rPr>
          <w:rFonts w:ascii="宋体" w:hAnsi="宋体" w:cs="宋体"/>
          <w:b/>
          <w:bCs/>
          <w:color w:val="auto"/>
          <w:sz w:val="40"/>
          <w:szCs w:val="40"/>
          <w:highlight w:val="none"/>
        </w:rPr>
      </w:pPr>
      <w:r>
        <w:rPr>
          <w:b/>
          <w:color w:val="auto"/>
          <w:sz w:val="40"/>
          <w:szCs w:val="40"/>
          <w:highlight w:val="none"/>
        </w:rPr>
        <w:br w:type="page"/>
      </w:r>
      <w:bookmarkStart w:name="_Toc15061" w:id="18"/>
      <w:bookmarkStart w:name="_Toc19381" w:id="19"/>
      <w:r>
        <w:rPr>
          <w:b/>
          <w:color w:val="auto"/>
          <w:sz w:val="40"/>
          <w:szCs w:val="40"/>
          <w:highlight w:val="none"/>
        </w:rPr>
        <w:t>第四章  货物服务技术规格、商务条件说明</w:t>
      </w:r>
      <w:bookmarkEnd w:id="17"/>
      <w:bookmarkEnd w:id="18"/>
      <w:bookmarkEnd w:id="19"/>
      <w:bookmarkStart w:name="_Toc257280877" w:id="20"/>
    </w:p>
    <w:bookmarkEnd w:id="20"/>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kern w:val="0"/>
          <w:sz w:val="24"/>
          <w:szCs w:val="24"/>
          <w:highlight w:val="none"/>
          <w:lang w:val="en-US" w:eastAsia="zh-CN" w:bidi="zh-TW"/>
        </w:rPr>
      </w:pPr>
      <w:bookmarkStart w:name="_Toc50549783" w:id="21"/>
      <w:bookmarkStart w:name="_Toc16646" w:id="22"/>
      <w:bookmarkStart w:name="_Toc388960396" w:id="23"/>
      <w:bookmarkStart w:name="_Toc19633" w:id="24"/>
      <w:bookmarkStart w:name="_Toc9174" w:id="25"/>
      <w:r>
        <w:rPr>
          <w:rFonts w:hint="eastAsia" w:ascii="宋体" w:hAnsi="宋体" w:eastAsia="宋体" w:cs="宋体"/>
          <w:color w:val="auto"/>
          <w:kern w:val="0"/>
          <w:sz w:val="24"/>
          <w:szCs w:val="24"/>
          <w:highlight w:val="none"/>
          <w:lang w:val="en-US" w:eastAsia="zh-CN" w:bidi="zh-TW"/>
        </w:rPr>
        <w:t xml:space="preserve">本项目共1个包， 主要内容为学生营养改善计划蔬菜、肉类、调料等原辅材料采购（具体详见谈判文件）；  </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kern w:val="0"/>
          <w:sz w:val="24"/>
          <w:szCs w:val="24"/>
          <w:highlight w:val="none"/>
          <w:lang w:val="en-US" w:eastAsia="zh-CN" w:bidi="zh-TW"/>
        </w:rPr>
      </w:pPr>
      <w:r>
        <w:rPr>
          <w:rFonts w:hint="eastAsia" w:ascii="宋体" w:hAnsi="宋体" w:eastAsia="宋体" w:cs="宋体"/>
          <w:color w:val="auto"/>
          <w:kern w:val="0"/>
          <w:sz w:val="24"/>
          <w:szCs w:val="24"/>
          <w:highlight w:val="none"/>
          <w:lang w:val="en-US" w:eastAsia="zh-CN" w:bidi="zh-TW"/>
        </w:rPr>
        <w:t>资金性质：财政资金，项目用途：营养午餐改善。</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kern w:val="0"/>
          <w:sz w:val="24"/>
          <w:szCs w:val="24"/>
          <w:highlight w:val="none"/>
          <w:lang w:val="en-US" w:eastAsia="zh-CN" w:bidi="zh-TW"/>
        </w:rPr>
      </w:pPr>
      <w:r>
        <w:rPr>
          <w:rFonts w:hint="eastAsia" w:ascii="宋体" w:hAnsi="宋体" w:eastAsia="宋体" w:cs="宋体"/>
          <w:color w:val="auto"/>
          <w:kern w:val="0"/>
          <w:sz w:val="24"/>
          <w:szCs w:val="24"/>
          <w:highlight w:val="none"/>
          <w:lang w:val="en-US" w:eastAsia="zh-CN" w:bidi="zh-TW"/>
        </w:rPr>
        <w:t>采购预算：1814000元；</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723" w:firstLineChars="300"/>
        <w:rPr>
          <w:rFonts w:hint="eastAsia" w:ascii="宋体" w:hAnsi="宋体" w:eastAsia="宋体" w:cs="宋体"/>
          <w:b/>
          <w:bCs/>
          <w:color w:val="auto"/>
          <w:kern w:val="0"/>
          <w:sz w:val="24"/>
          <w:szCs w:val="24"/>
          <w:highlight w:val="none"/>
          <w:lang w:val="en-US" w:eastAsia="zh-CN" w:bidi="zh-TW"/>
        </w:rPr>
      </w:pPr>
      <w:r>
        <w:rPr>
          <w:rFonts w:hint="eastAsia" w:ascii="宋体" w:hAnsi="宋体" w:eastAsia="宋体" w:cs="宋体"/>
          <w:b/>
          <w:bCs/>
          <w:color w:val="auto"/>
          <w:kern w:val="0"/>
          <w:sz w:val="24"/>
          <w:szCs w:val="24"/>
          <w:highlight w:val="none"/>
          <w:lang w:val="en-US" w:eastAsia="zh-CN" w:bidi="zh-TW"/>
        </w:rPr>
        <w:t>具体以实际供应数量为准，进行据实结算。结算总金额不超过采购预算1814000元。</w:t>
      </w:r>
    </w:p>
    <w:p>
      <w:pPr>
        <w:pStyle w:val="18"/>
        <w:spacing w:before="78" w:line="221" w:lineRule="auto"/>
        <w:ind w:left="315" w:firstLine="241" w:firstLineChars="100"/>
        <w:outlineLvl w:val="0"/>
        <w:rPr>
          <w:rFonts w:hint="eastAsia" w:ascii="宋体" w:hAnsi="宋体" w:eastAsia="宋体" w:cs="宋体"/>
          <w:b/>
          <w:bCs/>
          <w:color w:val="auto"/>
          <w:kern w:val="0"/>
          <w:sz w:val="24"/>
          <w:szCs w:val="24"/>
          <w:highlight w:val="none"/>
          <w:lang w:val="en-US" w:eastAsia="zh-CN" w:bidi="zh-TW"/>
        </w:rPr>
      </w:pPr>
      <w:r>
        <w:rPr>
          <w:rFonts w:hint="eastAsia" w:ascii="宋体" w:hAnsi="宋体" w:eastAsia="宋体" w:cs="宋体"/>
          <w:b/>
          <w:bCs/>
          <w:color w:val="auto"/>
          <w:kern w:val="0"/>
          <w:sz w:val="24"/>
          <w:szCs w:val="24"/>
          <w:highlight w:val="none"/>
          <w:lang w:val="en-US" w:eastAsia="zh-CN" w:bidi="zh-TW"/>
        </w:rPr>
        <w:t>本项目采购标的及所属行业划分</w:t>
      </w:r>
    </w:p>
    <w:p>
      <w:pPr>
        <w:spacing w:line="227" w:lineRule="exact"/>
        <w:rPr>
          <w:rFonts w:hint="eastAsia" w:ascii="宋体" w:hAnsi="宋体" w:eastAsia="宋体" w:cs="宋体"/>
          <w:color w:val="auto"/>
          <w:sz w:val="24"/>
          <w:szCs w:val="24"/>
          <w:highlight w:val="none"/>
        </w:rPr>
      </w:pPr>
    </w:p>
    <w:tbl>
      <w:tblPr>
        <w:tblStyle w:val="340"/>
        <w:tblW w:w="8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1046"/>
        <w:gridCol w:w="4291"/>
        <w:gridCol w:w="1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927" w:type="dxa"/>
            <w:vAlign w:val="top"/>
          </w:tcPr>
          <w:p>
            <w:pPr>
              <w:spacing w:before="118" w:line="222" w:lineRule="auto"/>
              <w:ind w:left="23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序号</w:t>
            </w:r>
          </w:p>
        </w:tc>
        <w:tc>
          <w:tcPr>
            <w:tcW w:w="5337" w:type="dxa"/>
            <w:gridSpan w:val="2"/>
            <w:vAlign w:val="top"/>
          </w:tcPr>
          <w:p>
            <w:pPr>
              <w:spacing w:before="118" w:line="221" w:lineRule="auto"/>
              <w:ind w:left="195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标的名称</w:t>
            </w:r>
          </w:p>
        </w:tc>
        <w:tc>
          <w:tcPr>
            <w:tcW w:w="1950" w:type="dxa"/>
            <w:vAlign w:val="top"/>
          </w:tcPr>
          <w:p>
            <w:pPr>
              <w:spacing w:before="118" w:line="221" w:lineRule="auto"/>
              <w:ind w:left="40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所属行业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927" w:type="dxa"/>
            <w:vMerge w:val="restart"/>
            <w:vAlign w:val="top"/>
          </w:tcPr>
          <w:p>
            <w:pPr>
              <w:spacing w:before="160" w:line="179" w:lineRule="auto"/>
              <w:ind w:left="413" w:leftChars="0"/>
              <w:rPr>
                <w:rFonts w:hint="eastAsia" w:ascii="宋体" w:hAnsi="宋体" w:cs="宋体"/>
                <w:color w:val="auto"/>
                <w:sz w:val="24"/>
                <w:szCs w:val="24"/>
                <w:highlight w:val="none"/>
                <w:lang w:val="en-US" w:eastAsia="zh-CN"/>
              </w:rPr>
            </w:pPr>
          </w:p>
          <w:p>
            <w:pPr>
              <w:spacing w:before="160" w:line="179" w:lineRule="auto"/>
              <w:ind w:left="413" w:leftChars="0"/>
              <w:rPr>
                <w:rFonts w:hint="eastAsia" w:ascii="宋体" w:hAnsi="宋体" w:cs="宋体"/>
                <w:color w:val="auto"/>
                <w:sz w:val="24"/>
                <w:szCs w:val="24"/>
                <w:highlight w:val="none"/>
                <w:lang w:val="en-US" w:eastAsia="zh-CN"/>
              </w:rPr>
            </w:pPr>
          </w:p>
          <w:p>
            <w:pPr>
              <w:spacing w:before="160" w:line="179" w:lineRule="auto"/>
              <w:ind w:left="413" w:leftChars="0"/>
              <w:rPr>
                <w:rFonts w:hint="eastAsia" w:ascii="宋体" w:hAnsi="宋体" w:cs="宋体"/>
                <w:color w:val="auto"/>
                <w:sz w:val="24"/>
                <w:szCs w:val="24"/>
                <w:highlight w:val="none"/>
                <w:lang w:val="en-US" w:eastAsia="zh-CN"/>
              </w:rPr>
            </w:pPr>
          </w:p>
          <w:p>
            <w:pPr>
              <w:spacing w:before="160" w:line="179" w:lineRule="auto"/>
              <w:ind w:left="413" w:leftChars="0"/>
              <w:rPr>
                <w:rFonts w:hint="eastAsia" w:ascii="宋体" w:hAnsi="宋体" w:cs="宋体"/>
                <w:color w:val="auto"/>
                <w:sz w:val="24"/>
                <w:szCs w:val="24"/>
                <w:highlight w:val="none"/>
                <w:lang w:val="en-US" w:eastAsia="zh-CN"/>
              </w:rPr>
            </w:pPr>
          </w:p>
          <w:p>
            <w:pPr>
              <w:spacing w:before="160" w:line="179" w:lineRule="auto"/>
              <w:ind w:left="413" w:left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046" w:type="dxa"/>
            <w:vMerge w:val="restart"/>
            <w:vAlign w:val="top"/>
          </w:tcPr>
          <w:p>
            <w:pPr>
              <w:pStyle w:val="321"/>
              <w:spacing w:line="292" w:lineRule="auto"/>
              <w:rPr>
                <w:rFonts w:hint="eastAsia" w:ascii="宋体" w:hAnsi="宋体" w:eastAsia="宋体" w:cs="宋体"/>
                <w:color w:val="auto"/>
                <w:sz w:val="24"/>
                <w:szCs w:val="24"/>
                <w:highlight w:val="none"/>
              </w:rPr>
            </w:pPr>
          </w:p>
          <w:p>
            <w:pPr>
              <w:pStyle w:val="321"/>
              <w:spacing w:line="292" w:lineRule="auto"/>
              <w:rPr>
                <w:rFonts w:hint="eastAsia" w:ascii="宋体" w:hAnsi="宋体" w:eastAsia="宋体" w:cs="宋体"/>
                <w:color w:val="auto"/>
                <w:sz w:val="24"/>
                <w:szCs w:val="24"/>
                <w:highlight w:val="none"/>
              </w:rPr>
            </w:pPr>
          </w:p>
          <w:p>
            <w:pPr>
              <w:pStyle w:val="321"/>
              <w:spacing w:line="292" w:lineRule="auto"/>
              <w:rPr>
                <w:rFonts w:hint="eastAsia" w:ascii="宋体" w:hAnsi="宋体" w:eastAsia="宋体" w:cs="宋体"/>
                <w:color w:val="auto"/>
                <w:sz w:val="24"/>
                <w:szCs w:val="24"/>
                <w:highlight w:val="none"/>
              </w:rPr>
            </w:pPr>
          </w:p>
          <w:p>
            <w:pPr>
              <w:pStyle w:val="321"/>
              <w:spacing w:line="293" w:lineRule="auto"/>
              <w:rPr>
                <w:rFonts w:hint="eastAsia" w:ascii="宋体" w:hAnsi="宋体" w:eastAsia="宋体" w:cs="宋体"/>
                <w:color w:val="auto"/>
                <w:sz w:val="24"/>
                <w:szCs w:val="24"/>
                <w:highlight w:val="none"/>
              </w:rPr>
            </w:pPr>
          </w:p>
          <w:p>
            <w:pPr>
              <w:spacing w:before="78" w:line="224" w:lineRule="auto"/>
              <w:ind w:left="321"/>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肉</w:t>
            </w:r>
            <w:r>
              <w:rPr>
                <w:rFonts w:hint="eastAsia" w:ascii="宋体" w:hAnsi="宋体" w:cs="宋体"/>
                <w:color w:val="auto"/>
                <w:spacing w:val="-21"/>
                <w:sz w:val="24"/>
                <w:szCs w:val="24"/>
                <w:highlight w:val="none"/>
                <w:lang w:val="en-US" w:eastAsia="zh-CN"/>
              </w:rPr>
              <w:t>蛋</w:t>
            </w:r>
            <w:r>
              <w:rPr>
                <w:rFonts w:hint="eastAsia" w:ascii="宋体" w:hAnsi="宋体" w:eastAsia="宋体" w:cs="宋体"/>
                <w:color w:val="auto"/>
                <w:spacing w:val="-21"/>
                <w:sz w:val="24"/>
                <w:szCs w:val="24"/>
                <w:highlight w:val="none"/>
              </w:rPr>
              <w:t>类</w:t>
            </w:r>
          </w:p>
        </w:tc>
        <w:tc>
          <w:tcPr>
            <w:tcW w:w="4291" w:type="dxa"/>
            <w:vAlign w:val="top"/>
          </w:tcPr>
          <w:p>
            <w:pPr>
              <w:spacing w:before="114" w:line="222" w:lineRule="auto"/>
              <w:ind w:left="166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猪肉</w:t>
            </w:r>
          </w:p>
        </w:tc>
        <w:tc>
          <w:tcPr>
            <w:tcW w:w="1950" w:type="dxa"/>
            <w:vAlign w:val="top"/>
          </w:tcPr>
          <w:p>
            <w:pPr>
              <w:spacing w:before="115" w:line="233"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927" w:type="dxa"/>
            <w:vMerge w:val="continue"/>
            <w:vAlign w:val="top"/>
          </w:tcPr>
          <w:p>
            <w:pPr>
              <w:spacing w:before="157" w:line="180" w:lineRule="auto"/>
              <w:ind w:left="411" w:leftChars="0"/>
              <w:rPr>
                <w:rFonts w:hint="eastAsia" w:ascii="宋体" w:hAnsi="宋体" w:eastAsia="宋体" w:cs="宋体"/>
                <w:color w:val="auto"/>
                <w:sz w:val="24"/>
                <w:szCs w:val="24"/>
                <w:highlight w:val="none"/>
                <w:lang w:val="en-US" w:eastAsia="zh-CN" w:bidi="ar-SA"/>
              </w:rPr>
            </w:pPr>
          </w:p>
        </w:tc>
        <w:tc>
          <w:tcPr>
            <w:tcW w:w="1046" w:type="dxa"/>
            <w:vMerge w:val="continue"/>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17" w:line="224" w:lineRule="auto"/>
              <w:ind w:left="22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鸡肉（鸡边腿、鸡大胸、整鸡）</w:t>
            </w:r>
          </w:p>
        </w:tc>
        <w:tc>
          <w:tcPr>
            <w:tcW w:w="1950" w:type="dxa"/>
            <w:vAlign w:val="top"/>
          </w:tcPr>
          <w:p>
            <w:pPr>
              <w:spacing w:before="115" w:line="233" w:lineRule="auto"/>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927" w:type="dxa"/>
            <w:vMerge w:val="continue"/>
            <w:vAlign w:val="top"/>
          </w:tcPr>
          <w:p>
            <w:pPr>
              <w:spacing w:before="158" w:line="180" w:lineRule="auto"/>
              <w:ind w:left="413" w:leftChars="0"/>
              <w:rPr>
                <w:rFonts w:hint="eastAsia" w:ascii="宋体" w:hAnsi="宋体" w:eastAsia="宋体" w:cs="宋体"/>
                <w:color w:val="auto"/>
                <w:sz w:val="24"/>
                <w:szCs w:val="24"/>
                <w:highlight w:val="none"/>
                <w:lang w:val="en-US" w:eastAsia="zh-CN" w:bidi="ar-SA"/>
              </w:rPr>
            </w:pPr>
          </w:p>
        </w:tc>
        <w:tc>
          <w:tcPr>
            <w:tcW w:w="1046" w:type="dxa"/>
            <w:vMerge w:val="continue"/>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16" w:line="223" w:lineRule="auto"/>
              <w:ind w:left="1675"/>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鸭肉</w:t>
            </w:r>
          </w:p>
        </w:tc>
        <w:tc>
          <w:tcPr>
            <w:tcW w:w="1950" w:type="dxa"/>
            <w:vAlign w:val="top"/>
          </w:tcPr>
          <w:p>
            <w:pPr>
              <w:spacing w:before="115" w:line="233" w:lineRule="auto"/>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927" w:type="dxa"/>
            <w:vMerge w:val="continue"/>
            <w:vAlign w:val="top"/>
          </w:tcPr>
          <w:p>
            <w:pPr>
              <w:spacing w:before="157" w:line="180" w:lineRule="auto"/>
              <w:ind w:left="407" w:leftChars="0"/>
              <w:rPr>
                <w:rFonts w:hint="eastAsia" w:ascii="宋体" w:hAnsi="宋体" w:eastAsia="宋体" w:cs="宋体"/>
                <w:color w:val="auto"/>
                <w:sz w:val="24"/>
                <w:szCs w:val="24"/>
                <w:highlight w:val="none"/>
                <w:lang w:val="en-US" w:eastAsia="zh-CN" w:bidi="ar-SA"/>
              </w:rPr>
            </w:pPr>
          </w:p>
        </w:tc>
        <w:tc>
          <w:tcPr>
            <w:tcW w:w="1046" w:type="dxa"/>
            <w:vMerge w:val="continue"/>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18" w:line="222" w:lineRule="auto"/>
              <w:ind w:left="166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牛肉</w:t>
            </w:r>
          </w:p>
        </w:tc>
        <w:tc>
          <w:tcPr>
            <w:tcW w:w="1950" w:type="dxa"/>
            <w:vAlign w:val="top"/>
          </w:tcPr>
          <w:p>
            <w:pPr>
              <w:spacing w:before="115" w:line="233" w:lineRule="auto"/>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927" w:type="dxa"/>
            <w:vMerge w:val="continue"/>
            <w:vAlign w:val="top"/>
          </w:tcPr>
          <w:p>
            <w:pPr>
              <w:spacing w:before="160" w:line="179" w:lineRule="auto"/>
              <w:ind w:left="413" w:leftChars="0"/>
              <w:rPr>
                <w:rFonts w:hint="eastAsia" w:ascii="宋体" w:hAnsi="宋体" w:eastAsia="宋体" w:cs="宋体"/>
                <w:color w:val="auto"/>
                <w:sz w:val="24"/>
                <w:szCs w:val="24"/>
                <w:highlight w:val="none"/>
                <w:lang w:val="en-US" w:eastAsia="zh-CN" w:bidi="ar-SA"/>
              </w:rPr>
            </w:pPr>
          </w:p>
        </w:tc>
        <w:tc>
          <w:tcPr>
            <w:tcW w:w="1046" w:type="dxa"/>
            <w:vMerge w:val="continue"/>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15" w:line="222" w:lineRule="auto"/>
              <w:ind w:left="1675"/>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羊肉</w:t>
            </w:r>
          </w:p>
        </w:tc>
        <w:tc>
          <w:tcPr>
            <w:tcW w:w="1950" w:type="dxa"/>
            <w:vAlign w:val="top"/>
          </w:tcPr>
          <w:p>
            <w:pPr>
              <w:spacing w:before="115" w:line="233" w:lineRule="auto"/>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927" w:type="dxa"/>
            <w:vMerge w:val="continue"/>
            <w:vAlign w:val="top"/>
          </w:tcPr>
          <w:p>
            <w:pPr>
              <w:spacing w:before="160" w:line="179" w:lineRule="auto"/>
              <w:ind w:left="413" w:leftChars="0"/>
              <w:rPr>
                <w:rFonts w:hint="eastAsia" w:ascii="宋体" w:hAnsi="宋体" w:eastAsia="宋体" w:cs="宋体"/>
                <w:color w:val="auto"/>
                <w:sz w:val="24"/>
                <w:szCs w:val="24"/>
                <w:highlight w:val="none"/>
                <w:lang w:val="en-US" w:eastAsia="zh-CN"/>
              </w:rPr>
            </w:pPr>
          </w:p>
        </w:tc>
        <w:tc>
          <w:tcPr>
            <w:tcW w:w="1046" w:type="dxa"/>
            <w:vMerge w:val="continue"/>
            <w:vAlign w:val="top"/>
          </w:tcPr>
          <w:p>
            <w:pPr>
              <w:pStyle w:val="321"/>
              <w:rPr>
                <w:rFonts w:hint="eastAsia" w:ascii="宋体" w:hAnsi="宋体" w:eastAsia="宋体" w:cs="宋体"/>
                <w:color w:val="auto"/>
                <w:sz w:val="24"/>
                <w:szCs w:val="24"/>
                <w:highlight w:val="none"/>
              </w:rPr>
            </w:pPr>
          </w:p>
        </w:tc>
        <w:tc>
          <w:tcPr>
            <w:tcW w:w="4291" w:type="dxa"/>
            <w:vAlign w:val="center"/>
          </w:tcPr>
          <w:p>
            <w:pPr>
              <w:spacing w:before="115" w:line="222" w:lineRule="auto"/>
              <w:ind w:left="1675"/>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rPr>
              <w:t>鲜鸡蛋</w:t>
            </w:r>
          </w:p>
        </w:tc>
        <w:tc>
          <w:tcPr>
            <w:tcW w:w="1950" w:type="dxa"/>
            <w:vAlign w:val="center"/>
          </w:tcPr>
          <w:p>
            <w:pPr>
              <w:spacing w:before="115" w:line="222" w:lineRule="auto"/>
              <w:jc w:val="center"/>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eastAsia="zh-CN"/>
              </w:rPr>
              <w:t>农、林、牧、 渔业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927" w:type="dxa"/>
            <w:vAlign w:val="center"/>
          </w:tcPr>
          <w:p>
            <w:pPr>
              <w:spacing w:before="158" w:line="180" w:lineRule="auto"/>
              <w:ind w:left="410" w:leftChars="0"/>
              <w:jc w:val="both"/>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1046" w:type="dxa"/>
            <w:vAlign w:val="top"/>
          </w:tcPr>
          <w:p>
            <w:pPr>
              <w:pStyle w:val="321"/>
              <w:spacing w:line="435" w:lineRule="auto"/>
              <w:rPr>
                <w:rFonts w:hint="eastAsia" w:ascii="宋体" w:hAnsi="宋体" w:eastAsia="宋体" w:cs="宋体"/>
                <w:color w:val="auto"/>
                <w:sz w:val="24"/>
                <w:szCs w:val="24"/>
                <w:highlight w:val="none"/>
              </w:rPr>
            </w:pPr>
          </w:p>
          <w:p>
            <w:pPr>
              <w:spacing w:before="78" w:line="222" w:lineRule="auto"/>
              <w:ind w:left="177"/>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zh-TW"/>
              </w:rPr>
              <w:t>蔬菜类</w:t>
            </w:r>
          </w:p>
        </w:tc>
        <w:tc>
          <w:tcPr>
            <w:tcW w:w="4291" w:type="dxa"/>
            <w:vAlign w:val="top"/>
          </w:tcPr>
          <w:p>
            <w:pPr>
              <w:spacing w:before="117" w:line="21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叶菜类、茄果类、瓜果类、根菜类、</w:t>
            </w:r>
          </w:p>
          <w:p>
            <w:pPr>
              <w:spacing w:before="114" w:line="218"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薯芋类、葱蒜类、水生菜类、芽苗</w:t>
            </w:r>
          </w:p>
          <w:p>
            <w:pPr>
              <w:spacing w:before="116" w:line="222" w:lineRule="auto"/>
              <w:ind w:left="82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类、香辛类、水果类</w:t>
            </w:r>
          </w:p>
        </w:tc>
        <w:tc>
          <w:tcPr>
            <w:tcW w:w="1950" w:type="dxa"/>
            <w:vAlign w:val="center"/>
          </w:tcPr>
          <w:p>
            <w:pPr>
              <w:spacing w:before="115" w:line="233" w:lineRule="auto"/>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农、林、牧、 渔业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927" w:type="dxa"/>
            <w:vMerge w:val="restart"/>
            <w:vAlign w:val="top"/>
          </w:tcPr>
          <w:p>
            <w:pPr>
              <w:spacing w:before="159" w:line="181" w:lineRule="auto"/>
              <w:ind w:left="366" w:leftChars="0"/>
              <w:rPr>
                <w:rFonts w:hint="eastAsia" w:ascii="宋体" w:hAnsi="宋体" w:cs="宋体"/>
                <w:color w:val="auto"/>
                <w:sz w:val="24"/>
                <w:szCs w:val="24"/>
                <w:highlight w:val="none"/>
                <w:lang w:val="en-US" w:eastAsia="zh-CN"/>
              </w:rPr>
            </w:pPr>
          </w:p>
          <w:p>
            <w:pPr>
              <w:spacing w:before="159" w:line="181" w:lineRule="auto"/>
              <w:ind w:left="366" w:leftChars="0"/>
              <w:rPr>
                <w:rFonts w:hint="eastAsia" w:ascii="宋体" w:hAnsi="宋体" w:cs="宋体"/>
                <w:color w:val="auto"/>
                <w:sz w:val="24"/>
                <w:szCs w:val="24"/>
                <w:highlight w:val="none"/>
                <w:lang w:val="en-US" w:eastAsia="zh-CN"/>
              </w:rPr>
            </w:pPr>
          </w:p>
          <w:p>
            <w:pPr>
              <w:spacing w:before="159" w:line="181" w:lineRule="auto"/>
              <w:ind w:left="366" w:leftChars="0"/>
              <w:rPr>
                <w:rFonts w:hint="eastAsia" w:ascii="宋体" w:hAnsi="宋体" w:cs="宋体"/>
                <w:color w:val="auto"/>
                <w:sz w:val="24"/>
                <w:szCs w:val="24"/>
                <w:highlight w:val="none"/>
                <w:lang w:val="en-US" w:eastAsia="zh-CN"/>
              </w:rPr>
            </w:pPr>
          </w:p>
          <w:p>
            <w:pPr>
              <w:spacing w:before="159" w:line="181" w:lineRule="auto"/>
              <w:ind w:left="366" w:leftChars="0"/>
              <w:rPr>
                <w:rFonts w:hint="eastAsia" w:ascii="宋体" w:hAnsi="宋体" w:cs="宋体"/>
                <w:color w:val="auto"/>
                <w:sz w:val="24"/>
                <w:szCs w:val="24"/>
                <w:highlight w:val="none"/>
                <w:lang w:val="en-US" w:eastAsia="zh-CN"/>
              </w:rPr>
            </w:pPr>
          </w:p>
          <w:p>
            <w:pPr>
              <w:spacing w:before="159" w:line="181" w:lineRule="auto"/>
              <w:ind w:left="366" w:leftChars="0"/>
              <w:rPr>
                <w:rFonts w:hint="eastAsia" w:ascii="宋体" w:hAnsi="宋体" w:cs="宋体"/>
                <w:color w:val="auto"/>
                <w:sz w:val="24"/>
                <w:szCs w:val="24"/>
                <w:highlight w:val="none"/>
                <w:lang w:val="en-US" w:eastAsia="zh-CN"/>
              </w:rPr>
            </w:pPr>
          </w:p>
          <w:p>
            <w:pPr>
              <w:spacing w:before="159" w:line="181" w:lineRule="auto"/>
              <w:ind w:left="366" w:leftChars="0"/>
              <w:rPr>
                <w:rFonts w:hint="eastAsia" w:ascii="宋体" w:hAnsi="宋体" w:cs="宋体"/>
                <w:color w:val="auto"/>
                <w:sz w:val="24"/>
                <w:szCs w:val="24"/>
                <w:highlight w:val="none"/>
                <w:lang w:val="en-US" w:eastAsia="zh-CN"/>
              </w:rPr>
            </w:pPr>
          </w:p>
          <w:p>
            <w:pPr>
              <w:spacing w:before="159" w:line="181" w:lineRule="auto"/>
              <w:ind w:left="366" w:leftChars="0"/>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046" w:type="dxa"/>
            <w:vMerge w:val="restart"/>
            <w:tcBorders>
              <w:bottom w:val="nil"/>
            </w:tcBorders>
            <w:vAlign w:val="top"/>
          </w:tcPr>
          <w:p>
            <w:pPr>
              <w:pStyle w:val="321"/>
              <w:spacing w:line="256" w:lineRule="auto"/>
              <w:rPr>
                <w:rFonts w:hint="eastAsia" w:ascii="宋体" w:hAnsi="宋体" w:eastAsia="宋体" w:cs="宋体"/>
                <w:color w:val="auto"/>
                <w:sz w:val="24"/>
                <w:szCs w:val="24"/>
                <w:highlight w:val="none"/>
              </w:rPr>
            </w:pPr>
          </w:p>
          <w:p>
            <w:pPr>
              <w:pStyle w:val="321"/>
              <w:spacing w:line="256" w:lineRule="auto"/>
              <w:rPr>
                <w:rFonts w:hint="eastAsia" w:ascii="宋体" w:hAnsi="宋体" w:eastAsia="宋体" w:cs="宋体"/>
                <w:color w:val="auto"/>
                <w:sz w:val="24"/>
                <w:szCs w:val="24"/>
                <w:highlight w:val="none"/>
              </w:rPr>
            </w:pPr>
          </w:p>
          <w:p>
            <w:pPr>
              <w:pStyle w:val="321"/>
              <w:spacing w:line="257" w:lineRule="auto"/>
              <w:rPr>
                <w:rFonts w:hint="eastAsia" w:ascii="宋体" w:hAnsi="宋体" w:eastAsia="宋体" w:cs="宋体"/>
                <w:color w:val="auto"/>
                <w:sz w:val="24"/>
                <w:szCs w:val="24"/>
                <w:highlight w:val="none"/>
              </w:rPr>
            </w:pPr>
          </w:p>
          <w:p>
            <w:pPr>
              <w:pStyle w:val="321"/>
              <w:spacing w:line="257" w:lineRule="auto"/>
              <w:rPr>
                <w:rFonts w:hint="eastAsia" w:ascii="宋体" w:hAnsi="宋体" w:eastAsia="宋体" w:cs="宋体"/>
                <w:color w:val="auto"/>
                <w:sz w:val="24"/>
                <w:szCs w:val="24"/>
                <w:highlight w:val="none"/>
              </w:rPr>
            </w:pPr>
          </w:p>
          <w:p>
            <w:pPr>
              <w:pStyle w:val="321"/>
              <w:spacing w:line="257" w:lineRule="auto"/>
              <w:rPr>
                <w:rFonts w:hint="eastAsia" w:ascii="宋体" w:hAnsi="宋体" w:eastAsia="宋体" w:cs="宋体"/>
                <w:color w:val="auto"/>
                <w:sz w:val="24"/>
                <w:szCs w:val="24"/>
                <w:highlight w:val="none"/>
              </w:rPr>
            </w:pPr>
          </w:p>
          <w:p>
            <w:pPr>
              <w:pStyle w:val="321"/>
              <w:spacing w:line="257" w:lineRule="auto"/>
              <w:rPr>
                <w:rFonts w:hint="eastAsia" w:ascii="宋体" w:hAnsi="宋体" w:eastAsia="宋体" w:cs="宋体"/>
                <w:color w:val="auto"/>
                <w:sz w:val="24"/>
                <w:szCs w:val="24"/>
                <w:highlight w:val="none"/>
              </w:rPr>
            </w:pPr>
          </w:p>
          <w:p>
            <w:pPr>
              <w:spacing w:before="78" w:line="264" w:lineRule="auto"/>
              <w:ind w:left="305" w:right="161" w:hanging="12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干杂调</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味品</w:t>
            </w:r>
          </w:p>
        </w:tc>
        <w:tc>
          <w:tcPr>
            <w:tcW w:w="4291" w:type="dxa"/>
            <w:vAlign w:val="top"/>
          </w:tcPr>
          <w:p>
            <w:pPr>
              <w:spacing w:before="119" w:line="223" w:lineRule="auto"/>
              <w:ind w:left="166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酱油</w:t>
            </w:r>
          </w:p>
        </w:tc>
        <w:tc>
          <w:tcPr>
            <w:tcW w:w="1950" w:type="dxa"/>
            <w:vAlign w:val="top"/>
          </w:tcPr>
          <w:p>
            <w:pPr>
              <w:spacing w:before="115" w:line="233" w:lineRule="auto"/>
              <w:jc w:val="left"/>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927" w:type="dxa"/>
            <w:vMerge w:val="continue"/>
            <w:vAlign w:val="top"/>
          </w:tcPr>
          <w:p>
            <w:pPr>
              <w:spacing w:before="78" w:line="180" w:lineRule="auto"/>
              <w:ind w:left="409" w:leftChars="0"/>
              <w:rPr>
                <w:rFonts w:hint="eastAsia" w:ascii="宋体" w:hAnsi="宋体" w:eastAsia="宋体" w:cs="宋体"/>
                <w:color w:val="auto"/>
                <w:sz w:val="24"/>
                <w:szCs w:val="24"/>
                <w:highlight w:val="none"/>
                <w:lang w:val="en-US" w:eastAsia="zh-CN" w:bidi="ar-SA"/>
              </w:rPr>
            </w:pPr>
          </w:p>
        </w:tc>
        <w:tc>
          <w:tcPr>
            <w:tcW w:w="1046"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17" w:line="230" w:lineRule="auto"/>
              <w:ind w:left="166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食盐</w:t>
            </w:r>
          </w:p>
        </w:tc>
        <w:tc>
          <w:tcPr>
            <w:tcW w:w="1950" w:type="dxa"/>
            <w:vAlign w:val="top"/>
          </w:tcPr>
          <w:p>
            <w:pPr>
              <w:spacing w:before="115" w:line="233" w:lineRule="auto"/>
              <w:jc w:val="left"/>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927" w:type="dxa"/>
            <w:vMerge w:val="continue"/>
            <w:vAlign w:val="top"/>
          </w:tcPr>
          <w:p>
            <w:pPr>
              <w:spacing w:before="78" w:line="181" w:lineRule="auto"/>
              <w:ind w:left="366" w:leftChars="0"/>
              <w:rPr>
                <w:rFonts w:hint="eastAsia" w:ascii="宋体" w:hAnsi="宋体" w:eastAsia="宋体" w:cs="宋体"/>
                <w:color w:val="auto"/>
                <w:sz w:val="24"/>
                <w:szCs w:val="24"/>
                <w:highlight w:val="none"/>
                <w:lang w:val="en-US" w:eastAsia="zh-CN" w:bidi="ar-SA"/>
              </w:rPr>
            </w:pPr>
          </w:p>
        </w:tc>
        <w:tc>
          <w:tcPr>
            <w:tcW w:w="1046"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19" w:line="221" w:lineRule="auto"/>
              <w:ind w:left="1676"/>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味精</w:t>
            </w:r>
          </w:p>
        </w:tc>
        <w:tc>
          <w:tcPr>
            <w:tcW w:w="1950" w:type="dxa"/>
            <w:vAlign w:val="top"/>
          </w:tcPr>
          <w:p>
            <w:pPr>
              <w:spacing w:before="115" w:line="233" w:lineRule="auto"/>
              <w:jc w:val="left"/>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927" w:type="dxa"/>
            <w:vMerge w:val="continue"/>
            <w:vAlign w:val="top"/>
          </w:tcPr>
          <w:p>
            <w:pPr>
              <w:spacing w:before="160" w:line="181" w:lineRule="auto"/>
              <w:ind w:left="366" w:leftChars="0"/>
              <w:rPr>
                <w:rFonts w:hint="eastAsia" w:ascii="宋体" w:hAnsi="宋体" w:eastAsia="宋体" w:cs="宋体"/>
                <w:color w:val="auto"/>
                <w:sz w:val="24"/>
                <w:szCs w:val="24"/>
                <w:highlight w:val="none"/>
                <w:lang w:val="en-US" w:eastAsia="zh-CN" w:bidi="ar-SA"/>
              </w:rPr>
            </w:pPr>
          </w:p>
        </w:tc>
        <w:tc>
          <w:tcPr>
            <w:tcW w:w="1046"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18" w:line="224" w:lineRule="auto"/>
              <w:ind w:left="166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食醋</w:t>
            </w:r>
          </w:p>
        </w:tc>
        <w:tc>
          <w:tcPr>
            <w:tcW w:w="1950" w:type="dxa"/>
            <w:vAlign w:val="top"/>
          </w:tcPr>
          <w:p>
            <w:pPr>
              <w:spacing w:before="115" w:line="233" w:lineRule="auto"/>
              <w:jc w:val="left"/>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927" w:type="dxa"/>
            <w:vMerge w:val="continue"/>
            <w:vAlign w:val="top"/>
          </w:tcPr>
          <w:p>
            <w:pPr>
              <w:spacing w:before="159" w:line="181" w:lineRule="auto"/>
              <w:ind w:left="366" w:leftChars="0"/>
              <w:rPr>
                <w:rFonts w:hint="eastAsia" w:ascii="宋体" w:hAnsi="宋体" w:eastAsia="宋体" w:cs="宋体"/>
                <w:color w:val="auto"/>
                <w:sz w:val="24"/>
                <w:szCs w:val="24"/>
                <w:highlight w:val="none"/>
                <w:lang w:val="en-US" w:eastAsia="zh-CN" w:bidi="ar-SA"/>
              </w:rPr>
            </w:pPr>
          </w:p>
        </w:tc>
        <w:tc>
          <w:tcPr>
            <w:tcW w:w="1046"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19" w:line="222" w:lineRule="auto"/>
              <w:ind w:left="166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豆瓣</w:t>
            </w:r>
          </w:p>
        </w:tc>
        <w:tc>
          <w:tcPr>
            <w:tcW w:w="1950" w:type="dxa"/>
            <w:vAlign w:val="top"/>
          </w:tcPr>
          <w:p>
            <w:pPr>
              <w:spacing w:before="115" w:line="233" w:lineRule="auto"/>
              <w:jc w:val="left"/>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927" w:type="dxa"/>
            <w:vMerge w:val="continue"/>
            <w:vAlign w:val="top"/>
          </w:tcPr>
          <w:p>
            <w:pPr>
              <w:spacing w:before="160" w:line="181" w:lineRule="auto"/>
              <w:ind w:left="366" w:leftChars="0"/>
              <w:rPr>
                <w:rFonts w:hint="eastAsia" w:ascii="宋体" w:hAnsi="宋体" w:eastAsia="宋体" w:cs="宋体"/>
                <w:color w:val="auto"/>
                <w:sz w:val="24"/>
                <w:szCs w:val="24"/>
                <w:highlight w:val="none"/>
                <w:lang w:val="en-US" w:eastAsia="zh-CN" w:bidi="ar-SA"/>
              </w:rPr>
            </w:pPr>
          </w:p>
        </w:tc>
        <w:tc>
          <w:tcPr>
            <w:tcW w:w="1046"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17" w:line="222" w:lineRule="auto"/>
              <w:ind w:left="143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淀粉制品</w:t>
            </w:r>
          </w:p>
        </w:tc>
        <w:tc>
          <w:tcPr>
            <w:tcW w:w="1950" w:type="dxa"/>
            <w:vAlign w:val="top"/>
          </w:tcPr>
          <w:p>
            <w:pPr>
              <w:spacing w:before="115" w:line="233" w:lineRule="auto"/>
              <w:jc w:val="left"/>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27" w:type="dxa"/>
            <w:vMerge w:val="continue"/>
            <w:vAlign w:val="top"/>
          </w:tcPr>
          <w:p>
            <w:pPr>
              <w:spacing w:before="159" w:line="181" w:lineRule="auto"/>
              <w:ind w:left="366" w:leftChars="0"/>
              <w:rPr>
                <w:rFonts w:hint="eastAsia" w:ascii="宋体" w:hAnsi="宋体" w:eastAsia="宋体" w:cs="宋体"/>
                <w:color w:val="auto"/>
                <w:sz w:val="24"/>
                <w:szCs w:val="24"/>
                <w:highlight w:val="none"/>
                <w:lang w:val="en-US" w:eastAsia="zh-CN" w:bidi="ar-SA"/>
              </w:rPr>
            </w:pPr>
          </w:p>
        </w:tc>
        <w:tc>
          <w:tcPr>
            <w:tcW w:w="1046" w:type="dxa"/>
            <w:vMerge w:val="continue"/>
            <w:tcBorders>
              <w:top w:val="nil"/>
            </w:tcBorders>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19" w:line="224" w:lineRule="auto"/>
              <w:ind w:left="166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大豆</w:t>
            </w:r>
          </w:p>
        </w:tc>
        <w:tc>
          <w:tcPr>
            <w:tcW w:w="1950" w:type="dxa"/>
            <w:vAlign w:val="top"/>
          </w:tcPr>
          <w:p>
            <w:pPr>
              <w:spacing w:before="115" w:line="233" w:lineRule="auto"/>
              <w:jc w:val="left"/>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bl>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sectPr>
          <w:type w:val="continuous"/>
          <w:pgSz w:w="11906" w:h="16839"/>
          <w:pgMar w:top="1431" w:right="1498" w:bottom="0" w:left="1498" w:header="0" w:footer="0" w:gutter="0"/>
          <w:cols w:space="720" w:num="1"/>
        </w:sectPr>
      </w:pPr>
    </w:p>
    <w:p>
      <w:pPr>
        <w:spacing w:line="91" w:lineRule="auto"/>
        <w:rPr>
          <w:rFonts w:hint="eastAsia" w:ascii="宋体" w:hAnsi="宋体" w:eastAsia="宋体" w:cs="宋体"/>
          <w:color w:val="auto"/>
          <w:sz w:val="24"/>
          <w:szCs w:val="24"/>
          <w:highlight w:val="none"/>
        </w:rPr>
      </w:pPr>
    </w:p>
    <w:tbl>
      <w:tblPr>
        <w:tblStyle w:val="340"/>
        <w:tblW w:w="8216" w:type="dxa"/>
        <w:tblInd w:w="4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1047"/>
        <w:gridCol w:w="4291"/>
        <w:gridCol w:w="1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28" w:type="dxa"/>
            <w:vMerge w:val="restart"/>
            <w:vAlign w:val="top"/>
          </w:tcPr>
          <w:p>
            <w:pPr>
              <w:spacing w:before="158" w:line="181" w:lineRule="auto"/>
              <w:ind w:left="351" w:leftChars="0"/>
              <w:rPr>
                <w:rFonts w:hint="eastAsia" w:ascii="宋体" w:hAnsi="宋体" w:eastAsia="宋体" w:cs="宋体"/>
                <w:color w:val="auto"/>
                <w:sz w:val="24"/>
                <w:szCs w:val="24"/>
                <w:highlight w:val="none"/>
              </w:rPr>
            </w:pPr>
          </w:p>
        </w:tc>
        <w:tc>
          <w:tcPr>
            <w:tcW w:w="1047" w:type="dxa"/>
            <w:vMerge w:val="restart"/>
            <w:tcBorders>
              <w:bottom w:val="nil"/>
            </w:tcBorders>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18" w:line="220" w:lineRule="auto"/>
              <w:ind w:left="166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花生</w:t>
            </w:r>
          </w:p>
        </w:tc>
        <w:tc>
          <w:tcPr>
            <w:tcW w:w="1950" w:type="dxa"/>
            <w:vAlign w:val="top"/>
          </w:tcPr>
          <w:p>
            <w:pPr>
              <w:spacing w:before="115" w:line="233" w:lineRule="auto"/>
              <w:jc w:val="left"/>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28" w:type="dxa"/>
            <w:vMerge w:val="continue"/>
            <w:vAlign w:val="top"/>
          </w:tcPr>
          <w:p>
            <w:pPr>
              <w:spacing w:before="156" w:line="181" w:lineRule="auto"/>
              <w:ind w:left="366"/>
              <w:rPr>
                <w:rFonts w:hint="eastAsia" w:ascii="宋体" w:hAnsi="宋体" w:eastAsia="宋体" w:cs="宋体"/>
                <w:color w:val="auto"/>
                <w:sz w:val="24"/>
                <w:szCs w:val="24"/>
                <w:highlight w:val="none"/>
                <w:lang w:val="en-US" w:eastAsia="zh-CN"/>
              </w:rPr>
            </w:pPr>
          </w:p>
        </w:tc>
        <w:tc>
          <w:tcPr>
            <w:tcW w:w="1047"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16" w:line="222" w:lineRule="auto"/>
              <w:ind w:left="166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食糖</w:t>
            </w:r>
          </w:p>
        </w:tc>
        <w:tc>
          <w:tcPr>
            <w:tcW w:w="1950" w:type="dxa"/>
            <w:vAlign w:val="top"/>
          </w:tcPr>
          <w:p>
            <w:pPr>
              <w:spacing w:before="115" w:line="233" w:lineRule="auto"/>
              <w:jc w:val="left"/>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28" w:type="dxa"/>
            <w:vMerge w:val="continue"/>
            <w:vAlign w:val="top"/>
          </w:tcPr>
          <w:p>
            <w:pPr>
              <w:spacing w:before="157" w:line="180" w:lineRule="auto"/>
              <w:ind w:left="351"/>
              <w:rPr>
                <w:rFonts w:hint="eastAsia" w:ascii="宋体" w:hAnsi="宋体" w:eastAsia="宋体" w:cs="宋体"/>
                <w:color w:val="auto"/>
                <w:sz w:val="24"/>
                <w:szCs w:val="24"/>
                <w:highlight w:val="none"/>
                <w:lang w:val="en-US" w:eastAsia="zh-CN"/>
              </w:rPr>
            </w:pPr>
          </w:p>
        </w:tc>
        <w:tc>
          <w:tcPr>
            <w:tcW w:w="1047"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15" w:line="222" w:lineRule="auto"/>
              <w:ind w:left="155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干辣椒</w:t>
            </w:r>
          </w:p>
        </w:tc>
        <w:tc>
          <w:tcPr>
            <w:tcW w:w="1950" w:type="dxa"/>
            <w:vAlign w:val="top"/>
          </w:tcPr>
          <w:p>
            <w:pPr>
              <w:spacing w:before="115" w:line="233" w:lineRule="auto"/>
              <w:jc w:val="left"/>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28" w:type="dxa"/>
            <w:vMerge w:val="continue"/>
            <w:vAlign w:val="top"/>
          </w:tcPr>
          <w:p>
            <w:pPr>
              <w:spacing w:before="159" w:line="181" w:lineRule="auto"/>
              <w:ind w:left="366" w:leftChars="0"/>
              <w:rPr>
                <w:rFonts w:hint="eastAsia" w:ascii="宋体" w:hAnsi="宋体" w:eastAsia="宋体" w:cs="宋体"/>
                <w:color w:val="auto"/>
                <w:sz w:val="24"/>
                <w:szCs w:val="24"/>
                <w:highlight w:val="none"/>
              </w:rPr>
            </w:pPr>
          </w:p>
        </w:tc>
        <w:tc>
          <w:tcPr>
            <w:tcW w:w="1047"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17" w:line="224" w:lineRule="auto"/>
              <w:ind w:left="1671"/>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面条</w:t>
            </w:r>
          </w:p>
        </w:tc>
        <w:tc>
          <w:tcPr>
            <w:tcW w:w="1950" w:type="dxa"/>
            <w:vAlign w:val="top"/>
          </w:tcPr>
          <w:p>
            <w:pPr>
              <w:spacing w:before="115" w:line="233" w:lineRule="auto"/>
              <w:jc w:val="left"/>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28" w:type="dxa"/>
            <w:vMerge w:val="continue"/>
            <w:vAlign w:val="top"/>
          </w:tcPr>
          <w:p>
            <w:pPr>
              <w:spacing w:before="156" w:line="181" w:lineRule="auto"/>
              <w:ind w:left="366" w:leftChars="0"/>
              <w:rPr>
                <w:rFonts w:hint="eastAsia" w:ascii="宋体" w:hAnsi="宋体" w:eastAsia="宋体" w:cs="宋体"/>
                <w:color w:val="auto"/>
                <w:sz w:val="24"/>
                <w:szCs w:val="24"/>
                <w:highlight w:val="none"/>
              </w:rPr>
            </w:pPr>
          </w:p>
        </w:tc>
        <w:tc>
          <w:tcPr>
            <w:tcW w:w="1047"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17" w:line="223" w:lineRule="auto"/>
              <w:ind w:left="1667"/>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粉丝</w:t>
            </w:r>
          </w:p>
        </w:tc>
        <w:tc>
          <w:tcPr>
            <w:tcW w:w="1950" w:type="dxa"/>
            <w:vAlign w:val="top"/>
          </w:tcPr>
          <w:p>
            <w:pPr>
              <w:spacing w:before="115" w:line="233" w:lineRule="auto"/>
              <w:jc w:val="left"/>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28" w:type="dxa"/>
            <w:vMerge w:val="continue"/>
            <w:vAlign w:val="top"/>
          </w:tcPr>
          <w:p>
            <w:pPr>
              <w:spacing w:before="157" w:line="180" w:lineRule="auto"/>
              <w:ind w:left="351" w:leftChars="0"/>
              <w:rPr>
                <w:rFonts w:hint="eastAsia" w:ascii="宋体" w:hAnsi="宋体" w:eastAsia="宋体" w:cs="宋体"/>
                <w:color w:val="auto"/>
                <w:sz w:val="24"/>
                <w:szCs w:val="24"/>
                <w:highlight w:val="none"/>
              </w:rPr>
            </w:pPr>
          </w:p>
        </w:tc>
        <w:tc>
          <w:tcPr>
            <w:tcW w:w="1047"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46" w:line="229" w:lineRule="auto"/>
              <w:ind w:left="169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花椒</w:t>
            </w:r>
          </w:p>
        </w:tc>
        <w:tc>
          <w:tcPr>
            <w:tcW w:w="1950" w:type="dxa"/>
            <w:vAlign w:val="top"/>
          </w:tcPr>
          <w:p>
            <w:pPr>
              <w:spacing w:before="115" w:line="233" w:lineRule="auto"/>
              <w:jc w:val="left"/>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28" w:type="dxa"/>
            <w:vMerge w:val="continue"/>
            <w:vAlign w:val="top"/>
          </w:tcPr>
          <w:p>
            <w:pPr>
              <w:spacing w:before="158" w:line="181" w:lineRule="auto"/>
              <w:ind w:left="351" w:leftChars="0"/>
              <w:rPr>
                <w:rFonts w:hint="eastAsia" w:ascii="宋体" w:hAnsi="宋体" w:eastAsia="宋体" w:cs="宋体"/>
                <w:color w:val="auto"/>
                <w:sz w:val="24"/>
                <w:szCs w:val="24"/>
                <w:highlight w:val="none"/>
              </w:rPr>
            </w:pPr>
          </w:p>
        </w:tc>
        <w:tc>
          <w:tcPr>
            <w:tcW w:w="1047" w:type="dxa"/>
            <w:vMerge w:val="continue"/>
            <w:tcBorders>
              <w:top w:val="nil"/>
            </w:tcBorders>
            <w:vAlign w:val="top"/>
          </w:tcPr>
          <w:p>
            <w:pPr>
              <w:pStyle w:val="321"/>
              <w:rPr>
                <w:rFonts w:hint="eastAsia" w:ascii="宋体" w:hAnsi="宋体" w:eastAsia="宋体" w:cs="宋体"/>
                <w:color w:val="auto"/>
                <w:sz w:val="24"/>
                <w:szCs w:val="24"/>
                <w:highlight w:val="none"/>
              </w:rPr>
            </w:pPr>
          </w:p>
        </w:tc>
        <w:tc>
          <w:tcPr>
            <w:tcW w:w="4291" w:type="dxa"/>
            <w:vAlign w:val="top"/>
          </w:tcPr>
          <w:p>
            <w:pPr>
              <w:spacing w:before="144" w:line="229" w:lineRule="auto"/>
              <w:ind w:left="159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花椒面</w:t>
            </w:r>
          </w:p>
        </w:tc>
        <w:tc>
          <w:tcPr>
            <w:tcW w:w="1950" w:type="dxa"/>
            <w:vAlign w:val="top"/>
          </w:tcPr>
          <w:p>
            <w:pPr>
              <w:spacing w:before="115" w:line="233" w:lineRule="auto"/>
              <w:jc w:val="left"/>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工业（制造业）</w:t>
            </w:r>
          </w:p>
        </w:tc>
      </w:tr>
    </w:tbl>
    <w:p>
      <w:pPr>
        <w:keepNext w:val="false"/>
        <w:keepLines w:val="false"/>
        <w:pageBreakBefore w:val="false"/>
        <w:widowControl/>
        <w:kinsoku/>
        <w:wordWrap/>
        <w:overflowPunct/>
        <w:topLinePunct w:val="false"/>
        <w:autoSpaceDE/>
        <w:autoSpaceDN/>
        <w:bidi w:val="false"/>
        <w:spacing w:line="360" w:lineRule="auto"/>
        <w:rPr>
          <w:rFonts w:hint="eastAsia" w:ascii="宋体" w:hAnsi="宋体" w:eastAsia="宋体" w:cs="宋体"/>
          <w:b/>
          <w:color w:val="auto"/>
          <w:sz w:val="24"/>
          <w:szCs w:val="24"/>
          <w:highlight w:val="none"/>
          <w:lang w:eastAsia="zh-CN"/>
        </w:rPr>
      </w:pPr>
    </w:p>
    <w:p>
      <w:pPr>
        <w:pStyle w:val="18"/>
        <w:keepNext w:val="false"/>
        <w:keepLines w:val="false"/>
        <w:pageBreakBefore w:val="false"/>
        <w:widowControl/>
        <w:kinsoku/>
        <w:wordWrap/>
        <w:overflowPunct/>
        <w:topLinePunct w:val="false"/>
        <w:autoSpaceDE/>
        <w:autoSpaceDN/>
        <w:bidi w:val="false"/>
        <w:spacing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商务要求</w:t>
      </w:r>
      <w:bookmarkEnd w:id="21"/>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2" w:firstLineChars="200"/>
        <w:rPr>
          <w:rFonts w:hint="eastAsia" w:ascii="宋体" w:hAnsi="宋体" w:eastAsia="宋体" w:cs="宋体"/>
          <w:b/>
          <w:color w:val="auto"/>
          <w:sz w:val="24"/>
          <w:szCs w:val="24"/>
          <w:highlight w:val="none"/>
          <w:lang w:val="zh-TW" w:eastAsia="zh-TW" w:bidi="ar-SA"/>
        </w:rPr>
      </w:pPr>
      <w:r>
        <w:rPr>
          <w:rFonts w:hint="eastAsia" w:ascii="宋体" w:hAnsi="宋体" w:eastAsia="宋体" w:cs="宋体"/>
          <w:b/>
          <w:color w:val="auto"/>
          <w:sz w:val="24"/>
          <w:szCs w:val="24"/>
          <w:highlight w:val="none"/>
          <w:lang w:val="en-US" w:eastAsia="zh-CN" w:bidi="ar-SA"/>
        </w:rPr>
        <w:t>（一）</w:t>
      </w:r>
      <w:r>
        <w:rPr>
          <w:rFonts w:hint="eastAsia" w:ascii="宋体" w:hAnsi="宋体" w:eastAsia="宋体" w:cs="宋体"/>
          <w:b/>
          <w:color w:val="auto"/>
          <w:sz w:val="24"/>
          <w:szCs w:val="24"/>
          <w:highlight w:val="none"/>
          <w:lang w:val="zh-TW" w:eastAsia="zh-CN" w:bidi="ar-SA"/>
        </w:rPr>
        <w:t>项目交付或者实施时间和地点</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项目实施时间</w:t>
      </w: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szCs w:val="24"/>
          <w:highlight w:val="none"/>
          <w:lang w:val="en-US" w:eastAsia="zh-CN"/>
        </w:rPr>
        <w:t>1年，具体</w:t>
      </w:r>
      <w:r>
        <w:rPr>
          <w:rFonts w:hint="eastAsia" w:ascii="宋体" w:hAnsi="宋体" w:cs="宋体"/>
          <w:color w:val="auto"/>
          <w:sz w:val="24"/>
          <w:szCs w:val="24"/>
          <w:highlight w:val="none"/>
          <w:lang w:val="en-US" w:eastAsia="zh-CN"/>
        </w:rPr>
        <w:t>实施</w:t>
      </w:r>
      <w:r>
        <w:rPr>
          <w:rFonts w:hint="eastAsia" w:ascii="宋体" w:hAnsi="宋体" w:eastAsia="宋体" w:cs="宋体"/>
          <w:color w:val="auto"/>
          <w:sz w:val="24"/>
          <w:szCs w:val="24"/>
          <w:highlight w:val="none"/>
          <w:lang w:val="en-US" w:eastAsia="zh-CN"/>
        </w:rPr>
        <w:t>时间以合同签订时间为准。</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1.2项目实施</w:t>
      </w:r>
      <w:r>
        <w:rPr>
          <w:rFonts w:hint="eastAsia" w:ascii="宋体" w:hAnsi="宋体" w:eastAsia="宋体" w:cs="宋体"/>
          <w:color w:val="auto"/>
          <w:sz w:val="24"/>
          <w:szCs w:val="24"/>
          <w:highlight w:val="none"/>
          <w:lang w:val="zh-TW" w:eastAsia="zh-TW"/>
        </w:rPr>
        <w:t>地点：</w:t>
      </w:r>
      <w:bookmarkStart w:name="_Toc167714038" w:id="26"/>
      <w:bookmarkStart w:name="_Toc167712840" w:id="27"/>
      <w:bookmarkStart w:name="_Toc167715235" w:id="28"/>
      <w:r>
        <w:rPr>
          <w:rFonts w:hint="eastAsia" w:ascii="宋体" w:hAnsi="宋体" w:eastAsia="宋体" w:cs="宋体"/>
          <w:color w:val="auto"/>
          <w:sz w:val="24"/>
          <w:szCs w:val="24"/>
          <w:highlight w:val="none"/>
          <w:lang w:val="en-US" w:eastAsia="zh-CN"/>
        </w:rPr>
        <w:t xml:space="preserve"> 蓝田县滋水学校</w:t>
      </w:r>
      <w:r>
        <w:rPr>
          <w:rFonts w:hint="eastAsia" w:ascii="宋体" w:hAnsi="宋体" w:eastAsia="宋体" w:cs="宋体"/>
          <w:color w:val="auto"/>
          <w:sz w:val="24"/>
          <w:szCs w:val="24"/>
          <w:highlight w:val="none"/>
          <w:lang w:val="zh-TW" w:eastAsia="zh-CN"/>
        </w:rPr>
        <w:t>。</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1.3项目交付时间：</w:t>
      </w:r>
      <w:r>
        <w:rPr>
          <w:rFonts w:hint="eastAsia" w:ascii="宋体" w:hAnsi="宋体" w:eastAsia="宋体" w:cs="宋体"/>
          <w:color w:val="auto"/>
          <w:sz w:val="24"/>
          <w:szCs w:val="24"/>
          <w:highlight w:val="none"/>
          <w:lang w:val="zh-TW" w:eastAsia="zh-CN"/>
        </w:rPr>
        <w:t>成交人</w:t>
      </w:r>
      <w:r>
        <w:rPr>
          <w:rFonts w:hint="eastAsia" w:ascii="宋体" w:hAnsi="宋体" w:eastAsia="宋体" w:cs="宋体"/>
          <w:color w:val="auto"/>
          <w:sz w:val="24"/>
          <w:szCs w:val="24"/>
          <w:highlight w:val="none"/>
          <w:lang w:val="zh-TW" w:eastAsia="zh-TW"/>
        </w:rPr>
        <w:t>应在合同签订后7个日历日内安排人员与采购方就送货等工作进行安排。</w:t>
      </w:r>
    </w:p>
    <w:bookmarkEnd w:id="26"/>
    <w:bookmarkEnd w:id="27"/>
    <w:bookmarkEnd w:id="28"/>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2" w:firstLineChars="200"/>
        <w:rPr>
          <w:rFonts w:hint="eastAsia" w:ascii="宋体" w:hAnsi="宋体" w:eastAsia="宋体" w:cs="宋体"/>
          <w:b/>
          <w:bCs/>
          <w:color w:val="auto"/>
          <w:sz w:val="24"/>
          <w:szCs w:val="24"/>
          <w:highlight w:val="none"/>
          <w:lang w:val="zh-TW" w:eastAsia="zh-CN"/>
        </w:rPr>
      </w:pPr>
      <w:bookmarkStart w:name="_Toc167715236" w:id="29"/>
      <w:bookmarkStart w:name="_Toc167712841" w:id="30"/>
      <w:bookmarkStart w:name="_Toc167714039" w:id="31"/>
      <w:r>
        <w:rPr>
          <w:rFonts w:hint="eastAsia" w:ascii="宋体" w:hAnsi="宋体" w:eastAsia="宋体" w:cs="宋体"/>
          <w:b/>
          <w:bCs/>
          <w:color w:val="auto"/>
          <w:sz w:val="24"/>
          <w:szCs w:val="24"/>
          <w:highlight w:val="none"/>
          <w:lang w:val="zh-TW" w:eastAsia="zh-CN"/>
        </w:rPr>
        <w:t>（二）付款方式</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b/>
          <w:bCs/>
          <w:color w:val="auto"/>
          <w:sz w:val="24"/>
          <w:szCs w:val="24"/>
          <w:highlight w:val="none"/>
          <w:lang w:val="zh-TW" w:eastAsia="zh-CN"/>
        </w:rPr>
      </w:pPr>
      <w:r>
        <w:rPr>
          <w:rFonts w:hint="eastAsia" w:ascii="宋体" w:hAnsi="宋体" w:eastAsia="宋体" w:cs="宋体"/>
          <w:color w:val="auto"/>
          <w:sz w:val="24"/>
          <w:szCs w:val="24"/>
          <w:highlight w:val="none"/>
          <w:lang w:val="en-US" w:eastAsia="zh-CN"/>
        </w:rPr>
        <w:t>2.1以每月实际配送数量为准，按月付款。结算价=实际配送数量×市场基准价格×（1-</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下浮率），</w:t>
      </w:r>
      <w:r>
        <w:rPr>
          <w:rFonts w:hint="eastAsia" w:ascii="宋体" w:hAnsi="宋体" w:eastAsia="宋体" w:cs="宋体"/>
          <w:color w:val="auto"/>
          <w:sz w:val="24"/>
          <w:szCs w:val="24"/>
          <w:highlight w:val="none"/>
          <w:lang w:val="zh-TW" w:eastAsia="zh-CN"/>
        </w:rPr>
        <w:t>成交</w:t>
      </w:r>
      <w:r>
        <w:rPr>
          <w:rFonts w:hint="eastAsia"/>
          <w:lang w:eastAsia="zh-CN"/>
        </w:rPr>
        <w:t>人</w:t>
      </w:r>
      <w:r>
        <w:rPr>
          <w:rFonts w:hint="eastAsia" w:ascii="宋体" w:hAnsi="宋体" w:eastAsia="宋体" w:cs="宋体"/>
          <w:color w:val="auto"/>
          <w:sz w:val="24"/>
          <w:szCs w:val="24"/>
          <w:highlight w:val="none"/>
          <w:lang w:val="zh-TW" w:eastAsia="zh-CN"/>
        </w:rPr>
        <w:t>按照采购人要求将货物送到采购人指定地点，提供所供货物清单（含货物种类、数量、价格），采购人对所供货物的价格、数量、质量进行核实，经核实无误后在供货单上签字确认</w:t>
      </w:r>
      <w:r>
        <w:rPr>
          <w:rFonts w:hint="eastAsia" w:ascii="宋体" w:hAnsi="宋体" w:eastAsia="宋体" w:cs="宋体"/>
          <w:b/>
          <w:bCs/>
          <w:color w:val="auto"/>
          <w:sz w:val="24"/>
          <w:szCs w:val="24"/>
          <w:highlight w:val="none"/>
          <w:lang w:val="zh-TW" w:eastAsia="zh-CN"/>
        </w:rPr>
        <w:t>。本项目在不超过采购预算的基础上据实结算。</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2.2对于采购人支付的相关费用供应商应当出具合法票据</w:t>
      </w:r>
      <w:r>
        <w:rPr>
          <w:rFonts w:hint="eastAsia" w:ascii="宋体" w:hAnsi="宋体" w:cs="宋体"/>
          <w:color w:val="auto"/>
          <w:sz w:val="24"/>
          <w:szCs w:val="24"/>
          <w:highlight w:val="none"/>
          <w:lang w:val="en-US" w:eastAsia="zh-CN"/>
        </w:rPr>
        <w:t>。</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2" w:firstLineChars="200"/>
        <w:rPr>
          <w:rFonts w:hint="eastAsia" w:ascii="宋体" w:hAnsi="宋体" w:eastAsia="宋体" w:cs="宋体"/>
          <w:b/>
          <w:bCs/>
          <w:color w:val="auto"/>
          <w:sz w:val="24"/>
          <w:szCs w:val="24"/>
          <w:highlight w:val="none"/>
          <w:lang w:val="zh-TW" w:eastAsia="zh-CN"/>
        </w:rPr>
      </w:pPr>
      <w:r>
        <w:rPr>
          <w:rFonts w:hint="eastAsia" w:ascii="宋体" w:hAnsi="宋体" w:eastAsia="宋体" w:cs="宋体"/>
          <w:b/>
          <w:bCs/>
          <w:color w:val="auto"/>
          <w:sz w:val="24"/>
          <w:szCs w:val="24"/>
          <w:highlight w:val="none"/>
          <w:lang w:val="zh-TW" w:eastAsia="zh-CN"/>
        </w:rPr>
        <w:t>（三）</w:t>
      </w:r>
      <w:r>
        <w:rPr>
          <w:rFonts w:hint="eastAsia" w:ascii="宋体" w:hAnsi="宋体" w:eastAsia="宋体" w:cs="宋体"/>
          <w:b/>
          <w:bCs/>
          <w:color w:val="auto"/>
          <w:sz w:val="24"/>
          <w:szCs w:val="24"/>
          <w:highlight w:val="none"/>
          <w:lang w:val="en-US" w:eastAsia="zh-CN"/>
        </w:rPr>
        <w:t>包装方式及运输</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val="zh-TW" w:eastAsia="zh-TW"/>
        </w:rPr>
        <w:t>人</w:t>
      </w:r>
      <w:bookmarkEnd w:id="29"/>
      <w:bookmarkEnd w:id="30"/>
      <w:bookmarkEnd w:id="31"/>
      <w:r>
        <w:rPr>
          <w:rFonts w:hint="eastAsia" w:ascii="宋体" w:hAnsi="宋体" w:eastAsia="宋体" w:cs="宋体"/>
          <w:color w:val="auto"/>
          <w:sz w:val="24"/>
          <w:szCs w:val="24"/>
          <w:highlight w:val="none"/>
          <w:lang w:val="zh-TW" w:eastAsia="zh-TW"/>
        </w:rPr>
        <w:t>负责每次订单所有货物的运输、保险。涉及的商品包装和快递包装，均应符合《商品包装政府采购需求标准（试行）》《快递包装政府采购需求标准（试行）》的要求，包装应适应于远距离运输、防潮、防震、防锈和防野蛮装卸，以确保货物安全无损运抵指定地点。</w:t>
      </w:r>
    </w:p>
    <w:p>
      <w:pPr>
        <w:keepNext w:val="false"/>
        <w:keepLines w:val="false"/>
        <w:pageBreakBefore w:val="false"/>
        <w:widowControl/>
        <w:numPr>
          <w:ilvl w:val="0"/>
          <w:numId w:val="1"/>
        </w:numPr>
        <w:tabs>
          <w:tab w:val="left" w:pos="3485"/>
        </w:tabs>
        <w:kinsoku/>
        <w:wordWrap/>
        <w:overflowPunct/>
        <w:topLinePunct w:val="false"/>
        <w:autoSpaceDE/>
        <w:autoSpaceDN/>
        <w:bidi w:val="false"/>
        <w:spacing w:line="500" w:lineRule="exact"/>
        <w:ind w:leftChars="0" w:firstLine="478" w:firstLineChars="200"/>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市场基准价的确定</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4.1按照询价小组采用市场询价的方式确认的市场基准价格为准。询价次数不少于一月一次（具体时间由使用方与成交供应商协商）。</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4.2询价程序</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①以采购人所在大中型超市中同品名、同规格、 同品质的商品零售价询价结果为准；同一商品需至少询得三家不同市场零售商的价格的平均价作为市场基准价。</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②询价小组：由采购人、使用方、成交供应商代表共同组</w:t>
      </w:r>
      <w:r>
        <w:rPr>
          <w:rFonts w:hint="eastAsia" w:ascii="宋体" w:hAnsi="宋体" w:cs="宋体"/>
          <w:color w:val="auto"/>
          <w:sz w:val="24"/>
          <w:szCs w:val="24"/>
          <w:highlight w:val="none"/>
          <w:lang w:val="en-US" w:eastAsia="zh-CN"/>
        </w:rPr>
        <w:t>成</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4.3市场价格波动处理</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当确定价格后，开始按定价后的价格执行供货，当月内原则上不作调价。若定价后，市场价格在市场基准价的基础上上涨或下降幅度超过市场基准价的20%，由成交人以书面的形式向使用方提出申请，重新询价，并执行新的商品价格，并以此价格作为市场基准价。</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4.4产品包装要求：</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人提供的产品若涉及包装和运输的，须严格按照《商品包装政府采购需求标准(试行)》、《快递包装政府采购需求标准(试行)》 (财办库〔2020〕123 号)的要求进行产品及相关快递服务的包装。</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4.5</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所投肉类产品屠宰厂（场）须具有有效的动物防疫条件合格证，其中猪肉的屠宰厂（场）还须有国家行政主管部门颁发且在有效期内的生猪定点屠宰证（A 类及以上）（提供证书复印件）</w:t>
      </w:r>
      <w:r>
        <w:rPr>
          <w:rFonts w:hint="eastAsia" w:ascii="宋体" w:hAnsi="宋体" w:cs="宋体"/>
          <w:color w:val="auto"/>
          <w:sz w:val="24"/>
          <w:szCs w:val="24"/>
          <w:highlight w:val="none"/>
          <w:lang w:val="en-US" w:eastAsia="zh-CN"/>
        </w:rPr>
        <w:t>。</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2" w:firstLineChars="200"/>
        <w:rPr>
          <w:rFonts w:hint="eastAsia" w:ascii="宋体" w:hAnsi="宋体" w:eastAsia="宋体" w:cs="宋体"/>
          <w:b/>
          <w:bCs/>
          <w:color w:val="auto"/>
          <w:sz w:val="24"/>
          <w:szCs w:val="24"/>
          <w:highlight w:val="none"/>
          <w:lang w:val="zh-TW" w:eastAsia="zh-TW"/>
        </w:rPr>
      </w:pPr>
      <w:r>
        <w:rPr>
          <w:rFonts w:hint="eastAsia" w:ascii="宋体" w:hAnsi="宋体" w:eastAsia="宋体" w:cs="宋体"/>
          <w:b/>
          <w:bCs/>
          <w:color w:val="auto"/>
          <w:sz w:val="24"/>
          <w:szCs w:val="24"/>
          <w:highlight w:val="none"/>
          <w:lang w:val="zh-TW" w:eastAsia="zh-CN"/>
        </w:rPr>
        <w:t>（</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TW" w:eastAsia="zh-CN"/>
        </w:rPr>
        <w:t>）</w:t>
      </w:r>
      <w:r>
        <w:rPr>
          <w:rFonts w:hint="eastAsia" w:ascii="宋体" w:hAnsi="宋体" w:eastAsia="宋体" w:cs="宋体"/>
          <w:b/>
          <w:bCs/>
          <w:color w:val="auto"/>
          <w:sz w:val="24"/>
          <w:szCs w:val="24"/>
          <w:highlight w:val="none"/>
          <w:lang w:val="zh-TW" w:eastAsia="zh-TW"/>
        </w:rPr>
        <w:t>验收</w:t>
      </w:r>
      <w:bookmarkStart w:name="_Toc167715238" w:id="32"/>
      <w:bookmarkStart w:name="_Toc167712843" w:id="33"/>
      <w:bookmarkStart w:name="_Toc167714041" w:id="34"/>
    </w:p>
    <w:bookmarkEnd w:id="32"/>
    <w:bookmarkEnd w:id="33"/>
    <w:bookmarkEnd w:id="34"/>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TW"/>
        </w:rPr>
      </w:pPr>
      <w:bookmarkStart w:name="_Toc167714044" w:id="35"/>
      <w:bookmarkStart w:name="_Toc167715241" w:id="36"/>
      <w:bookmarkStart w:name="_Toc167712846" w:id="37"/>
      <w:bookmarkStart w:name="_Toc167715242" w:id="38"/>
      <w:bookmarkStart w:name="_Toc167714045" w:id="39"/>
      <w:bookmarkStart w:name="_Toc167712847" w:id="40"/>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TW" w:eastAsia="zh-TW"/>
        </w:rPr>
        <w:t>验收内容：</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TW" w:eastAsia="zh-CN"/>
        </w:rPr>
        <w:t>）成交人</w:t>
      </w:r>
      <w:r>
        <w:rPr>
          <w:rFonts w:hint="eastAsia" w:ascii="宋体" w:hAnsi="宋体" w:eastAsia="宋体" w:cs="宋体"/>
          <w:color w:val="auto"/>
          <w:sz w:val="24"/>
          <w:szCs w:val="24"/>
          <w:highlight w:val="none"/>
          <w:lang w:val="zh-TW" w:eastAsia="zh-TW"/>
        </w:rPr>
        <w:t>每次供货须向使用单位提供“供货清单”；经验收合格后，由使用单位在“供货清单”上签字。</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若供货验收时中出现质量问题或产品不新鲜采购人有权拒签供货单，拒收货物，且在采购人规定的时间重新供货，对采购人造成损失由成交人承担。</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TW"/>
        </w:rPr>
        <w:t>按照质量标准进行验收、</w:t>
      </w:r>
      <w:r>
        <w:rPr>
          <w:rFonts w:hint="eastAsia" w:ascii="宋体" w:hAnsi="宋体" w:eastAsia="宋体" w:cs="宋体"/>
          <w:color w:val="auto"/>
          <w:sz w:val="24"/>
          <w:szCs w:val="24"/>
          <w:highlight w:val="none"/>
          <w:lang w:val="zh-TW" w:eastAsia="zh-CN"/>
        </w:rPr>
        <w:t>根据产品品类情况供应商提供</w:t>
      </w:r>
      <w:r>
        <w:rPr>
          <w:rFonts w:hint="eastAsia" w:ascii="宋体" w:hAnsi="宋体" w:eastAsia="宋体" w:cs="宋体"/>
          <w:color w:val="auto"/>
          <w:sz w:val="24"/>
          <w:szCs w:val="24"/>
          <w:highlight w:val="none"/>
          <w:lang w:val="zh-TW" w:eastAsia="zh-TW"/>
        </w:rPr>
        <w:t>同批次的检验报告、检疫证明以及合格证应随货同期到达；</w:t>
      </w:r>
      <w:r>
        <w:rPr>
          <w:rFonts w:hint="eastAsia" w:ascii="宋体" w:hAnsi="宋体" w:eastAsia="宋体" w:cs="宋体"/>
          <w:color w:val="auto"/>
          <w:sz w:val="24"/>
          <w:szCs w:val="24"/>
          <w:highlight w:val="none"/>
          <w:lang w:val="en-US" w:eastAsia="zh-CN"/>
        </w:rPr>
        <w:t xml:space="preserve"> </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TW"/>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TW"/>
        </w:rPr>
        <w:t>验收依据</w:t>
      </w:r>
      <w:bookmarkEnd w:id="35"/>
      <w:bookmarkEnd w:id="36"/>
      <w:bookmarkEnd w:id="37"/>
      <w:r>
        <w:rPr>
          <w:rFonts w:hint="eastAsia" w:ascii="宋体" w:hAnsi="宋体" w:eastAsia="宋体" w:cs="宋体"/>
          <w:color w:val="auto"/>
          <w:sz w:val="24"/>
          <w:szCs w:val="24"/>
          <w:highlight w:val="none"/>
          <w:lang w:val="zh-TW" w:eastAsia="zh-TW"/>
        </w:rPr>
        <w:t>：</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（1）合同文本及合同补充文件（条款）</w:t>
      </w:r>
      <w:bookmarkEnd w:id="38"/>
      <w:bookmarkEnd w:id="39"/>
      <w:bookmarkEnd w:id="40"/>
      <w:r>
        <w:rPr>
          <w:rFonts w:hint="eastAsia" w:ascii="宋体" w:hAnsi="宋体" w:eastAsia="宋体" w:cs="宋体"/>
          <w:color w:val="auto"/>
          <w:sz w:val="24"/>
          <w:szCs w:val="24"/>
          <w:highlight w:val="none"/>
          <w:lang w:val="zh-TW" w:eastAsia="zh-TW"/>
        </w:rPr>
        <w:t xml:space="preserve">。 </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val="zh-TW" w:eastAsia="zh-TW"/>
        </w:rPr>
        <w:t>文件。</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szCs w:val="24"/>
          <w:highlight w:val="none"/>
          <w:lang w:val="zh-TW" w:eastAsia="zh-CN"/>
        </w:rPr>
        <w:t>成交人</w:t>
      </w:r>
      <w:r>
        <w:rPr>
          <w:rFonts w:hint="eastAsia" w:ascii="宋体" w:hAnsi="宋体" w:eastAsia="宋体" w:cs="宋体"/>
          <w:color w:val="auto"/>
          <w:sz w:val="24"/>
          <w:szCs w:val="24"/>
          <w:highlight w:val="none"/>
          <w:lang w:val="zh-TW" w:eastAsia="zh-TW"/>
        </w:rPr>
        <w:t>的</w:t>
      </w:r>
      <w:r>
        <w:rPr>
          <w:rFonts w:hint="eastAsia" w:ascii="宋体" w:hAnsi="宋体" w:eastAsia="宋体" w:cs="宋体"/>
          <w:color w:val="auto"/>
          <w:sz w:val="24"/>
          <w:szCs w:val="24"/>
          <w:highlight w:val="none"/>
          <w:lang w:val="en-US" w:eastAsia="zh-CN"/>
        </w:rPr>
        <w:t>谈判响应</w:t>
      </w:r>
      <w:r>
        <w:rPr>
          <w:rFonts w:hint="eastAsia" w:ascii="宋体" w:hAnsi="宋体" w:eastAsia="宋体" w:cs="宋体"/>
          <w:color w:val="auto"/>
          <w:sz w:val="24"/>
          <w:szCs w:val="24"/>
          <w:highlight w:val="none"/>
          <w:lang w:val="zh-TW" w:eastAsia="zh-TW"/>
        </w:rPr>
        <w:t>文件。</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2" w:firstLineChars="200"/>
        <w:rPr>
          <w:rFonts w:hint="eastAsia" w:ascii="宋体" w:hAnsi="宋体" w:eastAsia="宋体" w:cs="宋体"/>
          <w:b/>
          <w:bCs/>
          <w:color w:val="auto"/>
          <w:sz w:val="24"/>
          <w:szCs w:val="24"/>
          <w:highlight w:val="none"/>
          <w:lang w:val="zh-TW" w:eastAsia="zh-TW"/>
        </w:rPr>
      </w:pPr>
      <w:r>
        <w:rPr>
          <w:rFonts w:hint="eastAsia" w:ascii="宋体" w:hAnsi="宋体" w:eastAsia="宋体" w:cs="宋体"/>
          <w:b/>
          <w:bCs/>
          <w:color w:val="auto"/>
          <w:sz w:val="24"/>
          <w:szCs w:val="24"/>
          <w:highlight w:val="none"/>
          <w:lang w:val="zh-TW" w:eastAsia="zh-CN"/>
        </w:rPr>
        <w:t>（</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TW" w:eastAsia="zh-CN"/>
        </w:rPr>
        <w:t>）</w:t>
      </w:r>
      <w:r>
        <w:rPr>
          <w:rFonts w:hint="eastAsia" w:ascii="宋体" w:hAnsi="宋体" w:eastAsia="宋体" w:cs="宋体"/>
          <w:b/>
          <w:bCs/>
          <w:color w:val="auto"/>
          <w:sz w:val="24"/>
          <w:szCs w:val="24"/>
          <w:highlight w:val="none"/>
          <w:lang w:val="zh-TW" w:eastAsia="zh-TW"/>
        </w:rPr>
        <w:t>违约责任</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TW"/>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TW" w:eastAsia="zh-TW"/>
        </w:rPr>
        <w:t>按《中华人民共和国民法典》中的相关条款执行。</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TW"/>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TW"/>
        </w:rPr>
        <w:t>未按合同要求提供货物质量不能满足技术要求，采购人有权终止合同，并对供方违约行为进行追究，同时按《中华人民共和国政府采购法》、《中华人民共和国民法典》等有关规定进行处罚。</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备注：商务要求不允许负偏离，否则按无效文件处理。</w:t>
      </w:r>
    </w:p>
    <w:p>
      <w:pPr>
        <w:keepNext w:val="false"/>
        <w:keepLines w:val="false"/>
        <w:pageBreakBefore w:val="false"/>
        <w:widowControl/>
        <w:tabs>
          <w:tab w:val="left" w:pos="3485"/>
        </w:tabs>
        <w:kinsoku/>
        <w:wordWrap/>
        <w:overflowPunct/>
        <w:topLinePunct w:val="false"/>
        <w:autoSpaceDE/>
        <w:autoSpaceDN/>
        <w:bidi w:val="false"/>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三、技术参数</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本项目为蓝田县滋水学校学生营养改善计划原辅材料采购项目采购项目，主要采购内容为学生营养改善计划蔬菜、肉类、调料等原辅材料采购。具体以实际采购为准。</w:t>
      </w:r>
    </w:p>
    <w:p>
      <w:pPr>
        <w:pStyle w:val="18"/>
        <w:spacing w:line="222" w:lineRule="auto"/>
        <w:ind w:left="34"/>
        <w:rPr>
          <w:rFonts w:hint="eastAsia" w:ascii="宋体" w:hAnsi="宋体" w:eastAsia="宋体" w:cs="宋体"/>
          <w:color w:val="auto"/>
          <w:sz w:val="24"/>
          <w:szCs w:val="24"/>
          <w:highlight w:val="none"/>
        </w:rPr>
      </w:pPr>
      <w:bookmarkStart w:name="_Toc167714051" w:id="41"/>
      <w:bookmarkStart w:name="_Toc167715248" w:id="42"/>
      <w:bookmarkStart w:name="_Toc167712853" w:id="43"/>
      <w:r>
        <w:rPr>
          <w:rFonts w:hint="eastAsia" w:ascii="宋体" w:hAnsi="宋体" w:eastAsia="宋体" w:cs="宋体"/>
          <w:b/>
          <w:bCs/>
          <w:color w:val="auto"/>
          <w:spacing w:val="-5"/>
          <w:sz w:val="24"/>
          <w:szCs w:val="24"/>
          <w:highlight w:val="none"/>
        </w:rPr>
        <w:t>（一）配送服务要求</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（1）成交供应商必须自行提供配送服务，不得将配送工作进行任何方式的转包或分包。</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（2）成交供应商运送产品的车辆应为专用封闭式，车辆内部结构应平整、便于清洁，肉类必须具有相关的配送设备（冷藏车）。</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（3）成交供应商应做好食品安全的保障工作：</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①成交供应商必须按参与联合采购的各学校所需订单配送，按规定时间送达学校。</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②成交供应商配套设置“学校食品配送专用车辆 ”，凭专用通行证进出学校。</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③建立出入库台账。 成交供应商对所供产品的食品安全负责，建立 24 小时监控 体系。所有配送产品必须可溯源，在配送前必须由供应商进行查验，在出库前再 次检查产品的有效期、包装等，若未按要求配送，一切后果由成交供应商承担。肉类留样冷冻保存不低于 48 小时，鲜鸡蛋、果蔬类、干杂调味品按采购人要求进行留样。</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④配送车辆应符合相关卫生要求，做到每日清洗、消毒并做好消毒记录。配送工作人员必须在</w:t>
      </w:r>
      <w:r>
        <w:rPr>
          <w:rFonts w:hint="eastAsia" w:ascii="宋体" w:hAnsi="宋体" w:cs="宋体"/>
          <w:color w:val="auto"/>
          <w:sz w:val="24"/>
          <w:szCs w:val="24"/>
          <w:highlight w:val="none"/>
          <w:lang w:val="zh-TW" w:eastAsia="zh-CN"/>
        </w:rPr>
        <w:t>响应文件</w:t>
      </w:r>
      <w:r>
        <w:rPr>
          <w:rFonts w:hint="eastAsia" w:ascii="宋体" w:hAnsi="宋体" w:eastAsia="宋体" w:cs="宋体"/>
          <w:color w:val="auto"/>
          <w:sz w:val="24"/>
          <w:szCs w:val="24"/>
          <w:highlight w:val="none"/>
          <w:lang w:val="zh-TW" w:eastAsia="zh-CN"/>
        </w:rPr>
        <w:t>中提供三年内无犯罪和无吸毒史的承诺或者公安机关出具的相关证明，并提供疾控中心或者医疗卫生机构颁发的有效期内的健康合格证明。</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⑤建立责任追究制度。相关部门将定期或不定期地深入学校食堂和成交供应商仓库，对食堂食品原材料配送工作进行督查。对学校违规进货、食堂管理不严，造成责任事故的，将严格追究学校相关负责人的责任。对成交供应商提供不合格产品或不按要求配送造成责任事故的将追究其法律责任。</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⑥建立成交供应商退出机制。成交供应商应严格遵守《中华人民共和国食品安全 法》等相关法律法规，有下列情况之一，立即取消成交供应商的供货资格，成交供应商承担由此造成的经济损失和法律责任：一是生产或配送《中华人民共和国食品安全法》等法律法规明令禁止的食品、食品添加剂和食品相关产品；二是发生食品质量安全事故的；三是所供食品超过保质期限的；四是所供食品与</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zh-TW" w:eastAsia="zh-CN"/>
        </w:rPr>
        <w:t>食品不相符的；五是转包他人的；六是连续三次不能按时供货（不可抗力因素除外）；七是成交供应商存在严重安全隐患整改不到位等情况的（安全隐患以食药监部门下达的限期整改通知书为准）；八是食品药品监管部门定期不定期对产品抽样检验结果不符合规定的；</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⑦在服务期内，应严格按照学校要求的时间、地点完成食品和原辅材料配送服务。</w:t>
      </w:r>
    </w:p>
    <w:bookmarkEnd w:id="41"/>
    <w:bookmarkEnd w:id="42"/>
    <w:bookmarkEnd w:id="43"/>
    <w:p>
      <w:pPr>
        <w:pStyle w:val="18"/>
        <w:spacing w:before="78" w:line="222" w:lineRule="auto"/>
        <w:ind w:left="329"/>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（二）产品技术及质量要求</w:t>
      </w:r>
    </w:p>
    <w:p>
      <w:pPr>
        <w:spacing w:line="225" w:lineRule="exact"/>
        <w:rPr>
          <w:rFonts w:hint="eastAsia" w:ascii="宋体" w:hAnsi="宋体" w:eastAsia="宋体" w:cs="宋体"/>
          <w:color w:val="auto"/>
          <w:sz w:val="24"/>
          <w:szCs w:val="24"/>
          <w:highlight w:val="none"/>
        </w:rPr>
      </w:pPr>
    </w:p>
    <w:tbl>
      <w:tblPr>
        <w:tblStyle w:val="340"/>
        <w:tblW w:w="8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698"/>
        <w:gridCol w:w="69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84" w:type="dxa"/>
            <w:vAlign w:val="top"/>
          </w:tcPr>
          <w:p>
            <w:pPr>
              <w:pStyle w:val="321"/>
              <w:spacing w:line="300" w:lineRule="auto"/>
              <w:rPr>
                <w:rFonts w:hint="eastAsia" w:ascii="宋体" w:hAnsi="宋体" w:eastAsia="宋体" w:cs="宋体"/>
                <w:color w:val="auto"/>
                <w:sz w:val="24"/>
                <w:szCs w:val="24"/>
                <w:highlight w:val="none"/>
              </w:rPr>
            </w:pPr>
          </w:p>
          <w:p>
            <w:pPr>
              <w:spacing w:before="65" w:line="231" w:lineRule="auto"/>
              <w:ind w:left="1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序号</w:t>
            </w:r>
          </w:p>
        </w:tc>
        <w:tc>
          <w:tcPr>
            <w:tcW w:w="698" w:type="dxa"/>
            <w:vAlign w:val="top"/>
          </w:tcPr>
          <w:p>
            <w:pPr>
              <w:spacing w:before="134" w:line="468" w:lineRule="exact"/>
              <w:ind w:left="149"/>
              <w:rPr>
                <w:rFonts w:hint="eastAsia" w:ascii="宋体" w:hAnsi="宋体" w:eastAsia="宋体" w:cs="宋体"/>
                <w:color w:val="auto"/>
                <w:sz w:val="24"/>
                <w:szCs w:val="24"/>
                <w:highlight w:val="none"/>
              </w:rPr>
            </w:pPr>
            <w:r>
              <w:rPr>
                <w:rFonts w:hint="eastAsia" w:ascii="宋体" w:hAnsi="宋体" w:eastAsia="宋体" w:cs="宋体"/>
                <w:color w:val="auto"/>
                <w:spacing w:val="1"/>
                <w:position w:val="20"/>
                <w:sz w:val="24"/>
                <w:szCs w:val="24"/>
                <w:highlight w:val="none"/>
              </w:rPr>
              <w:t>产品</w:t>
            </w:r>
          </w:p>
          <w:p>
            <w:pPr>
              <w:spacing w:line="229" w:lineRule="auto"/>
              <w:ind w:left="14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名称</w:t>
            </w:r>
          </w:p>
        </w:tc>
        <w:tc>
          <w:tcPr>
            <w:tcW w:w="6978" w:type="dxa"/>
            <w:vAlign w:val="top"/>
          </w:tcPr>
          <w:p>
            <w:pPr>
              <w:pStyle w:val="321"/>
              <w:spacing w:line="300" w:lineRule="auto"/>
              <w:rPr>
                <w:rFonts w:hint="eastAsia" w:ascii="宋体" w:hAnsi="宋体" w:eastAsia="宋体" w:cs="宋体"/>
                <w:color w:val="auto"/>
                <w:sz w:val="24"/>
                <w:szCs w:val="24"/>
                <w:highlight w:val="none"/>
              </w:rPr>
            </w:pPr>
          </w:p>
          <w:p>
            <w:pPr>
              <w:spacing w:before="65" w:line="231" w:lineRule="auto"/>
              <w:ind w:left="290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参数要求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84" w:type="dxa"/>
            <w:vAlign w:val="center"/>
          </w:tcPr>
          <w:p>
            <w:pPr>
              <w:pStyle w:val="321"/>
              <w:spacing w:line="293" w:lineRule="auto"/>
              <w:jc w:val="center"/>
              <w:rPr>
                <w:rFonts w:hint="eastAsia" w:ascii="宋体" w:hAnsi="宋体" w:eastAsia="宋体" w:cs="宋体"/>
                <w:color w:val="auto"/>
                <w:sz w:val="24"/>
                <w:szCs w:val="24"/>
                <w:highlight w:val="none"/>
              </w:rPr>
            </w:pPr>
          </w:p>
          <w:p>
            <w:pPr>
              <w:pStyle w:val="321"/>
              <w:spacing w:line="293" w:lineRule="auto"/>
              <w:jc w:val="center"/>
              <w:rPr>
                <w:rFonts w:hint="eastAsia" w:ascii="宋体" w:hAnsi="宋体" w:eastAsia="宋体" w:cs="宋体"/>
                <w:color w:val="auto"/>
                <w:sz w:val="24"/>
                <w:szCs w:val="24"/>
                <w:highlight w:val="none"/>
              </w:rPr>
            </w:pPr>
          </w:p>
          <w:p>
            <w:pPr>
              <w:pStyle w:val="321"/>
              <w:spacing w:line="294" w:lineRule="auto"/>
              <w:jc w:val="center"/>
              <w:rPr>
                <w:rFonts w:hint="eastAsia" w:ascii="宋体" w:hAnsi="宋体" w:eastAsia="宋体" w:cs="宋体"/>
                <w:color w:val="auto"/>
                <w:sz w:val="24"/>
                <w:szCs w:val="24"/>
                <w:highlight w:val="none"/>
              </w:rPr>
            </w:pPr>
          </w:p>
          <w:p>
            <w:pPr>
              <w:spacing w:before="65" w:line="186" w:lineRule="auto"/>
              <w:ind w:left="34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698" w:type="dxa"/>
            <w:vAlign w:val="center"/>
          </w:tcPr>
          <w:p>
            <w:pPr>
              <w:pStyle w:val="321"/>
              <w:spacing w:line="281" w:lineRule="auto"/>
              <w:jc w:val="center"/>
              <w:rPr>
                <w:rFonts w:hint="eastAsia" w:ascii="宋体" w:hAnsi="宋体" w:eastAsia="宋体" w:cs="宋体"/>
                <w:color w:val="auto"/>
                <w:sz w:val="24"/>
                <w:szCs w:val="24"/>
                <w:highlight w:val="none"/>
              </w:rPr>
            </w:pPr>
          </w:p>
          <w:p>
            <w:pPr>
              <w:pStyle w:val="321"/>
              <w:spacing w:line="281" w:lineRule="auto"/>
              <w:jc w:val="center"/>
              <w:rPr>
                <w:rFonts w:hint="eastAsia" w:ascii="宋体" w:hAnsi="宋体" w:eastAsia="宋体" w:cs="宋体"/>
                <w:color w:val="auto"/>
                <w:sz w:val="24"/>
                <w:szCs w:val="24"/>
                <w:highlight w:val="none"/>
              </w:rPr>
            </w:pPr>
          </w:p>
          <w:p>
            <w:pPr>
              <w:pStyle w:val="321"/>
              <w:spacing w:line="282" w:lineRule="auto"/>
              <w:jc w:val="center"/>
              <w:rPr>
                <w:rFonts w:hint="eastAsia" w:ascii="宋体" w:hAnsi="宋体" w:eastAsia="宋体" w:cs="宋体"/>
                <w:color w:val="auto"/>
                <w:sz w:val="24"/>
                <w:szCs w:val="24"/>
                <w:highlight w:val="none"/>
              </w:rPr>
            </w:pPr>
          </w:p>
          <w:p>
            <w:pPr>
              <w:spacing w:before="65" w:line="232" w:lineRule="auto"/>
              <w:ind w:left="170"/>
              <w:jc w:val="center"/>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肉</w:t>
            </w:r>
            <w:r>
              <w:rPr>
                <w:rFonts w:hint="eastAsia" w:ascii="宋体" w:hAnsi="宋体" w:cs="宋体"/>
                <w:color w:val="auto"/>
                <w:spacing w:val="-10"/>
                <w:sz w:val="24"/>
                <w:szCs w:val="24"/>
                <w:highlight w:val="none"/>
                <w:lang w:val="en-US" w:eastAsia="zh-CN"/>
              </w:rPr>
              <w:t>蛋</w:t>
            </w:r>
            <w:r>
              <w:rPr>
                <w:rFonts w:hint="eastAsia" w:ascii="宋体" w:hAnsi="宋体" w:eastAsia="宋体" w:cs="宋体"/>
                <w:color w:val="auto"/>
                <w:spacing w:val="-10"/>
                <w:sz w:val="24"/>
                <w:szCs w:val="24"/>
                <w:highlight w:val="none"/>
              </w:rPr>
              <w:t>类</w:t>
            </w:r>
          </w:p>
        </w:tc>
        <w:tc>
          <w:tcPr>
            <w:tcW w:w="6978" w:type="dxa"/>
            <w:vAlign w:val="top"/>
          </w:tcPr>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一、品种：生鲜或冷鲜的猪肉、鸡肉（鸡边腿、鸡大胸、整鸡）、鸭肉、牛肉、羊肉。不接受配送任何半熟或全熟动物产品。</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二、配送肉类须符合现行国家标准或国家卫生、食品安全最新标准，所供肉类不得检出国务院食品安全委员会办公室《“瘦肉精 ”专项整治方案》（食安办〔2011〕14 号）规定的“瘦肉精 ”品质目录，须符合国家最新标准规定，禁止提供注水肉类等，食品中兽药最大残留限量符合规定。</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三、生鲜或冷鲜猪肉（牛肉、羊肉）类：无槽头肉和血刀肉； 甲状腺、 肾上腺、病变淋巴摘除干净；无残留毛绒，不准带长短毛；不带浮毛、 凝血块、胆污、粪污及其他污染物；肌肉应有光泽，不粘手，有弹性，指压后凹陷立即恢复原状，并具有鲜肉的正常气味，排骨类无龙骨。</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四、符合生猪溯源体系要求并有产地动物卫生监督机构出具的检疫（或检测）合格证明和动物产品检疫（或检测）合格验讫印章以及生猪定点屠宰厂肉品品质检验合格验讫印章。</w:t>
            </w:r>
            <w:r>
              <w:rPr>
                <w:rFonts w:hint="eastAsia"/>
              </w:rPr>
              <w:t>牛肉、羊肉等其它家畜肉应提供当日《动物产品检疫合格证明》或《出县境动物产品检疫合格证明》；</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cs="宋体"/>
                <w:color w:val="auto"/>
                <w:sz w:val="24"/>
                <w:szCs w:val="24"/>
                <w:highlight w:val="none"/>
                <w:lang w:val="zh-TW" w:eastAsia="zh-CN"/>
              </w:rPr>
              <w:t>五、</w:t>
            </w:r>
            <w:r>
              <w:rPr>
                <w:rFonts w:hint="eastAsia" w:ascii="宋体" w:hAnsi="宋体" w:eastAsia="宋体" w:cs="宋体"/>
                <w:color w:val="auto"/>
                <w:sz w:val="24"/>
                <w:szCs w:val="24"/>
                <w:highlight w:val="none"/>
                <w:lang w:val="zh-TW" w:eastAsia="zh-CN"/>
              </w:rPr>
              <w:t>禽肉质量符合 GB 16869-2005《鲜、冻禽产品》规定要求，牛肉质 量 符 合 GB/T 17238-2022 《 鲜 、 冻 分 割 牛 肉 》、 羊 肉 质 量 符 合 GB/T9961-2008《鲜、冻胴体羊肉》等相关肉类规定要求。禽肉类鲜活 原料应体壮，色泽正常，无病，无内脏，无异物，符合规格要求，达到食用标准。生鲜禽肉类必须保证新鲜，应符合食品安全溯源管理要求。</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cs="宋体"/>
                <w:color w:val="auto"/>
                <w:sz w:val="24"/>
                <w:szCs w:val="24"/>
                <w:highlight w:val="none"/>
                <w:lang w:val="zh-TW" w:eastAsia="zh-CN"/>
              </w:rPr>
              <w:t>六、</w:t>
            </w:r>
            <w:r>
              <w:rPr>
                <w:rFonts w:hint="eastAsia" w:ascii="宋体" w:hAnsi="宋体" w:eastAsia="宋体" w:cs="宋体"/>
                <w:color w:val="auto"/>
                <w:sz w:val="24"/>
                <w:szCs w:val="24"/>
                <w:highlight w:val="none"/>
                <w:lang w:val="zh-TW" w:eastAsia="zh-CN"/>
              </w:rPr>
              <w:t>鸡蛋类</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TW" w:eastAsia="zh-CN"/>
              </w:rPr>
              <w:t>）鲜鸡蛋质量要求：应符合 GB/T39438-2020《包装鸡蛋》、《食品安全国家标准蛋与蛋制品》《食品安全国家标准食品中污染物限量》等规 定或国家卫生、食品安全最新标准；保证质保期内新鲜、卫生、安全， 蛋壳光滑、干净，无破损，无沙壳、畸形、麻点；蛋黄蛋清界限分明；送货时间距产蛋时间不超过一周。</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pacing w:val="9"/>
                <w:sz w:val="24"/>
                <w:szCs w:val="24"/>
                <w:highlight w:val="none"/>
              </w:rPr>
            </w:pP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CN"/>
              </w:rPr>
              <w:t>）散装生鲜禽蛋应有动物产品检疫（或检测）合格证明或出县境动物产品检疫（或检测）合格证明，外地生鲜禽蛋应有其所在地农业部门的检疫（或检测）合格证明或检疫（或检测）验讫标识</w:t>
            </w:r>
            <w:r>
              <w:rPr>
                <w:rFonts w:hint="eastAsia" w:ascii="宋体" w:hAnsi="宋体" w:cs="宋体"/>
                <w:color w:val="auto"/>
                <w:sz w:val="24"/>
                <w:szCs w:val="24"/>
                <w:highlight w:val="none"/>
                <w:lang w:val="zh-TW"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8" w:hRule="atLeast"/>
        </w:trPr>
        <w:tc>
          <w:tcPr>
            <w:tcW w:w="784" w:type="dxa"/>
            <w:vAlign w:val="top"/>
          </w:tcPr>
          <w:p>
            <w:pPr>
              <w:pStyle w:val="321"/>
              <w:spacing w:line="241" w:lineRule="auto"/>
              <w:rPr>
                <w:rFonts w:hint="eastAsia" w:ascii="宋体" w:hAnsi="宋体" w:eastAsia="宋体" w:cs="宋体"/>
                <w:color w:val="auto"/>
                <w:sz w:val="24"/>
                <w:szCs w:val="24"/>
                <w:highlight w:val="none"/>
              </w:rPr>
            </w:pPr>
          </w:p>
          <w:p>
            <w:pPr>
              <w:pStyle w:val="321"/>
              <w:spacing w:line="241" w:lineRule="auto"/>
              <w:rPr>
                <w:rFonts w:hint="eastAsia" w:ascii="宋体" w:hAnsi="宋体" w:eastAsia="宋体" w:cs="宋体"/>
                <w:color w:val="auto"/>
                <w:sz w:val="24"/>
                <w:szCs w:val="24"/>
                <w:highlight w:val="none"/>
              </w:rPr>
            </w:pPr>
          </w:p>
          <w:p>
            <w:pPr>
              <w:pStyle w:val="321"/>
              <w:spacing w:line="241" w:lineRule="auto"/>
              <w:rPr>
                <w:rFonts w:hint="eastAsia" w:ascii="宋体" w:hAnsi="宋体" w:eastAsia="宋体" w:cs="宋体"/>
                <w:color w:val="auto"/>
                <w:sz w:val="24"/>
                <w:szCs w:val="24"/>
                <w:highlight w:val="none"/>
              </w:rPr>
            </w:pPr>
          </w:p>
          <w:p>
            <w:pPr>
              <w:pStyle w:val="321"/>
              <w:spacing w:line="241" w:lineRule="auto"/>
              <w:rPr>
                <w:rFonts w:hint="eastAsia" w:ascii="宋体" w:hAnsi="宋体" w:eastAsia="宋体" w:cs="宋体"/>
                <w:color w:val="auto"/>
                <w:sz w:val="24"/>
                <w:szCs w:val="24"/>
                <w:highlight w:val="none"/>
              </w:rPr>
            </w:pPr>
          </w:p>
          <w:p>
            <w:pPr>
              <w:pStyle w:val="321"/>
              <w:spacing w:line="241" w:lineRule="auto"/>
              <w:rPr>
                <w:rFonts w:hint="eastAsia" w:ascii="宋体" w:hAnsi="宋体" w:eastAsia="宋体" w:cs="宋体"/>
                <w:color w:val="auto"/>
                <w:sz w:val="24"/>
                <w:szCs w:val="24"/>
                <w:highlight w:val="none"/>
              </w:rPr>
            </w:pPr>
          </w:p>
          <w:p>
            <w:pPr>
              <w:pStyle w:val="321"/>
              <w:spacing w:line="241" w:lineRule="auto"/>
              <w:rPr>
                <w:rFonts w:hint="eastAsia" w:ascii="宋体" w:hAnsi="宋体" w:eastAsia="宋体" w:cs="宋体"/>
                <w:color w:val="auto"/>
                <w:sz w:val="24"/>
                <w:szCs w:val="24"/>
                <w:highlight w:val="none"/>
              </w:rPr>
            </w:pPr>
          </w:p>
          <w:p>
            <w:pPr>
              <w:pStyle w:val="321"/>
              <w:spacing w:line="241" w:lineRule="auto"/>
              <w:rPr>
                <w:rFonts w:hint="eastAsia" w:ascii="宋体" w:hAnsi="宋体" w:eastAsia="宋体" w:cs="宋体"/>
                <w:color w:val="auto"/>
                <w:sz w:val="24"/>
                <w:szCs w:val="24"/>
                <w:highlight w:val="none"/>
              </w:rPr>
            </w:pPr>
          </w:p>
          <w:p>
            <w:pPr>
              <w:pStyle w:val="321"/>
              <w:spacing w:line="241" w:lineRule="auto"/>
              <w:rPr>
                <w:rFonts w:hint="eastAsia" w:ascii="宋体" w:hAnsi="宋体" w:eastAsia="宋体" w:cs="宋体"/>
                <w:color w:val="auto"/>
                <w:sz w:val="24"/>
                <w:szCs w:val="24"/>
                <w:highlight w:val="none"/>
              </w:rPr>
            </w:pPr>
          </w:p>
          <w:p>
            <w:pPr>
              <w:pStyle w:val="321"/>
              <w:spacing w:line="242" w:lineRule="auto"/>
              <w:rPr>
                <w:rFonts w:hint="eastAsia" w:ascii="宋体" w:hAnsi="宋体" w:eastAsia="宋体" w:cs="宋体"/>
                <w:color w:val="auto"/>
                <w:sz w:val="24"/>
                <w:szCs w:val="24"/>
                <w:highlight w:val="none"/>
              </w:rPr>
            </w:pPr>
          </w:p>
          <w:p>
            <w:pPr>
              <w:pStyle w:val="321"/>
              <w:spacing w:line="242" w:lineRule="auto"/>
              <w:rPr>
                <w:rFonts w:hint="eastAsia" w:ascii="宋体" w:hAnsi="宋体" w:eastAsia="宋体" w:cs="宋体"/>
                <w:color w:val="auto"/>
                <w:sz w:val="24"/>
                <w:szCs w:val="24"/>
                <w:highlight w:val="none"/>
              </w:rPr>
            </w:pPr>
          </w:p>
          <w:p>
            <w:pPr>
              <w:pStyle w:val="321"/>
              <w:spacing w:line="242" w:lineRule="auto"/>
              <w:rPr>
                <w:rFonts w:hint="eastAsia" w:ascii="宋体" w:hAnsi="宋体" w:eastAsia="宋体" w:cs="宋体"/>
                <w:color w:val="auto"/>
                <w:sz w:val="24"/>
                <w:szCs w:val="24"/>
                <w:highlight w:val="none"/>
              </w:rPr>
            </w:pPr>
          </w:p>
          <w:p>
            <w:pPr>
              <w:pStyle w:val="321"/>
              <w:spacing w:line="242" w:lineRule="auto"/>
              <w:rPr>
                <w:rFonts w:hint="eastAsia" w:ascii="宋体" w:hAnsi="宋体" w:eastAsia="宋体" w:cs="宋体"/>
                <w:color w:val="auto"/>
                <w:sz w:val="24"/>
                <w:szCs w:val="24"/>
                <w:highlight w:val="none"/>
              </w:rPr>
            </w:pPr>
          </w:p>
          <w:p>
            <w:pPr>
              <w:spacing w:before="65" w:line="184" w:lineRule="auto"/>
              <w:ind w:left="348" w:leftChars="0"/>
              <w:rPr>
                <w:rFonts w:hint="eastAsia" w:ascii="宋体" w:hAnsi="宋体" w:eastAsia="宋体" w:cs="宋体"/>
                <w:snapToGrid w:val="false"/>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698" w:type="dxa"/>
            <w:vAlign w:val="top"/>
          </w:tcPr>
          <w:p>
            <w:pPr>
              <w:pStyle w:val="321"/>
              <w:spacing w:line="262" w:lineRule="auto"/>
              <w:rPr>
                <w:rFonts w:hint="eastAsia" w:ascii="宋体" w:hAnsi="宋体" w:eastAsia="宋体" w:cs="宋体"/>
                <w:color w:val="auto"/>
                <w:sz w:val="24"/>
                <w:szCs w:val="24"/>
                <w:highlight w:val="none"/>
              </w:rPr>
            </w:pPr>
          </w:p>
          <w:p>
            <w:pPr>
              <w:pStyle w:val="321"/>
              <w:spacing w:line="262" w:lineRule="auto"/>
              <w:rPr>
                <w:rFonts w:hint="eastAsia" w:ascii="宋体" w:hAnsi="宋体" w:eastAsia="宋体" w:cs="宋体"/>
                <w:color w:val="auto"/>
                <w:sz w:val="24"/>
                <w:szCs w:val="24"/>
                <w:highlight w:val="none"/>
              </w:rPr>
            </w:pPr>
          </w:p>
          <w:p>
            <w:pPr>
              <w:pStyle w:val="321"/>
              <w:spacing w:line="262" w:lineRule="auto"/>
              <w:rPr>
                <w:rFonts w:hint="eastAsia" w:ascii="宋体" w:hAnsi="宋体" w:eastAsia="宋体" w:cs="宋体"/>
                <w:color w:val="auto"/>
                <w:sz w:val="24"/>
                <w:szCs w:val="24"/>
                <w:highlight w:val="none"/>
              </w:rPr>
            </w:pPr>
          </w:p>
          <w:p>
            <w:pPr>
              <w:pStyle w:val="321"/>
              <w:spacing w:line="262" w:lineRule="auto"/>
              <w:rPr>
                <w:rFonts w:hint="eastAsia" w:ascii="宋体" w:hAnsi="宋体" w:eastAsia="宋体" w:cs="宋体"/>
                <w:color w:val="auto"/>
                <w:sz w:val="24"/>
                <w:szCs w:val="24"/>
                <w:highlight w:val="none"/>
              </w:rPr>
            </w:pPr>
          </w:p>
          <w:p>
            <w:pPr>
              <w:pStyle w:val="321"/>
              <w:spacing w:line="262" w:lineRule="auto"/>
              <w:rPr>
                <w:rFonts w:hint="eastAsia" w:ascii="宋体" w:hAnsi="宋体" w:eastAsia="宋体" w:cs="宋体"/>
                <w:color w:val="auto"/>
                <w:sz w:val="24"/>
                <w:szCs w:val="24"/>
                <w:highlight w:val="none"/>
              </w:rPr>
            </w:pPr>
          </w:p>
          <w:p>
            <w:pPr>
              <w:pStyle w:val="321"/>
              <w:spacing w:line="262" w:lineRule="auto"/>
              <w:rPr>
                <w:rFonts w:hint="eastAsia" w:ascii="宋体" w:hAnsi="宋体" w:eastAsia="宋体" w:cs="宋体"/>
                <w:color w:val="auto"/>
                <w:sz w:val="24"/>
                <w:szCs w:val="24"/>
                <w:highlight w:val="none"/>
              </w:rPr>
            </w:pPr>
          </w:p>
          <w:p>
            <w:pPr>
              <w:pStyle w:val="321"/>
              <w:spacing w:line="263" w:lineRule="auto"/>
              <w:rPr>
                <w:rFonts w:hint="eastAsia" w:ascii="宋体" w:hAnsi="宋体" w:eastAsia="宋体" w:cs="宋体"/>
                <w:color w:val="auto"/>
                <w:sz w:val="24"/>
                <w:szCs w:val="24"/>
                <w:highlight w:val="none"/>
              </w:rPr>
            </w:pPr>
          </w:p>
          <w:p>
            <w:pPr>
              <w:pStyle w:val="321"/>
              <w:spacing w:line="263" w:lineRule="auto"/>
              <w:rPr>
                <w:rFonts w:hint="eastAsia" w:ascii="宋体" w:hAnsi="宋体" w:eastAsia="宋体" w:cs="宋体"/>
                <w:color w:val="auto"/>
                <w:sz w:val="24"/>
                <w:szCs w:val="24"/>
                <w:highlight w:val="none"/>
              </w:rPr>
            </w:pPr>
          </w:p>
          <w:p>
            <w:pPr>
              <w:pStyle w:val="321"/>
              <w:spacing w:line="263" w:lineRule="auto"/>
              <w:rPr>
                <w:rFonts w:hint="eastAsia" w:ascii="宋体" w:hAnsi="宋体" w:eastAsia="宋体" w:cs="宋体"/>
                <w:color w:val="auto"/>
                <w:sz w:val="24"/>
                <w:szCs w:val="24"/>
                <w:highlight w:val="none"/>
              </w:rPr>
            </w:pPr>
          </w:p>
          <w:p>
            <w:pPr>
              <w:pStyle w:val="321"/>
              <w:spacing w:line="263" w:lineRule="auto"/>
              <w:rPr>
                <w:rFonts w:hint="eastAsia" w:ascii="宋体" w:hAnsi="宋体" w:eastAsia="宋体" w:cs="宋体"/>
                <w:color w:val="auto"/>
                <w:sz w:val="24"/>
                <w:szCs w:val="24"/>
                <w:highlight w:val="none"/>
              </w:rPr>
            </w:pPr>
          </w:p>
          <w:p>
            <w:pPr>
              <w:spacing w:before="65" w:line="468" w:lineRule="exact"/>
              <w:ind w:left="14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20"/>
                <w:sz w:val="24"/>
                <w:szCs w:val="24"/>
                <w:highlight w:val="none"/>
              </w:rPr>
              <w:t>蔬</w:t>
            </w:r>
            <w:r>
              <w:rPr>
                <w:rFonts w:hint="eastAsia" w:ascii="宋体" w:hAnsi="宋体" w:eastAsia="宋体" w:cs="宋体"/>
                <w:color w:val="auto"/>
                <w:spacing w:val="1"/>
                <w:position w:val="20"/>
                <w:sz w:val="24"/>
                <w:szCs w:val="24"/>
                <w:highlight w:val="none"/>
                <w:lang w:eastAsia="zh-CN"/>
              </w:rPr>
              <w:t>菜</w:t>
            </w:r>
          </w:p>
          <w:p>
            <w:pPr>
              <w:spacing w:before="1" w:line="232" w:lineRule="auto"/>
              <w:ind w:left="256" w:leftChars="0"/>
              <w:rPr>
                <w:rFonts w:hint="eastAsia" w:ascii="宋体" w:hAnsi="宋体" w:eastAsia="宋体" w:cs="宋体"/>
                <w:snapToGrid w:val="false"/>
                <w:color w:val="auto"/>
                <w:kern w:val="0"/>
                <w:sz w:val="24"/>
                <w:szCs w:val="24"/>
                <w:highlight w:val="none"/>
                <w:lang w:val="en-US" w:eastAsia="en-US" w:bidi="ar-SA"/>
              </w:rPr>
            </w:pPr>
            <w:r>
              <w:rPr>
                <w:rFonts w:hint="eastAsia" w:ascii="宋体" w:hAnsi="宋体" w:eastAsia="宋体" w:cs="宋体"/>
                <w:color w:val="auto"/>
                <w:sz w:val="24"/>
                <w:szCs w:val="24"/>
                <w:highlight w:val="none"/>
              </w:rPr>
              <w:t>类</w:t>
            </w:r>
          </w:p>
        </w:tc>
        <w:tc>
          <w:tcPr>
            <w:tcW w:w="6978" w:type="dxa"/>
            <w:vAlign w:val="top"/>
          </w:tcPr>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一、质量要求：供应商所供货物必须保证新鲜，无腐烂、变质，农药残 留须符合《食品 安全国家标 准食品中 农药最大限 残留限量 》的规定。</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二、从蔬菜色泽看，各种蔬菜都应具有本品种固有的颜色，有光泽，以此显示蔬菜的成熟度及鲜嫩程度；</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三、从蔬菜气味看，蔬菜具有清馨、甘辛香、甜酸香等气味，可凭嗅觉 识别不同品种的质量，不允许有腐烂变质的亚硝酸盐味和其他异常气味；</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四、从蔬菜滋味看，因品种不同而各异，蔬菜滋味甘淡、甜酸、清爽鲜 美，少数具有辛酸、苦涩等特殊风味以刺激食欲，如失去本品种原有的滋味即为异常；</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五、从蔬菜形态看，应尽量避免由于客观因素而造成的各种非正常、不新鲜的蔬菜，例如萎蔫、枯塌、损伤、病变、虫害侵蚀等引起的形态异常等。</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六、叶菜类：生菜、白菜、通心菜、苋菜等绿叶菜类及大白菜、椰菜等 普通叶菜。属同一品种规格，肉质鲜嫩形态好，色泽正常，茎基部削平， 无枯黄叶、病叶、泥土、明显机械伤和病虫害伤，无烧心焦边、腐烂等现象，无异味，结球叶菜要结球适度。</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七、茄果类：西红柿、茄瓜、圆椒、尖椒等。属同一品种规格，果实整洁，成熟度适中，无裂果及空洞现象，茄果不能有裂蒂及果皮变硬现象，无腐烂、异味，无明显机械伤。</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八、瓜果类：黄瓜、冬瓜、丝瓜、苦瓜、南瓜、节瓜等。属同一品种规 格，色泽一致，无疤点，无断裂，无腐烂、异味、明显机械伤，不带泥土。</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九、根菜类：萝卜、胡萝卜等。属同一品种规格，皮细光滑，肉质脆嫩 致密新鲜，无腐烂、裂痕、糠心、异味，不带泥沙，不带茎叶和须根。 十、薯芋类：马铃薯、芋、姜等。属同一品种规格，色泽一致，不带泥 沙，不带须根、茎叶，不干瘪，无腐烂、异味、明显机械伤、病虫害斑，马铃薯无发芽，皮不变绿。</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十一、葱蒜类：葱、蒜、韭菜、洋葱等。属同一品种规格，允许葱、青 蒜类保留干净须根，葱、蒜、韭菜不带老叶，蒜头、洋葱去根去枯叶，可食部分新鲜幼嫩，无腐烂、异味。</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十二、水生菜类：藕等。属同一品种规格，肉质嫩，成熟度适中，无腐烂、异味，无明显机械伤，不带泥土和杂质，不干瘪，茭白不黑心。</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十三、芽苗类：绿豆芽、黄豆芽等。芽苗幼嫩，不带豆壳杂质，新鲜，不浸水，无腐烂、异味。</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十四、香辛类：西芹、芹菜、香菜等。属同一品种规格，肉质鲜嫩形态好，色泽正常，无枯黄叶、病叶、泥土、明显机械伤和病虫害伤，无烧心焦边、腐烂等现象，具有该品种应有的味道。</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十五、 以上所有果蔬产品未包含的，若采购人有需求，新产品按照本项目的定价原则进行采购。</w:t>
            </w:r>
          </w:p>
          <w:p>
            <w:pPr>
              <w:spacing w:before="1" w:line="226" w:lineRule="auto"/>
              <w:rPr>
                <w:rFonts w:hint="eastAsia" w:ascii="宋体" w:hAnsi="宋体" w:eastAsia="宋体" w:cs="宋体"/>
                <w:snapToGrid w:val="false"/>
                <w:color w:val="auto"/>
                <w:kern w:val="0"/>
                <w:sz w:val="24"/>
                <w:szCs w:val="24"/>
                <w:highlight w:val="none"/>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5" w:hRule="atLeast"/>
        </w:trPr>
        <w:tc>
          <w:tcPr>
            <w:tcW w:w="784" w:type="dxa"/>
            <w:vAlign w:val="top"/>
          </w:tcPr>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5" w:lineRule="auto"/>
              <w:rPr>
                <w:rFonts w:hint="eastAsia" w:ascii="宋体" w:hAnsi="宋体" w:eastAsia="宋体" w:cs="宋体"/>
                <w:color w:val="auto"/>
                <w:sz w:val="24"/>
                <w:szCs w:val="24"/>
                <w:highlight w:val="none"/>
              </w:rPr>
            </w:pPr>
          </w:p>
          <w:p>
            <w:pPr>
              <w:pStyle w:val="321"/>
              <w:spacing w:line="255" w:lineRule="auto"/>
              <w:rPr>
                <w:rFonts w:hint="eastAsia" w:ascii="宋体" w:hAnsi="宋体" w:eastAsia="宋体" w:cs="宋体"/>
                <w:color w:val="auto"/>
                <w:sz w:val="24"/>
                <w:szCs w:val="24"/>
                <w:highlight w:val="none"/>
              </w:rPr>
            </w:pPr>
          </w:p>
          <w:p>
            <w:pPr>
              <w:spacing w:before="65" w:line="184" w:lineRule="auto"/>
              <w:ind w:left="349" w:left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98" w:type="dxa"/>
            <w:vAlign w:val="top"/>
          </w:tcPr>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4" w:lineRule="auto"/>
              <w:rPr>
                <w:rFonts w:hint="eastAsia" w:ascii="宋体" w:hAnsi="宋体" w:eastAsia="宋体" w:cs="宋体"/>
                <w:color w:val="auto"/>
                <w:sz w:val="24"/>
                <w:szCs w:val="24"/>
                <w:highlight w:val="none"/>
              </w:rPr>
            </w:pPr>
          </w:p>
          <w:p>
            <w:pPr>
              <w:pStyle w:val="321"/>
              <w:spacing w:line="255" w:lineRule="auto"/>
              <w:rPr>
                <w:rFonts w:hint="eastAsia" w:ascii="宋体" w:hAnsi="宋体" w:eastAsia="宋体" w:cs="宋体"/>
                <w:color w:val="auto"/>
                <w:sz w:val="24"/>
                <w:szCs w:val="24"/>
                <w:highlight w:val="none"/>
              </w:rPr>
            </w:pPr>
          </w:p>
          <w:p>
            <w:pPr>
              <w:pStyle w:val="321"/>
              <w:spacing w:line="255" w:lineRule="auto"/>
              <w:rPr>
                <w:rFonts w:hint="eastAsia" w:ascii="宋体" w:hAnsi="宋体" w:eastAsia="宋体" w:cs="宋体"/>
                <w:color w:val="auto"/>
                <w:sz w:val="24"/>
                <w:szCs w:val="24"/>
                <w:highlight w:val="none"/>
              </w:rPr>
            </w:pPr>
          </w:p>
          <w:p>
            <w:pPr>
              <w:pStyle w:val="321"/>
              <w:spacing w:line="255" w:lineRule="auto"/>
              <w:rPr>
                <w:rFonts w:hint="eastAsia" w:ascii="宋体" w:hAnsi="宋体" w:eastAsia="宋体" w:cs="宋体"/>
                <w:color w:val="auto"/>
                <w:sz w:val="24"/>
                <w:szCs w:val="24"/>
                <w:highlight w:val="none"/>
              </w:rPr>
            </w:pPr>
          </w:p>
          <w:p>
            <w:pPr>
              <w:pStyle w:val="321"/>
              <w:spacing w:line="255" w:lineRule="auto"/>
              <w:rPr>
                <w:rFonts w:hint="eastAsia" w:ascii="宋体" w:hAnsi="宋体" w:eastAsia="宋体" w:cs="宋体"/>
                <w:color w:val="auto"/>
                <w:sz w:val="24"/>
                <w:szCs w:val="24"/>
                <w:highlight w:val="none"/>
              </w:rPr>
            </w:pPr>
          </w:p>
          <w:p>
            <w:pPr>
              <w:pStyle w:val="321"/>
              <w:spacing w:line="255" w:lineRule="auto"/>
              <w:rPr>
                <w:rFonts w:hint="eastAsia" w:ascii="宋体" w:hAnsi="宋体" w:eastAsia="宋体" w:cs="宋体"/>
                <w:color w:val="auto"/>
                <w:sz w:val="24"/>
                <w:szCs w:val="24"/>
                <w:highlight w:val="none"/>
              </w:rPr>
            </w:pPr>
          </w:p>
          <w:p>
            <w:pPr>
              <w:pStyle w:val="321"/>
              <w:spacing w:line="255" w:lineRule="auto"/>
              <w:rPr>
                <w:rFonts w:hint="eastAsia" w:ascii="宋体" w:hAnsi="宋体" w:eastAsia="宋体" w:cs="宋体"/>
                <w:color w:val="auto"/>
                <w:sz w:val="24"/>
                <w:szCs w:val="24"/>
                <w:highlight w:val="none"/>
              </w:rPr>
            </w:pPr>
          </w:p>
          <w:p>
            <w:pPr>
              <w:spacing w:before="219" w:line="264" w:lineRule="exact"/>
              <w:ind w:left="276" w:leftChars="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干杂调</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味品</w:t>
            </w:r>
          </w:p>
        </w:tc>
        <w:tc>
          <w:tcPr>
            <w:tcW w:w="6978" w:type="dxa"/>
            <w:vAlign w:val="top"/>
          </w:tcPr>
          <w:p>
            <w:pPr>
              <w:keepNext w:val="false"/>
              <w:keepLines w:val="false"/>
              <w:pageBreakBefore w:val="false"/>
              <w:widowControl/>
              <w:tabs>
                <w:tab w:val="left" w:pos="3485"/>
              </w:tabs>
              <w:kinsoku/>
              <w:wordWrap/>
              <w:overflowPunct/>
              <w:topLinePunct w:val="false"/>
              <w:autoSpaceDE/>
              <w:autoSpaceDN/>
              <w:bidi w:val="false"/>
              <w:spacing w:line="500" w:lineRule="exact"/>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一、质量要求：</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（一）不得含有二氧化硫和非法使用添加剂；重金属元素、农药残留不  得超标，须无感官异常。必须符合国家《中华人民共和国食品安全法》和国务院《关于加强食品安全监督管理的特别规定》。</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（二）食品原料必须符合国家最新质量、卫生、安全标准或行业质量要 求；定型包装类食品原料必须符合食品安全国家标准要求，商品的包装 须符合国家和行业的有关规定，具备产品合格证，不变质，不过期（送 达学校在保质期内，且距生产日期必须在 2 个月内）。配送时产品包装 袋无破损，包装上注明产品名称、对原材料产地、用途、使用方法、规 格、质量等级、配料表、净含量、厂名、厂址、联系方式、生产日期、 保质期、产品标准代号、生产许可证编号等商品使用属性密切相关的内容须有清晰的标识。</w:t>
            </w:r>
          </w:p>
          <w:p>
            <w:pPr>
              <w:keepNext w:val="false"/>
              <w:keepLines w:val="false"/>
              <w:pageBreakBefore w:val="false"/>
              <w:widowControl/>
              <w:tabs>
                <w:tab w:val="left" w:pos="3485"/>
              </w:tabs>
              <w:kinsoku/>
              <w:wordWrap/>
              <w:overflowPunct/>
              <w:topLinePunct w:val="false"/>
              <w:autoSpaceDE/>
              <w:autoSpaceDN/>
              <w:bidi w:val="false"/>
              <w:spacing w:line="500" w:lineRule="exact"/>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二、调料类品类要求</w:t>
            </w: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对于下表中未包含的产品，若采购人有需求，新产品按照本项目的定价原则进行采购。</w:t>
            </w:r>
          </w:p>
          <w:tbl>
            <w:tblPr>
              <w:tblStyle w:val="340"/>
              <w:tblW w:w="7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4"/>
              <w:gridCol w:w="1983"/>
              <w:gridCol w:w="2291"/>
              <w:gridCol w:w="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344" w:type="dxa"/>
                  <w:vAlign w:val="top"/>
                </w:tcPr>
                <w:p>
                  <w:pPr>
                    <w:spacing w:before="134" w:line="233" w:lineRule="auto"/>
                    <w:ind w:left="995"/>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品名</w:t>
                  </w:r>
                </w:p>
              </w:tc>
              <w:tc>
                <w:tcPr>
                  <w:tcW w:w="1983" w:type="dxa"/>
                  <w:vAlign w:val="top"/>
                </w:tcPr>
                <w:p>
                  <w:pPr>
                    <w:spacing w:before="134" w:line="231" w:lineRule="auto"/>
                    <w:ind w:left="7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规格</w:t>
                  </w:r>
                </w:p>
              </w:tc>
              <w:tc>
                <w:tcPr>
                  <w:tcW w:w="2291" w:type="dxa"/>
                  <w:vAlign w:val="top"/>
                </w:tcPr>
                <w:p>
                  <w:pPr>
                    <w:spacing w:before="134" w:line="229" w:lineRule="auto"/>
                    <w:ind w:left="95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单位</w:t>
                  </w:r>
                </w:p>
              </w:tc>
              <w:tc>
                <w:tcPr>
                  <w:tcW w:w="819" w:type="dxa"/>
                  <w:vMerge w:val="restart"/>
                  <w:tcBorders>
                    <w:top w:val="nil"/>
                    <w:bottom w:val="nil"/>
                  </w:tcBorders>
                  <w:vAlign w:val="top"/>
                </w:tcPr>
                <w:p>
                  <w:pPr>
                    <w:pStyle w:val="321"/>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344" w:type="dxa"/>
                  <w:vAlign w:val="top"/>
                </w:tcPr>
                <w:p>
                  <w:pPr>
                    <w:spacing w:before="119" w:line="223" w:lineRule="auto"/>
                    <w:ind w:left="94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酱油</w:t>
                  </w:r>
                </w:p>
              </w:tc>
              <w:tc>
                <w:tcPr>
                  <w:tcW w:w="1983" w:type="dxa"/>
                  <w:vAlign w:val="top"/>
                </w:tcPr>
                <w:p>
                  <w:pPr>
                    <w:spacing w:before="133" w:line="234" w:lineRule="auto"/>
                    <w:ind w:left="79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瓶装</w:t>
                  </w:r>
                </w:p>
              </w:tc>
              <w:tc>
                <w:tcPr>
                  <w:tcW w:w="2291" w:type="dxa"/>
                  <w:vAlign w:val="top"/>
                </w:tcPr>
                <w:p>
                  <w:pPr>
                    <w:spacing w:before="134" w:line="272" w:lineRule="exact"/>
                    <w:ind w:left="1042"/>
                    <w:rPr>
                      <w:rFonts w:hint="eastAsia" w:ascii="宋体" w:hAnsi="宋体" w:eastAsia="宋体" w:cs="宋体"/>
                      <w:color w:val="auto"/>
                      <w:sz w:val="24"/>
                      <w:szCs w:val="24"/>
                      <w:highlight w:val="none"/>
                    </w:rPr>
                  </w:pPr>
                  <w:r>
                    <w:rPr>
                      <w:rFonts w:hint="eastAsia" w:ascii="宋体" w:hAnsi="宋体" w:eastAsia="宋体" w:cs="宋体"/>
                      <w:color w:val="auto"/>
                      <w:spacing w:val="4"/>
                      <w:position w:val="1"/>
                      <w:sz w:val="24"/>
                      <w:szCs w:val="24"/>
                      <w:highlight w:val="none"/>
                    </w:rPr>
                    <w:t>ml</w:t>
                  </w:r>
                </w:p>
              </w:tc>
              <w:tc>
                <w:tcPr>
                  <w:tcW w:w="819" w:type="dxa"/>
                  <w:vMerge w:val="continue"/>
                  <w:tcBorders>
                    <w:top w:val="nil"/>
                  </w:tcBorders>
                  <w:vAlign w:val="top"/>
                </w:tcPr>
                <w:p>
                  <w:pPr>
                    <w:pStyle w:val="321"/>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344" w:type="dxa"/>
                  <w:vAlign w:val="top"/>
                </w:tcPr>
                <w:p>
                  <w:pPr>
                    <w:spacing w:before="118" w:line="230" w:lineRule="auto"/>
                    <w:ind w:left="94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食盐</w:t>
                  </w:r>
                </w:p>
              </w:tc>
              <w:tc>
                <w:tcPr>
                  <w:tcW w:w="1983" w:type="dxa"/>
                  <w:vAlign w:val="top"/>
                </w:tcPr>
                <w:p>
                  <w:pPr>
                    <w:spacing w:before="133" w:line="232" w:lineRule="auto"/>
                    <w:ind w:left="7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袋装</w:t>
                  </w:r>
                </w:p>
              </w:tc>
              <w:tc>
                <w:tcPr>
                  <w:tcW w:w="2291" w:type="dxa"/>
                  <w:vAlign w:val="top"/>
                </w:tcPr>
                <w:p>
                  <w:pPr>
                    <w:spacing w:before="218" w:line="153" w:lineRule="exact"/>
                    <w:ind w:left="1101"/>
                    <w:rPr>
                      <w:rFonts w:hint="eastAsia" w:ascii="宋体" w:hAnsi="宋体" w:eastAsia="宋体" w:cs="宋体"/>
                      <w:color w:val="auto"/>
                      <w:sz w:val="24"/>
                      <w:szCs w:val="24"/>
                      <w:highlight w:val="none"/>
                    </w:rPr>
                  </w:pPr>
                  <w:r>
                    <w:rPr>
                      <w:rFonts w:hint="eastAsia" w:ascii="宋体" w:hAnsi="宋体" w:eastAsia="宋体" w:cs="宋体"/>
                      <w:color w:val="auto"/>
                      <w:position w:val="2"/>
                      <w:sz w:val="24"/>
                      <w:szCs w:val="24"/>
                      <w:highlight w:val="none"/>
                    </w:rPr>
                    <w:t>g</w:t>
                  </w:r>
                </w:p>
              </w:tc>
              <w:tc>
                <w:tcPr>
                  <w:tcW w:w="819" w:type="dxa"/>
                  <w:vMerge w:val="restart"/>
                  <w:tcBorders>
                    <w:bottom w:val="nil"/>
                  </w:tcBorders>
                  <w:vAlign w:val="top"/>
                </w:tcPr>
                <w:p>
                  <w:pPr>
                    <w:pStyle w:val="321"/>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344" w:type="dxa"/>
                  <w:vAlign w:val="top"/>
                </w:tcPr>
                <w:p>
                  <w:pPr>
                    <w:spacing w:before="116" w:line="221" w:lineRule="auto"/>
                    <w:ind w:left="953"/>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味精</w:t>
                  </w:r>
                </w:p>
              </w:tc>
              <w:tc>
                <w:tcPr>
                  <w:tcW w:w="1983" w:type="dxa"/>
                  <w:vAlign w:val="top"/>
                </w:tcPr>
                <w:p>
                  <w:pPr>
                    <w:spacing w:before="131" w:line="232" w:lineRule="auto"/>
                    <w:ind w:left="7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袋装</w:t>
                  </w:r>
                </w:p>
              </w:tc>
              <w:tc>
                <w:tcPr>
                  <w:tcW w:w="2291" w:type="dxa"/>
                  <w:vAlign w:val="top"/>
                </w:tcPr>
                <w:p>
                  <w:pPr>
                    <w:spacing w:before="216" w:line="153" w:lineRule="exact"/>
                    <w:ind w:left="1101"/>
                    <w:rPr>
                      <w:rFonts w:hint="eastAsia" w:ascii="宋体" w:hAnsi="宋体" w:eastAsia="宋体" w:cs="宋体"/>
                      <w:color w:val="auto"/>
                      <w:sz w:val="24"/>
                      <w:szCs w:val="24"/>
                      <w:highlight w:val="none"/>
                    </w:rPr>
                  </w:pPr>
                  <w:r>
                    <w:rPr>
                      <w:rFonts w:hint="eastAsia" w:ascii="宋体" w:hAnsi="宋体" w:eastAsia="宋体" w:cs="宋体"/>
                      <w:color w:val="auto"/>
                      <w:position w:val="2"/>
                      <w:sz w:val="24"/>
                      <w:szCs w:val="24"/>
                      <w:highlight w:val="none"/>
                    </w:rPr>
                    <w:t>g</w:t>
                  </w:r>
                </w:p>
              </w:tc>
              <w:tc>
                <w:tcPr>
                  <w:tcW w:w="819"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44" w:type="dxa"/>
                  <w:vAlign w:val="top"/>
                </w:tcPr>
                <w:p>
                  <w:pPr>
                    <w:spacing w:before="115" w:line="224" w:lineRule="auto"/>
                    <w:ind w:left="94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食醋</w:t>
                  </w:r>
                </w:p>
              </w:tc>
              <w:tc>
                <w:tcPr>
                  <w:tcW w:w="1983" w:type="dxa"/>
                  <w:vAlign w:val="top"/>
                </w:tcPr>
                <w:p>
                  <w:pPr>
                    <w:spacing w:before="130" w:line="234" w:lineRule="auto"/>
                    <w:ind w:left="79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瓶装</w:t>
                  </w:r>
                </w:p>
              </w:tc>
              <w:tc>
                <w:tcPr>
                  <w:tcW w:w="2291" w:type="dxa"/>
                  <w:vAlign w:val="top"/>
                </w:tcPr>
                <w:p>
                  <w:pPr>
                    <w:spacing w:before="130" w:line="272" w:lineRule="exact"/>
                    <w:ind w:left="1042"/>
                    <w:rPr>
                      <w:rFonts w:hint="eastAsia" w:ascii="宋体" w:hAnsi="宋体" w:eastAsia="宋体" w:cs="宋体"/>
                      <w:color w:val="auto"/>
                      <w:sz w:val="24"/>
                      <w:szCs w:val="24"/>
                      <w:highlight w:val="none"/>
                    </w:rPr>
                  </w:pPr>
                  <w:r>
                    <w:rPr>
                      <w:rFonts w:hint="eastAsia" w:ascii="宋体" w:hAnsi="宋体" w:eastAsia="宋体" w:cs="宋体"/>
                      <w:color w:val="auto"/>
                      <w:spacing w:val="4"/>
                      <w:position w:val="1"/>
                      <w:sz w:val="24"/>
                      <w:szCs w:val="24"/>
                      <w:highlight w:val="none"/>
                    </w:rPr>
                    <w:t>ml</w:t>
                  </w:r>
                </w:p>
              </w:tc>
              <w:tc>
                <w:tcPr>
                  <w:tcW w:w="819"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344" w:type="dxa"/>
                  <w:vAlign w:val="top"/>
                </w:tcPr>
                <w:p>
                  <w:pPr>
                    <w:spacing w:before="116" w:line="222" w:lineRule="auto"/>
                    <w:ind w:left="94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豆瓣</w:t>
                  </w:r>
                </w:p>
              </w:tc>
              <w:tc>
                <w:tcPr>
                  <w:tcW w:w="1983" w:type="dxa"/>
                  <w:vAlign w:val="top"/>
                </w:tcPr>
                <w:p>
                  <w:pPr>
                    <w:spacing w:before="131" w:line="232" w:lineRule="auto"/>
                    <w:ind w:left="7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袋装</w:t>
                  </w:r>
                </w:p>
              </w:tc>
              <w:tc>
                <w:tcPr>
                  <w:tcW w:w="2291" w:type="dxa"/>
                  <w:vAlign w:val="top"/>
                </w:tcPr>
                <w:p>
                  <w:pPr>
                    <w:spacing w:before="131" w:line="224" w:lineRule="auto"/>
                    <w:ind w:left="104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kg</w:t>
                  </w:r>
                </w:p>
              </w:tc>
              <w:tc>
                <w:tcPr>
                  <w:tcW w:w="819"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344" w:type="dxa"/>
                  <w:vAlign w:val="top"/>
                </w:tcPr>
                <w:p>
                  <w:pPr>
                    <w:spacing w:before="115" w:line="222" w:lineRule="auto"/>
                    <w:ind w:left="70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淀粉制品</w:t>
                  </w:r>
                </w:p>
              </w:tc>
              <w:tc>
                <w:tcPr>
                  <w:tcW w:w="1983" w:type="dxa"/>
                  <w:vAlign w:val="top"/>
                </w:tcPr>
                <w:p>
                  <w:pPr>
                    <w:spacing w:before="131" w:line="232" w:lineRule="auto"/>
                    <w:ind w:left="7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袋装</w:t>
                  </w:r>
                </w:p>
              </w:tc>
              <w:tc>
                <w:tcPr>
                  <w:tcW w:w="2291" w:type="dxa"/>
                  <w:vAlign w:val="top"/>
                </w:tcPr>
                <w:p>
                  <w:pPr>
                    <w:spacing w:before="216" w:line="153" w:lineRule="exact"/>
                    <w:ind w:left="1101"/>
                    <w:rPr>
                      <w:rFonts w:hint="eastAsia" w:ascii="宋体" w:hAnsi="宋体" w:eastAsia="宋体" w:cs="宋体"/>
                      <w:color w:val="auto"/>
                      <w:sz w:val="24"/>
                      <w:szCs w:val="24"/>
                      <w:highlight w:val="none"/>
                    </w:rPr>
                  </w:pPr>
                  <w:r>
                    <w:rPr>
                      <w:rFonts w:hint="eastAsia" w:ascii="宋体" w:hAnsi="宋体" w:eastAsia="宋体" w:cs="宋体"/>
                      <w:color w:val="auto"/>
                      <w:position w:val="2"/>
                      <w:sz w:val="24"/>
                      <w:szCs w:val="24"/>
                      <w:highlight w:val="none"/>
                    </w:rPr>
                    <w:t>g</w:t>
                  </w:r>
                </w:p>
              </w:tc>
              <w:tc>
                <w:tcPr>
                  <w:tcW w:w="819"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344" w:type="dxa"/>
                  <w:vAlign w:val="top"/>
                </w:tcPr>
                <w:p>
                  <w:pPr>
                    <w:spacing w:before="115" w:line="224" w:lineRule="auto"/>
                    <w:ind w:left="946"/>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大豆</w:t>
                  </w:r>
                </w:p>
              </w:tc>
              <w:tc>
                <w:tcPr>
                  <w:tcW w:w="1983" w:type="dxa"/>
                  <w:vAlign w:val="top"/>
                </w:tcPr>
                <w:p>
                  <w:pPr>
                    <w:spacing w:before="130" w:line="232" w:lineRule="auto"/>
                    <w:ind w:left="7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袋装</w:t>
                  </w:r>
                </w:p>
              </w:tc>
              <w:tc>
                <w:tcPr>
                  <w:tcW w:w="2291" w:type="dxa"/>
                  <w:vAlign w:val="top"/>
                </w:tcPr>
                <w:p>
                  <w:pPr>
                    <w:spacing w:before="130" w:line="224" w:lineRule="auto"/>
                    <w:ind w:left="104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kg</w:t>
                  </w:r>
                </w:p>
              </w:tc>
              <w:tc>
                <w:tcPr>
                  <w:tcW w:w="819"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344" w:type="dxa"/>
                  <w:vAlign w:val="top"/>
                </w:tcPr>
                <w:p>
                  <w:pPr>
                    <w:spacing w:before="115" w:line="220" w:lineRule="auto"/>
                    <w:ind w:left="945"/>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花生</w:t>
                  </w:r>
                </w:p>
              </w:tc>
              <w:tc>
                <w:tcPr>
                  <w:tcW w:w="1983" w:type="dxa"/>
                  <w:vAlign w:val="top"/>
                </w:tcPr>
                <w:p>
                  <w:pPr>
                    <w:spacing w:before="130" w:line="232" w:lineRule="auto"/>
                    <w:ind w:left="7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袋装</w:t>
                  </w:r>
                </w:p>
              </w:tc>
              <w:tc>
                <w:tcPr>
                  <w:tcW w:w="2291" w:type="dxa"/>
                  <w:vAlign w:val="top"/>
                </w:tcPr>
                <w:p>
                  <w:pPr>
                    <w:spacing w:before="129" w:line="224" w:lineRule="auto"/>
                    <w:ind w:left="104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kg</w:t>
                  </w:r>
                </w:p>
              </w:tc>
              <w:tc>
                <w:tcPr>
                  <w:tcW w:w="819"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44" w:type="dxa"/>
                  <w:vAlign w:val="top"/>
                </w:tcPr>
                <w:p>
                  <w:pPr>
                    <w:spacing w:before="118" w:line="222" w:lineRule="auto"/>
                    <w:ind w:left="94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食糖</w:t>
                  </w:r>
                </w:p>
              </w:tc>
              <w:tc>
                <w:tcPr>
                  <w:tcW w:w="1983" w:type="dxa"/>
                  <w:vAlign w:val="top"/>
                </w:tcPr>
                <w:p>
                  <w:pPr>
                    <w:spacing w:before="132" w:line="232" w:lineRule="auto"/>
                    <w:ind w:left="7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袋装</w:t>
                  </w:r>
                </w:p>
              </w:tc>
              <w:tc>
                <w:tcPr>
                  <w:tcW w:w="2291" w:type="dxa"/>
                  <w:vAlign w:val="top"/>
                </w:tcPr>
                <w:p>
                  <w:pPr>
                    <w:spacing w:before="217" w:line="153" w:lineRule="exact"/>
                    <w:ind w:left="1101"/>
                    <w:rPr>
                      <w:rFonts w:hint="eastAsia" w:ascii="宋体" w:hAnsi="宋体" w:eastAsia="宋体" w:cs="宋体"/>
                      <w:color w:val="auto"/>
                      <w:sz w:val="24"/>
                      <w:szCs w:val="24"/>
                      <w:highlight w:val="none"/>
                    </w:rPr>
                  </w:pPr>
                  <w:r>
                    <w:rPr>
                      <w:rFonts w:hint="eastAsia" w:ascii="宋体" w:hAnsi="宋体" w:eastAsia="宋体" w:cs="宋体"/>
                      <w:color w:val="auto"/>
                      <w:position w:val="2"/>
                      <w:sz w:val="24"/>
                      <w:szCs w:val="24"/>
                      <w:highlight w:val="none"/>
                    </w:rPr>
                    <w:t>g</w:t>
                  </w:r>
                </w:p>
              </w:tc>
              <w:tc>
                <w:tcPr>
                  <w:tcW w:w="819"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44" w:type="dxa"/>
                  <w:vAlign w:val="top"/>
                </w:tcPr>
                <w:p>
                  <w:pPr>
                    <w:spacing w:before="117" w:line="222" w:lineRule="auto"/>
                    <w:ind w:left="83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干辣椒</w:t>
                  </w:r>
                </w:p>
              </w:tc>
              <w:tc>
                <w:tcPr>
                  <w:tcW w:w="1983" w:type="dxa"/>
                  <w:vAlign w:val="top"/>
                </w:tcPr>
                <w:p>
                  <w:pPr>
                    <w:spacing w:before="132" w:line="231" w:lineRule="auto"/>
                    <w:ind w:left="7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散装</w:t>
                  </w:r>
                </w:p>
              </w:tc>
              <w:tc>
                <w:tcPr>
                  <w:tcW w:w="2291" w:type="dxa"/>
                  <w:vAlign w:val="top"/>
                </w:tcPr>
                <w:p>
                  <w:pPr>
                    <w:spacing w:before="132" w:line="224" w:lineRule="auto"/>
                    <w:ind w:left="104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kg</w:t>
                  </w:r>
                </w:p>
              </w:tc>
              <w:tc>
                <w:tcPr>
                  <w:tcW w:w="819"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344" w:type="dxa"/>
                  <w:vAlign w:val="top"/>
                </w:tcPr>
                <w:p>
                  <w:pPr>
                    <w:spacing w:before="118" w:line="224" w:lineRule="auto"/>
                    <w:ind w:left="948"/>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面条</w:t>
                  </w:r>
                </w:p>
              </w:tc>
              <w:tc>
                <w:tcPr>
                  <w:tcW w:w="1983" w:type="dxa"/>
                  <w:vAlign w:val="top"/>
                </w:tcPr>
                <w:p>
                  <w:pPr>
                    <w:spacing w:before="133" w:line="232" w:lineRule="auto"/>
                    <w:ind w:left="7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袋装</w:t>
                  </w:r>
                </w:p>
              </w:tc>
              <w:tc>
                <w:tcPr>
                  <w:tcW w:w="2291" w:type="dxa"/>
                  <w:vAlign w:val="top"/>
                </w:tcPr>
                <w:p>
                  <w:pPr>
                    <w:spacing w:before="133" w:line="224" w:lineRule="auto"/>
                    <w:ind w:left="104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kg</w:t>
                  </w:r>
                </w:p>
              </w:tc>
              <w:tc>
                <w:tcPr>
                  <w:tcW w:w="819"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344" w:type="dxa"/>
                  <w:vAlign w:val="top"/>
                </w:tcPr>
                <w:p>
                  <w:pPr>
                    <w:spacing w:before="118" w:line="223" w:lineRule="auto"/>
                    <w:ind w:left="94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粉丝</w:t>
                  </w:r>
                </w:p>
              </w:tc>
              <w:tc>
                <w:tcPr>
                  <w:tcW w:w="1983" w:type="dxa"/>
                  <w:vAlign w:val="top"/>
                </w:tcPr>
                <w:p>
                  <w:pPr>
                    <w:spacing w:before="133" w:line="232" w:lineRule="auto"/>
                    <w:ind w:left="7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袋装</w:t>
                  </w:r>
                </w:p>
              </w:tc>
              <w:tc>
                <w:tcPr>
                  <w:tcW w:w="2291" w:type="dxa"/>
                  <w:vAlign w:val="top"/>
                </w:tcPr>
                <w:p>
                  <w:pPr>
                    <w:spacing w:before="132" w:line="224" w:lineRule="auto"/>
                    <w:ind w:left="104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kg</w:t>
                  </w:r>
                </w:p>
              </w:tc>
              <w:tc>
                <w:tcPr>
                  <w:tcW w:w="819"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44" w:type="dxa"/>
                  <w:vAlign w:val="top"/>
                </w:tcPr>
                <w:p>
                  <w:pPr>
                    <w:spacing w:before="132" w:line="229" w:lineRule="auto"/>
                    <w:ind w:left="97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花椒</w:t>
                  </w:r>
                </w:p>
              </w:tc>
              <w:tc>
                <w:tcPr>
                  <w:tcW w:w="1983" w:type="dxa"/>
                  <w:vAlign w:val="top"/>
                </w:tcPr>
                <w:p>
                  <w:pPr>
                    <w:spacing w:before="132" w:line="232" w:lineRule="auto"/>
                    <w:ind w:left="7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袋装</w:t>
                  </w:r>
                </w:p>
              </w:tc>
              <w:tc>
                <w:tcPr>
                  <w:tcW w:w="2291" w:type="dxa"/>
                  <w:vAlign w:val="top"/>
                </w:tcPr>
                <w:p>
                  <w:pPr>
                    <w:spacing w:before="132" w:line="224" w:lineRule="auto"/>
                    <w:ind w:left="104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kg</w:t>
                  </w:r>
                </w:p>
              </w:tc>
              <w:tc>
                <w:tcPr>
                  <w:tcW w:w="819" w:type="dxa"/>
                  <w:vMerge w:val="continue"/>
                  <w:tcBorders>
                    <w:top w:val="nil"/>
                    <w:bottom w:val="nil"/>
                  </w:tcBorders>
                  <w:vAlign w:val="top"/>
                </w:tcPr>
                <w:p>
                  <w:pPr>
                    <w:pStyle w:val="321"/>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344" w:type="dxa"/>
                  <w:vAlign w:val="top"/>
                </w:tcPr>
                <w:p>
                  <w:pPr>
                    <w:spacing w:before="132" w:line="229" w:lineRule="auto"/>
                    <w:ind w:left="8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花椒面</w:t>
                  </w:r>
                </w:p>
              </w:tc>
              <w:tc>
                <w:tcPr>
                  <w:tcW w:w="1983" w:type="dxa"/>
                  <w:vAlign w:val="top"/>
                </w:tcPr>
                <w:p>
                  <w:pPr>
                    <w:spacing w:before="133" w:line="232" w:lineRule="auto"/>
                    <w:ind w:left="7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袋装</w:t>
                  </w:r>
                </w:p>
              </w:tc>
              <w:tc>
                <w:tcPr>
                  <w:tcW w:w="2291" w:type="dxa"/>
                  <w:vAlign w:val="top"/>
                </w:tcPr>
                <w:p>
                  <w:pPr>
                    <w:spacing w:before="132" w:line="224" w:lineRule="auto"/>
                    <w:ind w:left="104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kg</w:t>
                  </w:r>
                </w:p>
              </w:tc>
              <w:tc>
                <w:tcPr>
                  <w:tcW w:w="819" w:type="dxa"/>
                  <w:vMerge w:val="continue"/>
                  <w:tcBorders>
                    <w:top w:val="nil"/>
                  </w:tcBorders>
                  <w:vAlign w:val="top"/>
                </w:tcPr>
                <w:p>
                  <w:pPr>
                    <w:pStyle w:val="321"/>
                    <w:rPr>
                      <w:rFonts w:hint="eastAsia" w:ascii="宋体" w:hAnsi="宋体" w:eastAsia="宋体" w:cs="宋体"/>
                      <w:color w:val="auto"/>
                      <w:sz w:val="24"/>
                      <w:szCs w:val="24"/>
                      <w:highlight w:val="none"/>
                    </w:rPr>
                  </w:pPr>
                </w:p>
              </w:tc>
            </w:tr>
          </w:tbl>
          <w:p>
            <w:pPr>
              <w:spacing w:before="220" w:line="432" w:lineRule="auto"/>
              <w:ind w:left="123" w:leftChars="0" w:right="105" w:rightChars="0" w:hanging="4" w:firstLineChars="0"/>
              <w:jc w:val="both"/>
              <w:rPr>
                <w:rFonts w:hint="eastAsia" w:ascii="宋体" w:hAnsi="宋体" w:eastAsia="宋体" w:cs="宋体"/>
                <w:color w:val="auto"/>
                <w:spacing w:val="5"/>
                <w:sz w:val="24"/>
                <w:szCs w:val="24"/>
                <w:highlight w:val="none"/>
                <w:lang w:eastAsia="zh-CN"/>
              </w:rPr>
            </w:pPr>
          </w:p>
        </w:tc>
      </w:tr>
    </w:tbl>
    <w:p>
      <w:pPr>
        <w:pStyle w:val="23"/>
        <w:spacing w:line="360" w:lineRule="auto"/>
        <w:jc w:val="center"/>
        <w:rPr>
          <w:rFonts w:hint="eastAsia" w:ascii="宋体" w:hAnsi="宋体" w:eastAsia="宋体" w:cs="宋体"/>
          <w:b/>
          <w:color w:val="auto"/>
          <w:sz w:val="24"/>
          <w:szCs w:val="24"/>
          <w:highlight w:val="none"/>
        </w:rPr>
      </w:pPr>
    </w:p>
    <w:p>
      <w:pPr>
        <w:keepNext w:val="false"/>
        <w:keepLines w:val="false"/>
        <w:pageBreakBefore w:val="false"/>
        <w:widowControl/>
        <w:tabs>
          <w:tab w:val="left" w:pos="3485"/>
        </w:tabs>
        <w:kinsoku/>
        <w:wordWrap/>
        <w:overflowPunct/>
        <w:topLinePunct w:val="false"/>
        <w:autoSpaceDE/>
        <w:autoSpaceDN/>
        <w:bidi w:val="false"/>
        <w:spacing w:line="500" w:lineRule="exact"/>
        <w:ind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要求不允许负偏离，否则按无效</w:t>
      </w:r>
      <w:r>
        <w:rPr>
          <w:rFonts w:hint="eastAsia" w:ascii="宋体" w:hAnsi="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en-US" w:eastAsia="zh-CN"/>
        </w:rPr>
        <w:t>文件处理。</w:t>
      </w:r>
    </w:p>
    <w:p>
      <w:pPr>
        <w:rPr>
          <w:rFonts w:hint="eastAsia"/>
          <w:b/>
          <w:color w:val="auto"/>
          <w:sz w:val="36"/>
          <w:szCs w:val="36"/>
          <w:highlight w:val="none"/>
        </w:rPr>
      </w:pPr>
      <w:r>
        <w:rPr>
          <w:rFonts w:hint="eastAsia"/>
          <w:b/>
          <w:color w:val="auto"/>
          <w:sz w:val="36"/>
          <w:szCs w:val="36"/>
          <w:highlight w:val="none"/>
        </w:rPr>
        <w:br w:type="page"/>
      </w:r>
    </w:p>
    <w:p>
      <w:pPr>
        <w:jc w:val="center"/>
        <w:outlineLvl w:val="0"/>
        <w:rPr>
          <w:color w:val="auto"/>
          <w:sz w:val="22"/>
          <w:szCs w:val="22"/>
          <w:highlight w:val="none"/>
        </w:rPr>
      </w:pPr>
      <w:bookmarkStart w:name="_Toc25165" w:id="44"/>
      <w:r>
        <w:rPr>
          <w:rFonts w:hint="eastAsia"/>
          <w:b/>
          <w:color w:val="auto"/>
          <w:sz w:val="36"/>
          <w:szCs w:val="36"/>
          <w:highlight w:val="none"/>
        </w:rPr>
        <w:t>第五章 评审方法</w:t>
      </w:r>
      <w:bookmarkEnd w:id="22"/>
      <w:bookmarkEnd w:id="44"/>
    </w:p>
    <w:p>
      <w:pPr>
        <w:snapToGrid w:val="false"/>
        <w:spacing w:line="360" w:lineRule="auto"/>
        <w:rPr>
          <w:color w:val="auto"/>
          <w:sz w:val="22"/>
          <w:szCs w:val="22"/>
          <w:highlight w:val="none"/>
        </w:rPr>
      </w:pPr>
      <w:r>
        <w:rPr>
          <w:color w:val="auto"/>
          <w:sz w:val="22"/>
          <w:szCs w:val="22"/>
          <w:highlight w:val="none"/>
        </w:rPr>
        <w:t>1、谈判小组及专家组成</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hint="default" w:ascii="Times New Roman" w:hAnsi="Times New Roman"/>
          <w:color w:val="auto"/>
          <w:sz w:val="22"/>
          <w:szCs w:val="22"/>
          <w:highlight w:val="none"/>
        </w:rPr>
        <w:t>根据《中华人民共和国政府采购法》</w:t>
      </w:r>
      <w:r>
        <w:rPr>
          <w:rFonts w:ascii="Times New Roman" w:hAnsi="Times New Roman"/>
          <w:color w:val="auto"/>
          <w:sz w:val="22"/>
          <w:szCs w:val="22"/>
          <w:highlight w:val="none"/>
        </w:rPr>
        <w:t>《中华人民共和国政府采购法实施条例》《政府采购非招标采购方式管理办法》</w:t>
      </w:r>
      <w:r>
        <w:rPr>
          <w:rFonts w:hint="default" w:ascii="Times New Roman" w:hAnsi="Times New Roman"/>
          <w:color w:val="auto"/>
          <w:sz w:val="22"/>
          <w:szCs w:val="22"/>
          <w:highlight w:val="none"/>
        </w:rPr>
        <w:t>等的规定</w:t>
      </w:r>
      <w:r>
        <w:rPr>
          <w:rFonts w:ascii="Times New Roman" w:hAnsi="Times New Roman"/>
          <w:color w:val="auto"/>
          <w:sz w:val="22"/>
          <w:szCs w:val="22"/>
          <w:highlight w:val="none"/>
        </w:rPr>
        <w:t>，</w:t>
      </w:r>
      <w:r>
        <w:rPr>
          <w:rFonts w:hint="default" w:ascii="Times New Roman" w:hAnsi="Times New Roman"/>
          <w:color w:val="auto"/>
          <w:sz w:val="22"/>
          <w:szCs w:val="22"/>
          <w:highlight w:val="none"/>
        </w:rPr>
        <w:t>并结合本次采购项目的实际情况，谈判小组由采购人的代表</w:t>
      </w:r>
      <w:r>
        <w:rPr>
          <w:rFonts w:ascii="Times New Roman" w:hAnsi="Times New Roman"/>
          <w:color w:val="auto"/>
          <w:sz w:val="22"/>
          <w:szCs w:val="22"/>
          <w:highlight w:val="none"/>
        </w:rPr>
        <w:t>（或采购人委托的代表）</w:t>
      </w:r>
      <w:r>
        <w:rPr>
          <w:rFonts w:hint="default" w:ascii="Times New Roman" w:hAnsi="Times New Roman"/>
          <w:color w:val="auto"/>
          <w:sz w:val="22"/>
          <w:szCs w:val="22"/>
          <w:highlight w:val="none"/>
        </w:rPr>
        <w:t>和有关方面的专家三人以上的单数组成，其中专家人数不少于成员总数的三分之二，负责本次采购项目的竞争性谈判和评审工作。</w:t>
      </w:r>
    </w:p>
    <w:p>
      <w:pPr>
        <w:snapToGrid w:val="false"/>
        <w:spacing w:line="360" w:lineRule="auto"/>
        <w:rPr>
          <w:color w:val="auto"/>
          <w:sz w:val="22"/>
          <w:szCs w:val="22"/>
          <w:highlight w:val="none"/>
        </w:rPr>
      </w:pPr>
      <w:r>
        <w:rPr>
          <w:color w:val="auto"/>
          <w:sz w:val="22"/>
          <w:szCs w:val="22"/>
          <w:highlight w:val="none"/>
        </w:rPr>
        <w:t>2、谈判组织</w:t>
      </w:r>
    </w:p>
    <w:p>
      <w:pPr>
        <w:pStyle w:val="23"/>
        <w:snapToGrid w:val="false"/>
        <w:spacing w:line="360" w:lineRule="auto"/>
        <w:ind w:firstLine="440" w:firstLineChars="200"/>
        <w:rPr>
          <w:rFonts w:hint="default" w:ascii="Times New Roman" w:hAnsi="Times New Roman"/>
          <w:color w:val="auto"/>
          <w:sz w:val="22"/>
          <w:szCs w:val="22"/>
          <w:highlight w:val="none"/>
          <w:lang w:val="zh-CN"/>
        </w:rPr>
      </w:pPr>
      <w:r>
        <w:rPr>
          <w:rFonts w:hint="default" w:ascii="Times New Roman" w:hAnsi="Times New Roman"/>
          <w:color w:val="auto"/>
          <w:sz w:val="22"/>
          <w:szCs w:val="22"/>
          <w:highlight w:val="none"/>
          <w:lang w:val="zh-CN"/>
        </w:rPr>
        <w:t>谈判工作由采购代理机构组织，具体谈判事务由依法组建的谈判小组负责。</w:t>
      </w:r>
    </w:p>
    <w:p>
      <w:pPr>
        <w:keepNext w:val="false"/>
        <w:keepLines w:val="false"/>
        <w:pageBreakBefore w:val="false"/>
        <w:kinsoku/>
        <w:wordWrap/>
        <w:overflowPunct/>
        <w:topLinePunct w:val="false"/>
        <w:bidi w:val="false"/>
        <w:spacing w:line="300" w:lineRule="auto"/>
        <w:ind w:firstLine="330" w:firstLineChars="150"/>
        <w:textAlignment w:val="auto"/>
        <w:outlineLvl w:val="9"/>
        <w:rPr>
          <w:rFonts w:hAnsi="宋体"/>
          <w:color w:val="auto"/>
          <w:sz w:val="22"/>
          <w:szCs w:val="22"/>
          <w:highlight w:val="none"/>
        </w:rPr>
      </w:pPr>
      <w:r>
        <w:rPr>
          <w:rFonts w:hint="eastAsia" w:hAnsi="宋体"/>
          <w:color w:val="auto"/>
          <w:sz w:val="22"/>
          <w:szCs w:val="22"/>
          <w:highlight w:val="none"/>
        </w:rPr>
        <w:t>3、资格审查</w:t>
      </w:r>
    </w:p>
    <w:p>
      <w:pPr>
        <w:pStyle w:val="23"/>
        <w:keepNext w:val="false"/>
        <w:keepLines w:val="false"/>
        <w:pageBreakBefore w:val="false"/>
        <w:kinsoku/>
        <w:wordWrap/>
        <w:overflowPunct/>
        <w:topLinePunct w:val="false"/>
        <w:bidi w:val="false"/>
        <w:snapToGrid w:val="false"/>
        <w:spacing w:line="360" w:lineRule="auto"/>
        <w:ind w:firstLine="440" w:firstLineChars="200"/>
        <w:textAlignment w:val="auto"/>
        <w:outlineLvl w:val="9"/>
        <w:rPr>
          <w:rFonts w:hint="default" w:ascii="Times New Roman" w:hAnsi="Times New Roman"/>
          <w:color w:val="auto"/>
          <w:sz w:val="22"/>
          <w:szCs w:val="22"/>
          <w:highlight w:val="none"/>
          <w:lang w:val="zh-CN"/>
        </w:rPr>
      </w:pPr>
      <w:r>
        <w:rPr>
          <w:rFonts w:ascii="Times New Roman" w:hAnsi="Times New Roman"/>
          <w:color w:val="auto"/>
          <w:sz w:val="22"/>
          <w:szCs w:val="22"/>
          <w:highlight w:val="none"/>
          <w:lang w:val="zh-CN"/>
        </w:rPr>
        <w:t>3.1在供应商递交响应文件截止时间结束后，</w:t>
      </w:r>
      <w:r>
        <w:rPr>
          <w:rFonts w:ascii="Times New Roman" w:hAnsi="Times New Roman"/>
          <w:color w:val="auto"/>
          <w:sz w:val="22"/>
          <w:szCs w:val="22"/>
          <w:highlight w:val="none"/>
        </w:rPr>
        <w:t>谈判小组</w:t>
      </w:r>
      <w:r>
        <w:rPr>
          <w:rFonts w:ascii="Times New Roman" w:hAnsi="Times New Roman"/>
          <w:color w:val="auto"/>
          <w:sz w:val="22"/>
          <w:szCs w:val="22"/>
          <w:highlight w:val="none"/>
          <w:lang w:val="zh-CN"/>
        </w:rPr>
        <w:t>对递交响应文件的供应商进行资格审查，确定邀请参加</w:t>
      </w:r>
      <w:r>
        <w:rPr>
          <w:rFonts w:ascii="Times New Roman" w:hAnsi="Times New Roman"/>
          <w:color w:val="auto"/>
          <w:sz w:val="22"/>
          <w:szCs w:val="22"/>
          <w:highlight w:val="none"/>
        </w:rPr>
        <w:t>谈判</w:t>
      </w:r>
      <w:r>
        <w:rPr>
          <w:rFonts w:ascii="Times New Roman" w:hAnsi="Times New Roman"/>
          <w:color w:val="auto"/>
          <w:sz w:val="22"/>
          <w:szCs w:val="22"/>
          <w:highlight w:val="none"/>
          <w:lang w:val="zh-CN"/>
        </w:rPr>
        <w:t>的供应商名单。</w:t>
      </w:r>
    </w:p>
    <w:p>
      <w:pPr>
        <w:pStyle w:val="23"/>
        <w:keepNext w:val="false"/>
        <w:keepLines w:val="false"/>
        <w:pageBreakBefore w:val="false"/>
        <w:kinsoku/>
        <w:wordWrap/>
        <w:overflowPunct/>
        <w:topLinePunct w:val="false"/>
        <w:bidi w:val="false"/>
        <w:snapToGrid w:val="false"/>
        <w:spacing w:line="360" w:lineRule="auto"/>
        <w:ind w:firstLine="440" w:firstLineChars="200"/>
        <w:textAlignment w:val="auto"/>
        <w:outlineLvl w:val="9"/>
        <w:rPr>
          <w:rFonts w:hint="default" w:ascii="Times New Roman" w:hAnsi="Times New Roman"/>
          <w:color w:val="auto"/>
          <w:sz w:val="22"/>
          <w:szCs w:val="22"/>
          <w:highlight w:val="none"/>
          <w:lang w:val="zh-CN"/>
        </w:rPr>
      </w:pPr>
      <w:r>
        <w:rPr>
          <w:rFonts w:ascii="Times New Roman" w:hAnsi="Times New Roman"/>
          <w:color w:val="auto"/>
          <w:sz w:val="22"/>
          <w:szCs w:val="22"/>
          <w:highlight w:val="none"/>
          <w:lang w:val="zh-CN"/>
        </w:rPr>
        <w:t>确定参加</w:t>
      </w:r>
      <w:r>
        <w:rPr>
          <w:rFonts w:ascii="Times New Roman" w:hAnsi="Times New Roman"/>
          <w:color w:val="auto"/>
          <w:sz w:val="22"/>
          <w:szCs w:val="22"/>
          <w:highlight w:val="none"/>
        </w:rPr>
        <w:t>谈判</w:t>
      </w:r>
      <w:r>
        <w:rPr>
          <w:rFonts w:ascii="Times New Roman" w:hAnsi="Times New Roman"/>
          <w:color w:val="auto"/>
          <w:sz w:val="22"/>
          <w:szCs w:val="22"/>
          <w:highlight w:val="none"/>
          <w:lang w:val="zh-CN"/>
        </w:rPr>
        <w:t>的供应商数量采用合格数量制，即</w:t>
      </w:r>
      <w:r>
        <w:rPr>
          <w:rFonts w:ascii="Times New Roman" w:hAnsi="Times New Roman"/>
          <w:color w:val="auto"/>
          <w:sz w:val="22"/>
          <w:szCs w:val="22"/>
          <w:highlight w:val="none"/>
        </w:rPr>
        <w:t>谈判小组</w:t>
      </w:r>
      <w:r>
        <w:rPr>
          <w:rFonts w:ascii="Times New Roman" w:hAnsi="Times New Roman"/>
          <w:color w:val="auto"/>
          <w:sz w:val="22"/>
          <w:szCs w:val="22"/>
          <w:highlight w:val="none"/>
          <w:lang w:val="zh-CN"/>
        </w:rPr>
        <w:t>对各供应商资格审查后，凡符合本竞争性</w:t>
      </w:r>
      <w:r>
        <w:rPr>
          <w:rFonts w:ascii="Times New Roman" w:hAnsi="Times New Roman"/>
          <w:color w:val="auto"/>
          <w:sz w:val="22"/>
          <w:szCs w:val="22"/>
          <w:highlight w:val="none"/>
        </w:rPr>
        <w:t>谈判</w:t>
      </w:r>
      <w:r>
        <w:rPr>
          <w:rFonts w:ascii="Times New Roman" w:hAnsi="Times New Roman"/>
          <w:color w:val="auto"/>
          <w:sz w:val="22"/>
          <w:szCs w:val="22"/>
          <w:highlight w:val="none"/>
          <w:lang w:val="zh-CN"/>
        </w:rPr>
        <w:t>文件规定资格条件的，均进入参加</w:t>
      </w:r>
      <w:r>
        <w:rPr>
          <w:rFonts w:ascii="Times New Roman" w:hAnsi="Times New Roman"/>
          <w:color w:val="auto"/>
          <w:sz w:val="22"/>
          <w:szCs w:val="22"/>
          <w:highlight w:val="none"/>
        </w:rPr>
        <w:t>谈判</w:t>
      </w:r>
      <w:r>
        <w:rPr>
          <w:rFonts w:ascii="Times New Roman" w:hAnsi="Times New Roman"/>
          <w:color w:val="auto"/>
          <w:sz w:val="22"/>
          <w:szCs w:val="22"/>
          <w:highlight w:val="none"/>
          <w:lang w:val="zh-CN"/>
        </w:rPr>
        <w:t>的供应商名单。资格审查结束后，</w:t>
      </w:r>
      <w:r>
        <w:rPr>
          <w:rFonts w:ascii="Times New Roman" w:hAnsi="Times New Roman"/>
          <w:color w:val="auto"/>
          <w:sz w:val="22"/>
          <w:szCs w:val="22"/>
          <w:highlight w:val="none"/>
        </w:rPr>
        <w:t>谈判小组</w:t>
      </w:r>
      <w:r>
        <w:rPr>
          <w:rFonts w:ascii="Times New Roman" w:hAnsi="Times New Roman"/>
          <w:color w:val="auto"/>
          <w:sz w:val="22"/>
          <w:szCs w:val="22"/>
          <w:highlight w:val="none"/>
          <w:lang w:val="zh-CN"/>
        </w:rPr>
        <w:t>出具资格审查报告，确定参加</w:t>
      </w:r>
      <w:r>
        <w:rPr>
          <w:rFonts w:ascii="Times New Roman" w:hAnsi="Times New Roman"/>
          <w:color w:val="auto"/>
          <w:sz w:val="22"/>
          <w:szCs w:val="22"/>
          <w:highlight w:val="none"/>
        </w:rPr>
        <w:t>谈判</w:t>
      </w:r>
      <w:r>
        <w:rPr>
          <w:rFonts w:ascii="Times New Roman" w:hAnsi="Times New Roman"/>
          <w:color w:val="auto"/>
          <w:sz w:val="22"/>
          <w:szCs w:val="22"/>
          <w:highlight w:val="none"/>
          <w:lang w:val="zh-CN"/>
        </w:rPr>
        <w:t>的供应商名单。没有通过资格审查的供应商，应在资格审查报告中说明原因。</w:t>
      </w:r>
    </w:p>
    <w:p>
      <w:pPr>
        <w:pStyle w:val="23"/>
        <w:snapToGrid w:val="false"/>
        <w:spacing w:line="360" w:lineRule="auto"/>
        <w:ind w:firstLine="440" w:firstLineChars="200"/>
        <w:rPr>
          <w:rFonts w:hint="default" w:ascii="Times New Roman" w:hAnsi="Times New Roman"/>
          <w:color w:val="auto"/>
          <w:sz w:val="22"/>
          <w:szCs w:val="22"/>
          <w:highlight w:val="none"/>
          <w:lang w:val="zh-CN"/>
        </w:rPr>
      </w:pPr>
      <w:r>
        <w:rPr>
          <w:rFonts w:ascii="Times New Roman" w:hAnsi="Times New Roman"/>
          <w:color w:val="auto"/>
          <w:sz w:val="22"/>
          <w:szCs w:val="22"/>
          <w:highlight w:val="none"/>
          <w:lang w:val="zh-CN"/>
        </w:rPr>
        <w:t>3.2</w:t>
      </w:r>
      <w:r>
        <w:rPr>
          <w:rFonts w:ascii="Times New Roman" w:hAnsi="Times New Roman"/>
          <w:color w:val="auto"/>
          <w:sz w:val="22"/>
          <w:szCs w:val="22"/>
          <w:highlight w:val="none"/>
        </w:rPr>
        <w:t>谈判小组</w:t>
      </w:r>
      <w:r>
        <w:rPr>
          <w:rFonts w:ascii="Times New Roman" w:hAnsi="Times New Roman"/>
          <w:color w:val="auto"/>
          <w:sz w:val="22"/>
          <w:szCs w:val="22"/>
          <w:highlight w:val="none"/>
          <w:lang w:val="zh-CN"/>
        </w:rPr>
        <w:t>出具资格审查报告后，代理机构当场向所有递交响应文件的供应商宣布通过及未通过资格审查的供应商名单。</w:t>
      </w:r>
    </w:p>
    <w:p>
      <w:pPr>
        <w:pStyle w:val="23"/>
        <w:snapToGrid w:val="false"/>
        <w:spacing w:line="360" w:lineRule="auto"/>
        <w:ind w:firstLine="440" w:firstLineChars="200"/>
        <w:rPr>
          <w:rFonts w:hint="default" w:ascii="Times New Roman" w:hAnsi="Times New Roman"/>
          <w:color w:val="auto"/>
          <w:sz w:val="22"/>
          <w:szCs w:val="22"/>
          <w:highlight w:val="none"/>
          <w:lang w:val="zh-CN"/>
        </w:rPr>
      </w:pPr>
      <w:r>
        <w:rPr>
          <w:rFonts w:ascii="Times New Roman" w:hAnsi="Times New Roman"/>
          <w:color w:val="auto"/>
          <w:sz w:val="22"/>
          <w:szCs w:val="22"/>
          <w:highlight w:val="none"/>
          <w:lang w:val="zh-CN"/>
        </w:rPr>
        <w:t>3.3通过资格审查的供应商不足三家的，本次竞争性</w:t>
      </w:r>
      <w:r>
        <w:rPr>
          <w:rFonts w:ascii="Times New Roman" w:hAnsi="Times New Roman"/>
          <w:color w:val="auto"/>
          <w:sz w:val="22"/>
          <w:szCs w:val="22"/>
          <w:highlight w:val="none"/>
        </w:rPr>
        <w:t>谈判</w:t>
      </w:r>
      <w:r>
        <w:rPr>
          <w:rFonts w:ascii="Times New Roman" w:hAnsi="Times New Roman"/>
          <w:color w:val="auto"/>
          <w:sz w:val="22"/>
          <w:szCs w:val="22"/>
          <w:highlight w:val="none"/>
          <w:lang w:val="zh-CN"/>
        </w:rPr>
        <w:t>采购活动终止。</w:t>
      </w:r>
    </w:p>
    <w:p>
      <w:pPr>
        <w:snapToGrid w:val="false"/>
        <w:spacing w:line="360" w:lineRule="auto"/>
        <w:rPr>
          <w:color w:val="auto"/>
          <w:sz w:val="22"/>
          <w:szCs w:val="22"/>
          <w:highlight w:val="none"/>
        </w:rPr>
      </w:pPr>
      <w:r>
        <w:rPr>
          <w:rFonts w:hint="eastAsia"/>
          <w:color w:val="auto"/>
          <w:sz w:val="22"/>
          <w:szCs w:val="22"/>
          <w:highlight w:val="none"/>
        </w:rPr>
        <w:t>4</w:t>
      </w:r>
      <w:r>
        <w:rPr>
          <w:color w:val="auto"/>
          <w:sz w:val="22"/>
          <w:szCs w:val="22"/>
          <w:highlight w:val="none"/>
        </w:rPr>
        <w:t>、谈判程序</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ascii="Times New Roman" w:hAnsi="Times New Roman"/>
          <w:color w:val="auto"/>
          <w:sz w:val="22"/>
          <w:szCs w:val="22"/>
          <w:highlight w:val="none"/>
        </w:rPr>
        <w:t>4.1</w:t>
      </w:r>
      <w:r>
        <w:rPr>
          <w:rFonts w:hint="default" w:ascii="Times New Roman" w:hAnsi="Times New Roman"/>
          <w:color w:val="auto"/>
          <w:sz w:val="22"/>
          <w:szCs w:val="22"/>
          <w:highlight w:val="none"/>
        </w:rPr>
        <w:t>采购</w:t>
      </w:r>
      <w:r>
        <w:rPr>
          <w:rFonts w:hint="default" w:ascii="Times New Roman" w:hAnsi="Times New Roman"/>
          <w:color w:val="auto"/>
          <w:sz w:val="22"/>
          <w:szCs w:val="22"/>
          <w:highlight w:val="none"/>
          <w:lang w:val="zh-CN"/>
        </w:rPr>
        <w:t>代理机构</w:t>
      </w:r>
      <w:r>
        <w:rPr>
          <w:rFonts w:hint="default" w:ascii="Times New Roman" w:hAnsi="Times New Roman"/>
          <w:color w:val="auto"/>
          <w:sz w:val="22"/>
          <w:szCs w:val="22"/>
          <w:highlight w:val="none"/>
        </w:rPr>
        <w:t>组织谈判小组成员按谈判文件规定对已经通过资格</w:t>
      </w:r>
      <w:r>
        <w:rPr>
          <w:rFonts w:ascii="Times New Roman" w:hAnsi="Times New Roman"/>
          <w:color w:val="auto"/>
          <w:sz w:val="22"/>
          <w:szCs w:val="22"/>
          <w:highlight w:val="none"/>
        </w:rPr>
        <w:t>审查</w:t>
      </w:r>
      <w:r>
        <w:rPr>
          <w:rFonts w:hint="default" w:ascii="Times New Roman" w:hAnsi="Times New Roman"/>
          <w:color w:val="auto"/>
          <w:sz w:val="22"/>
          <w:szCs w:val="22"/>
          <w:highlight w:val="none"/>
        </w:rPr>
        <w:t>的供应商响应文件进行评审，并根据谈判文件规定的程序、评定成交的标准等事项与实质性响应谈判文件要求的供应商进行谈判，谈判的顺序以现场抽签的方式确定。谈判小组所有成员将集中与单一供应商分别进行谈判，并给予所有参加谈判的供应商平等的谈判机会。</w:t>
      </w:r>
    </w:p>
    <w:p>
      <w:pPr>
        <w:pStyle w:val="23"/>
        <w:snapToGrid w:val="false"/>
        <w:spacing w:line="360" w:lineRule="auto"/>
        <w:ind w:firstLine="440" w:firstLineChars="200"/>
        <w:rPr>
          <w:rFonts w:hint="default" w:ascii="Times New Roman" w:hAnsi="Times New Roman"/>
          <w:color w:val="auto"/>
          <w:sz w:val="22"/>
          <w:szCs w:val="22"/>
          <w:highlight w:val="none"/>
          <w:lang w:val="zh-CN"/>
        </w:rPr>
      </w:pPr>
      <w:r>
        <w:rPr>
          <w:rFonts w:ascii="Times New Roman" w:hAnsi="Times New Roman"/>
          <w:color w:val="auto"/>
          <w:sz w:val="22"/>
          <w:szCs w:val="22"/>
          <w:highlight w:val="none"/>
        </w:rPr>
        <w:t>4.2谈判</w:t>
      </w:r>
      <w:r>
        <w:rPr>
          <w:rFonts w:hint="default" w:ascii="Times New Roman" w:hAnsi="Times New Roman"/>
          <w:color w:val="auto"/>
          <w:sz w:val="22"/>
          <w:szCs w:val="22"/>
          <w:highlight w:val="none"/>
        </w:rPr>
        <w:t>过程中，</w:t>
      </w:r>
      <w:r>
        <w:rPr>
          <w:rFonts w:ascii="Times New Roman" w:hAnsi="Times New Roman"/>
          <w:color w:val="auto"/>
          <w:sz w:val="22"/>
          <w:szCs w:val="22"/>
          <w:highlight w:val="none"/>
          <w:lang w:val="zh-CN"/>
        </w:rPr>
        <w:t>谈判</w:t>
      </w:r>
      <w:r>
        <w:rPr>
          <w:rFonts w:hint="default" w:ascii="Times New Roman" w:hAnsi="Times New Roman"/>
          <w:color w:val="auto"/>
          <w:sz w:val="22"/>
          <w:szCs w:val="22"/>
          <w:highlight w:val="none"/>
          <w:lang w:val="zh-CN"/>
        </w:rPr>
        <w:t>小组对所有响应文件的有效性、完整性和响应程度进行审查（符合性审查），审查中发现供应商响应文件属于下列情况之一的，应按照无效响应文件处理：</w:t>
      </w:r>
    </w:p>
    <w:p>
      <w:pPr>
        <w:pStyle w:val="23"/>
        <w:snapToGrid w:val="false"/>
        <w:spacing w:line="360" w:lineRule="auto"/>
        <w:ind w:firstLine="440" w:firstLineChars="200"/>
        <w:rPr>
          <w:rFonts w:hint="default" w:ascii="Times New Roman" w:hAnsi="Times New Roman"/>
          <w:color w:val="auto"/>
          <w:sz w:val="22"/>
          <w:szCs w:val="22"/>
          <w:highlight w:val="none"/>
          <w:lang w:val="zh-CN"/>
        </w:rPr>
      </w:pPr>
      <w:r>
        <w:rPr>
          <w:rFonts w:hint="default" w:ascii="Times New Roman" w:hAnsi="Times New Roman"/>
          <w:color w:val="auto"/>
          <w:sz w:val="22"/>
          <w:szCs w:val="22"/>
          <w:highlight w:val="none"/>
          <w:lang w:val="zh-CN"/>
        </w:rPr>
        <w:t>（1）响应文件组成明显不符合文件的规定要求，影响评审委员会评判的</w:t>
      </w:r>
      <w:r>
        <w:rPr>
          <w:rFonts w:ascii="Times New Roman" w:hAnsi="Times New Roman"/>
          <w:color w:val="auto"/>
          <w:sz w:val="22"/>
          <w:szCs w:val="22"/>
          <w:highlight w:val="none"/>
          <w:lang w:val="zh-CN"/>
        </w:rPr>
        <w:t>；</w:t>
      </w:r>
    </w:p>
    <w:p>
      <w:pPr>
        <w:pStyle w:val="23"/>
        <w:snapToGrid w:val="false"/>
        <w:spacing w:line="360" w:lineRule="auto"/>
        <w:ind w:firstLine="440" w:firstLineChars="200"/>
        <w:rPr>
          <w:rFonts w:hint="default" w:ascii="Times New Roman" w:hAnsi="Times New Roman"/>
          <w:color w:val="auto"/>
          <w:sz w:val="22"/>
          <w:szCs w:val="22"/>
          <w:highlight w:val="none"/>
          <w:lang w:val="zh-CN"/>
        </w:rPr>
      </w:pPr>
      <w:r>
        <w:rPr>
          <w:rFonts w:hint="default" w:ascii="Times New Roman" w:hAnsi="Times New Roman"/>
          <w:color w:val="auto"/>
          <w:sz w:val="22"/>
          <w:szCs w:val="22"/>
          <w:highlight w:val="none"/>
          <w:lang w:val="zh-CN"/>
        </w:rPr>
        <w:t>（</w:t>
      </w:r>
      <w:r>
        <w:rPr>
          <w:rFonts w:hint="default" w:ascii="Times New Roman" w:hAnsi="Times New Roman"/>
          <w:color w:val="auto"/>
          <w:sz w:val="22"/>
          <w:szCs w:val="22"/>
          <w:highlight w:val="none"/>
        </w:rPr>
        <w:t>2</w:t>
      </w:r>
      <w:r>
        <w:rPr>
          <w:rFonts w:hint="default" w:ascii="Times New Roman" w:hAnsi="Times New Roman"/>
          <w:color w:val="auto"/>
          <w:sz w:val="22"/>
          <w:szCs w:val="22"/>
          <w:highlight w:val="none"/>
          <w:lang w:val="zh-CN"/>
        </w:rPr>
        <w:t>）响应文件的语言、计量单位、报价货币、知识产权、响应有效期等不符合采购文件的规定，影响</w:t>
      </w:r>
      <w:r>
        <w:rPr>
          <w:rFonts w:ascii="Times New Roman" w:hAnsi="Times New Roman"/>
          <w:color w:val="auto"/>
          <w:sz w:val="22"/>
          <w:szCs w:val="22"/>
          <w:highlight w:val="none"/>
          <w:lang w:val="zh-CN"/>
        </w:rPr>
        <w:t>谈判</w:t>
      </w:r>
      <w:r>
        <w:rPr>
          <w:rFonts w:hint="default" w:ascii="Times New Roman" w:hAnsi="Times New Roman"/>
          <w:color w:val="auto"/>
          <w:sz w:val="22"/>
          <w:szCs w:val="22"/>
          <w:highlight w:val="none"/>
          <w:lang w:val="zh-CN"/>
        </w:rPr>
        <w:t>小组评判的；</w:t>
      </w:r>
    </w:p>
    <w:p>
      <w:pPr>
        <w:pStyle w:val="23"/>
        <w:snapToGrid w:val="false"/>
        <w:spacing w:line="360" w:lineRule="auto"/>
        <w:ind w:firstLine="440" w:firstLineChars="200"/>
        <w:rPr>
          <w:rFonts w:hint="default" w:ascii="Times New Roman" w:hAnsi="Times New Roman"/>
          <w:color w:val="auto"/>
          <w:sz w:val="22"/>
          <w:szCs w:val="22"/>
          <w:highlight w:val="none"/>
          <w:lang w:val="zh-CN"/>
        </w:rPr>
      </w:pPr>
      <w:r>
        <w:rPr>
          <w:rFonts w:hint="default" w:ascii="Times New Roman" w:hAnsi="Times New Roman"/>
          <w:color w:val="auto"/>
          <w:sz w:val="22"/>
          <w:szCs w:val="22"/>
          <w:highlight w:val="none"/>
          <w:lang w:val="zh-CN"/>
        </w:rPr>
        <w:t>（</w:t>
      </w:r>
      <w:r>
        <w:rPr>
          <w:rFonts w:hint="default" w:ascii="Times New Roman" w:hAnsi="Times New Roman"/>
          <w:color w:val="auto"/>
          <w:sz w:val="22"/>
          <w:szCs w:val="22"/>
          <w:highlight w:val="none"/>
        </w:rPr>
        <w:t>3</w:t>
      </w:r>
      <w:r>
        <w:rPr>
          <w:rFonts w:hint="default" w:ascii="Times New Roman" w:hAnsi="Times New Roman"/>
          <w:color w:val="auto"/>
          <w:sz w:val="22"/>
          <w:szCs w:val="22"/>
          <w:highlight w:val="none"/>
          <w:lang w:val="zh-CN"/>
        </w:rPr>
        <w:t>）最后报价超过采购文件规定的最高限价</w:t>
      </w:r>
      <w:r>
        <w:rPr>
          <w:rFonts w:hint="eastAsia" w:ascii="Times New Roman" w:hAnsi="Times New Roman"/>
          <w:color w:val="auto"/>
          <w:sz w:val="22"/>
          <w:szCs w:val="22"/>
          <w:highlight w:val="none"/>
          <w:lang w:val="zh-CN"/>
        </w:rPr>
        <w:t>（下浮率）</w:t>
      </w:r>
      <w:r>
        <w:rPr>
          <w:rFonts w:hint="default" w:ascii="Times New Roman" w:hAnsi="Times New Roman"/>
          <w:color w:val="auto"/>
          <w:sz w:val="22"/>
          <w:szCs w:val="22"/>
          <w:highlight w:val="none"/>
          <w:lang w:val="zh-CN"/>
        </w:rPr>
        <w:t>或者相关报价不符合采购文件其他的报价规定的；</w:t>
      </w:r>
    </w:p>
    <w:p>
      <w:pPr>
        <w:pStyle w:val="23"/>
        <w:snapToGrid w:val="false"/>
        <w:spacing w:line="360" w:lineRule="auto"/>
        <w:ind w:firstLine="440" w:firstLineChars="200"/>
        <w:rPr>
          <w:rFonts w:hint="default" w:ascii="Times New Roman" w:hAnsi="Times New Roman"/>
          <w:color w:val="auto"/>
          <w:sz w:val="22"/>
          <w:szCs w:val="22"/>
          <w:highlight w:val="none"/>
          <w:lang w:val="zh-CN"/>
        </w:rPr>
      </w:pPr>
      <w:r>
        <w:rPr>
          <w:rFonts w:hint="default" w:ascii="Times New Roman" w:hAnsi="Times New Roman"/>
          <w:color w:val="auto"/>
          <w:sz w:val="22"/>
          <w:szCs w:val="22"/>
          <w:highlight w:val="none"/>
          <w:lang w:val="zh-CN"/>
        </w:rPr>
        <w:t>（4）经最终</w:t>
      </w:r>
      <w:r>
        <w:rPr>
          <w:rFonts w:ascii="Times New Roman" w:hAnsi="Times New Roman"/>
          <w:color w:val="auto"/>
          <w:sz w:val="22"/>
          <w:szCs w:val="22"/>
          <w:highlight w:val="none"/>
          <w:lang w:val="zh-CN"/>
        </w:rPr>
        <w:t>谈判</w:t>
      </w:r>
      <w:r>
        <w:rPr>
          <w:rFonts w:hint="default" w:ascii="Times New Roman" w:hAnsi="Times New Roman"/>
          <w:color w:val="auto"/>
          <w:sz w:val="22"/>
          <w:szCs w:val="22"/>
          <w:highlight w:val="none"/>
          <w:lang w:val="zh-CN"/>
        </w:rPr>
        <w:t>后，供应商的响应文件仍不能完全响应采购文件的实质性要求的；</w:t>
      </w:r>
    </w:p>
    <w:p>
      <w:pPr>
        <w:pStyle w:val="23"/>
        <w:snapToGrid w:val="false"/>
        <w:spacing w:line="360" w:lineRule="auto"/>
        <w:ind w:firstLine="440" w:firstLineChars="200"/>
        <w:rPr>
          <w:rFonts w:hint="default" w:ascii="Times New Roman" w:hAnsi="Times New Roman"/>
          <w:color w:val="auto"/>
          <w:sz w:val="22"/>
          <w:szCs w:val="22"/>
          <w:highlight w:val="none"/>
          <w:lang w:val="zh-CN"/>
        </w:rPr>
      </w:pPr>
      <w:r>
        <w:rPr>
          <w:rFonts w:hint="default" w:ascii="Times New Roman" w:hAnsi="Times New Roman"/>
          <w:color w:val="auto"/>
          <w:sz w:val="22"/>
          <w:szCs w:val="22"/>
          <w:highlight w:val="none"/>
          <w:lang w:val="zh-CN"/>
        </w:rPr>
        <w:t>（5）</w:t>
      </w:r>
      <w:r>
        <w:rPr>
          <w:rFonts w:ascii="Times New Roman" w:hAnsi="Times New Roman"/>
          <w:color w:val="auto"/>
          <w:sz w:val="22"/>
          <w:szCs w:val="22"/>
          <w:highlight w:val="none"/>
          <w:lang w:val="zh-CN"/>
        </w:rPr>
        <w:t>谈判</w:t>
      </w:r>
      <w:r>
        <w:rPr>
          <w:rFonts w:hint="default" w:ascii="Times New Roman" w:hAnsi="Times New Roman"/>
          <w:color w:val="auto"/>
          <w:sz w:val="22"/>
          <w:szCs w:val="22"/>
          <w:highlight w:val="none"/>
          <w:lang w:val="zh-CN"/>
        </w:rPr>
        <w:t>小组认为供应商报价明显低于成本价，在</w:t>
      </w:r>
      <w:r>
        <w:rPr>
          <w:rFonts w:ascii="Times New Roman" w:hAnsi="Times New Roman"/>
          <w:color w:val="auto"/>
          <w:sz w:val="22"/>
          <w:szCs w:val="22"/>
          <w:highlight w:val="none"/>
          <w:lang w:val="zh-CN"/>
        </w:rPr>
        <w:t>谈判</w:t>
      </w:r>
      <w:r>
        <w:rPr>
          <w:rFonts w:hint="default" w:ascii="Times New Roman" w:hAnsi="Times New Roman"/>
          <w:color w:val="auto"/>
          <w:sz w:val="22"/>
          <w:szCs w:val="22"/>
          <w:highlight w:val="none"/>
          <w:lang w:val="zh-CN"/>
        </w:rPr>
        <w:t>小组发出质询函后供应商未能提供合理的成本分析和价格构成的或对质函询的解释未被</w:t>
      </w:r>
      <w:r>
        <w:rPr>
          <w:rFonts w:ascii="Times New Roman" w:hAnsi="Times New Roman"/>
          <w:color w:val="auto"/>
          <w:sz w:val="22"/>
          <w:szCs w:val="22"/>
          <w:highlight w:val="none"/>
          <w:lang w:val="zh-CN"/>
        </w:rPr>
        <w:t>谈判</w:t>
      </w:r>
      <w:r>
        <w:rPr>
          <w:rFonts w:hint="default" w:ascii="Times New Roman" w:hAnsi="Times New Roman"/>
          <w:color w:val="auto"/>
          <w:sz w:val="22"/>
          <w:szCs w:val="22"/>
          <w:highlight w:val="none"/>
          <w:lang w:val="zh-CN"/>
        </w:rPr>
        <w:t>小组采信的。</w:t>
      </w:r>
    </w:p>
    <w:p>
      <w:pPr>
        <w:pStyle w:val="23"/>
        <w:snapToGrid w:val="false"/>
        <w:spacing w:line="360" w:lineRule="auto"/>
        <w:ind w:firstLine="440" w:firstLineChars="200"/>
        <w:rPr>
          <w:rFonts w:hint="default" w:ascii="Times New Roman" w:hAnsi="Times New Roman"/>
          <w:color w:val="auto"/>
          <w:sz w:val="22"/>
          <w:szCs w:val="22"/>
          <w:highlight w:val="none"/>
          <w:lang w:val="zh-CN"/>
        </w:rPr>
      </w:pPr>
      <w:r>
        <w:rPr>
          <w:rFonts w:ascii="Times New Roman" w:hAnsi="Times New Roman"/>
          <w:color w:val="auto"/>
          <w:sz w:val="22"/>
          <w:szCs w:val="22"/>
          <w:highlight w:val="none"/>
          <w:lang w:val="zh-CN"/>
        </w:rPr>
        <w:t>谈判</w:t>
      </w:r>
      <w:r>
        <w:rPr>
          <w:rFonts w:hint="default" w:ascii="Times New Roman" w:hAnsi="Times New Roman"/>
          <w:color w:val="auto"/>
          <w:sz w:val="22"/>
          <w:szCs w:val="22"/>
          <w:highlight w:val="none"/>
          <w:lang w:val="zh-CN"/>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注：</w:t>
      </w:r>
      <w:r>
        <w:rPr>
          <w:rFonts w:ascii="Times New Roman" w:hAnsi="Times New Roman"/>
          <w:color w:val="auto"/>
          <w:sz w:val="22"/>
          <w:szCs w:val="22"/>
          <w:highlight w:val="none"/>
          <w:lang w:val="zh-CN"/>
        </w:rPr>
        <w:t>谈判</w:t>
      </w:r>
      <w:r>
        <w:rPr>
          <w:rFonts w:hint="default" w:ascii="Times New Roman" w:hAnsi="Times New Roman"/>
          <w:color w:val="auto"/>
          <w:sz w:val="22"/>
          <w:szCs w:val="22"/>
          <w:highlight w:val="none"/>
          <w:lang w:val="zh-CN"/>
        </w:rPr>
        <w:t>小组要求供应商澄清、说明或者更正响应文件应当以书面形式作出。供应商的澄清、说明或者更正应当由法定代表人/单位负责人或其授权代表签字或者加盖公章。由授权代表签字的，应当附法定代表人/单位负责人授权书。供应商为自然人的，应当由本人签字并附身份证明。）</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ascii="Times New Roman" w:hAnsi="Times New Roman"/>
          <w:color w:val="auto"/>
          <w:sz w:val="22"/>
          <w:szCs w:val="22"/>
          <w:highlight w:val="none"/>
        </w:rPr>
        <w:t>谈判</w:t>
      </w:r>
      <w:r>
        <w:rPr>
          <w:rFonts w:hint="default" w:ascii="Times New Roman" w:hAnsi="Times New Roman"/>
          <w:color w:val="auto"/>
          <w:sz w:val="22"/>
          <w:szCs w:val="22"/>
          <w:highlight w:val="none"/>
        </w:rPr>
        <w:t>小组符合性审查结束后，向采购</w:t>
      </w:r>
      <w:r>
        <w:rPr>
          <w:rFonts w:hint="default" w:ascii="Times New Roman" w:hAnsi="Times New Roman"/>
          <w:color w:val="auto"/>
          <w:sz w:val="22"/>
          <w:szCs w:val="22"/>
          <w:highlight w:val="none"/>
          <w:lang w:val="zh-CN"/>
        </w:rPr>
        <w:t>代理机构</w:t>
      </w:r>
      <w:r>
        <w:rPr>
          <w:rFonts w:hint="default" w:ascii="Times New Roman" w:hAnsi="Times New Roman"/>
          <w:color w:val="auto"/>
          <w:sz w:val="22"/>
          <w:szCs w:val="22"/>
          <w:highlight w:val="none"/>
        </w:rPr>
        <w:t>出具符合性审查报告，确定继续</w:t>
      </w:r>
      <w:r>
        <w:rPr>
          <w:rFonts w:ascii="Times New Roman" w:hAnsi="Times New Roman"/>
          <w:color w:val="auto"/>
          <w:sz w:val="22"/>
          <w:szCs w:val="22"/>
          <w:highlight w:val="none"/>
        </w:rPr>
        <w:t>谈判</w:t>
      </w:r>
      <w:r>
        <w:rPr>
          <w:rFonts w:hint="default" w:ascii="Times New Roman" w:hAnsi="Times New Roman"/>
          <w:color w:val="auto"/>
          <w:sz w:val="22"/>
          <w:szCs w:val="22"/>
          <w:highlight w:val="none"/>
        </w:rPr>
        <w:t>的供应商名单。没有通过符合性审查的供应商，</w:t>
      </w:r>
      <w:r>
        <w:rPr>
          <w:rFonts w:ascii="Times New Roman" w:hAnsi="Times New Roman"/>
          <w:color w:val="auto"/>
          <w:sz w:val="22"/>
          <w:szCs w:val="22"/>
          <w:highlight w:val="none"/>
        </w:rPr>
        <w:t>谈判</w:t>
      </w:r>
      <w:r>
        <w:rPr>
          <w:rFonts w:hint="default" w:ascii="Times New Roman" w:hAnsi="Times New Roman"/>
          <w:color w:val="auto"/>
          <w:sz w:val="22"/>
          <w:szCs w:val="22"/>
          <w:highlight w:val="none"/>
        </w:rPr>
        <w:t>小组应在符合性审查报告中说明原因。</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ascii="Times New Roman" w:hAnsi="Times New Roman"/>
          <w:color w:val="auto"/>
          <w:sz w:val="22"/>
          <w:szCs w:val="22"/>
          <w:highlight w:val="none"/>
        </w:rPr>
        <w:t>4.3</w:t>
      </w:r>
      <w:r>
        <w:rPr>
          <w:rFonts w:hint="default" w:ascii="Times New Roman" w:hAnsi="Times New Roman"/>
          <w:color w:val="auto"/>
          <w:sz w:val="22"/>
          <w:szCs w:val="22"/>
          <w:highlight w:val="none"/>
        </w:rPr>
        <w:t>通过符合性审查的供应商不足三家的，本次竞争性</w:t>
      </w:r>
      <w:r>
        <w:rPr>
          <w:rFonts w:ascii="Times New Roman" w:hAnsi="Times New Roman"/>
          <w:color w:val="auto"/>
          <w:sz w:val="22"/>
          <w:szCs w:val="22"/>
          <w:highlight w:val="none"/>
        </w:rPr>
        <w:t>谈判</w:t>
      </w:r>
      <w:r>
        <w:rPr>
          <w:rFonts w:hint="default" w:ascii="Times New Roman" w:hAnsi="Times New Roman"/>
          <w:color w:val="auto"/>
          <w:sz w:val="22"/>
          <w:szCs w:val="22"/>
          <w:highlight w:val="none"/>
        </w:rPr>
        <w:t>采购活动终止。</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ascii="Times New Roman" w:hAnsi="Times New Roman"/>
          <w:color w:val="auto"/>
          <w:sz w:val="22"/>
          <w:szCs w:val="22"/>
          <w:highlight w:val="none"/>
        </w:rPr>
        <w:t>4.4本项目谈判轮次为两轮及以上谈判。</w:t>
      </w:r>
      <w:r>
        <w:rPr>
          <w:rFonts w:hint="default" w:ascii="Times New Roman" w:hAnsi="Times New Roman"/>
          <w:color w:val="auto"/>
          <w:sz w:val="22"/>
          <w:szCs w:val="22"/>
          <w:highlight w:val="none"/>
        </w:rPr>
        <w:t>谈判过程中，谈判小组可以根据谈判情况调整谈判轮次。谈判小组经采购人代表确认后，可以根据谈判情况实质性变动采购需求中的技术、服务要求以及合同草案条款，并将变更的内容及时以书面形式通知所有参加谈判的供应商，变动通知为本次谈判文件的有效组成部分。</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ascii="Times New Roman" w:hAnsi="Times New Roman"/>
          <w:color w:val="auto"/>
          <w:sz w:val="22"/>
          <w:szCs w:val="22"/>
          <w:highlight w:val="none"/>
        </w:rPr>
        <w:t>4.5</w:t>
      </w:r>
      <w:r>
        <w:rPr>
          <w:rFonts w:hint="default" w:ascii="Times New Roman" w:hAnsi="Times New Roman"/>
          <w:color w:val="auto"/>
          <w:sz w:val="22"/>
          <w:szCs w:val="22"/>
          <w:highlight w:val="none"/>
        </w:rPr>
        <w:t>谈判过程中，供应商可以根据谈判情况变更其响应文件，并将变更内容形成书面材料送谈判小组。变更内容应作为响应文件的一部分。</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hint="default" w:ascii="Times New Roman" w:hAnsi="Times New Roman"/>
          <w:color w:val="auto"/>
          <w:sz w:val="22"/>
          <w:szCs w:val="22"/>
          <w:highlight w:val="none"/>
        </w:rPr>
        <w:t>供应商书面材料应当签字确认，否则无效。供应商为法人的，应当由其法定代表人或者代理人签字确认。</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ascii="Times New Roman" w:hAnsi="Times New Roman"/>
          <w:color w:val="auto"/>
          <w:sz w:val="22"/>
          <w:szCs w:val="22"/>
          <w:highlight w:val="none"/>
        </w:rPr>
        <w:t>4.6</w:t>
      </w:r>
      <w:r>
        <w:rPr>
          <w:rFonts w:hint="default" w:ascii="Times New Roman" w:hAnsi="Times New Roman"/>
          <w:color w:val="auto"/>
          <w:sz w:val="22"/>
          <w:szCs w:val="22"/>
          <w:highlight w:val="none"/>
        </w:rPr>
        <w:t>谈判达到供应商响应文件符合采购需求、质量和服务相等的前提下，谈判小组应要求供应商进行最后报价。</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hint="default" w:ascii="Times New Roman" w:hAnsi="Times New Roman"/>
          <w:color w:val="auto"/>
          <w:sz w:val="22"/>
          <w:szCs w:val="22"/>
          <w:highlight w:val="none"/>
        </w:rPr>
        <w:t>供应商响应文件满足或者高于谈判文件规定的采购项目最低要求时，即视同供应商响应文件符合采购需求、质量和服务相等。</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ascii="Times New Roman" w:hAnsi="Times New Roman"/>
          <w:color w:val="auto"/>
          <w:sz w:val="22"/>
          <w:szCs w:val="22"/>
          <w:highlight w:val="none"/>
        </w:rPr>
        <w:t>4.7</w:t>
      </w:r>
      <w:r>
        <w:rPr>
          <w:rFonts w:hint="default" w:ascii="Times New Roman" w:hAnsi="Times New Roman"/>
          <w:color w:val="auto"/>
          <w:sz w:val="22"/>
          <w:szCs w:val="22"/>
          <w:highlight w:val="none"/>
        </w:rPr>
        <w:t>谈判小组经过</w:t>
      </w:r>
      <w:r>
        <w:rPr>
          <w:rFonts w:ascii="Times New Roman" w:hAnsi="Times New Roman"/>
          <w:color w:val="auto"/>
          <w:sz w:val="22"/>
          <w:szCs w:val="22"/>
          <w:highlight w:val="none"/>
        </w:rPr>
        <w:t>两</w:t>
      </w:r>
      <w:r>
        <w:rPr>
          <w:rFonts w:hint="default" w:ascii="Times New Roman" w:hAnsi="Times New Roman"/>
          <w:color w:val="auto"/>
          <w:sz w:val="22"/>
          <w:szCs w:val="22"/>
          <w:highlight w:val="none"/>
        </w:rPr>
        <w:t>轮及以上谈判后，供应商响应文件仍然不能满足谈判文件规定的采购项目最低要求的；供应商已经在谈判过程中已经明确无法响应采购需求；或者谈判过程中，谈判小组发现或者知晓供应商存在违法、违纪行为的，谈判小组应当将该供应商淘汰，不允许其参加最后报价。谈判小组淘汰供应商的，应当书面通知该供应商，并说明理由。</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hint="default" w:ascii="Times New Roman" w:hAnsi="Times New Roman"/>
          <w:color w:val="auto"/>
          <w:sz w:val="22"/>
          <w:szCs w:val="22"/>
          <w:highlight w:val="none"/>
        </w:rPr>
        <w:t>若谈判过程中，采购需求中的技术、服务要求以及合同草案条款发生了实质性变化，在提交最后报价之前，供应商可以根据谈判情况退出谈判。采购人、采购代理机构将退还退出谈判的供应商的保证金。采购需求未发生实质性变化，通过资格审查并响应了采购需求的供应商放弃最后报价的，视为供应商在有效期内撤回其响应文件，将被没收保证金。</w:t>
      </w:r>
    </w:p>
    <w:p>
      <w:pPr>
        <w:tabs>
          <w:tab w:val="left" w:pos="7665"/>
        </w:tabs>
        <w:spacing w:line="360" w:lineRule="auto"/>
        <w:ind w:firstLine="442" w:firstLineChars="200"/>
        <w:rPr>
          <w:b/>
          <w:color w:val="auto"/>
          <w:sz w:val="22"/>
          <w:szCs w:val="22"/>
          <w:highlight w:val="none"/>
        </w:rPr>
      </w:pPr>
      <w:r>
        <w:rPr>
          <w:b/>
          <w:color w:val="auto"/>
          <w:sz w:val="22"/>
          <w:szCs w:val="22"/>
          <w:highlight w:val="none"/>
        </w:rPr>
        <w:t>如谈判过程中采购需求没有实质性变化，各供应商的每轮谈判报价应逐次降低，本次报价超过上次报价的，为无效报价。如供应商的报价或者某些分项报价明显不合理或者低于成本价，有可能影响商品质量和不能诚信履约的，评标委员会有权在谈判现场要求供应商在规定时间内出具相关证明材料予以解释说明，并提交相关证明材料。谈判小组有权根据《中华人民共和国反不正当竞争法》相关规定，对供应商出具相关证明材料不予认同，并不允许该供应商参与最后报价，或取消其成交候选资格.</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ascii="Times New Roman" w:hAnsi="Times New Roman"/>
          <w:color w:val="auto"/>
          <w:sz w:val="22"/>
          <w:szCs w:val="22"/>
          <w:highlight w:val="none"/>
        </w:rPr>
        <w:t>4.8</w:t>
      </w:r>
      <w:r>
        <w:rPr>
          <w:rFonts w:hint="default" w:ascii="Times New Roman" w:hAnsi="Times New Roman"/>
          <w:color w:val="auto"/>
          <w:sz w:val="22"/>
          <w:szCs w:val="22"/>
          <w:highlight w:val="none"/>
        </w:rPr>
        <w:t>供应商进行最后报价，应当在谈判室外填写报价单，密封递交采购代理机构工作人员，由采购代理机构工作人员收齐后集中递交谈判小组。采购代理机构工作人员不能拆封供应商报价单。</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hint="default" w:ascii="Times New Roman" w:hAnsi="Times New Roman"/>
          <w:color w:val="auto"/>
          <w:sz w:val="22"/>
          <w:szCs w:val="22"/>
          <w:highlight w:val="none"/>
        </w:rPr>
        <w:t>供应商报价单应当由法定代表人或者其代理人签字确认，否则无效。</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ascii="Times New Roman" w:hAnsi="Times New Roman"/>
          <w:color w:val="auto"/>
          <w:sz w:val="22"/>
          <w:szCs w:val="22"/>
          <w:highlight w:val="none"/>
        </w:rPr>
        <w:t>4.9</w:t>
      </w:r>
      <w:r>
        <w:rPr>
          <w:rFonts w:hint="default" w:ascii="Times New Roman" w:hAnsi="Times New Roman"/>
          <w:color w:val="auto"/>
          <w:sz w:val="22"/>
          <w:szCs w:val="22"/>
          <w:highlight w:val="none"/>
        </w:rPr>
        <w:t>谈判结束后，部分供应商响应文件优于谈判文件要求的，不能以此作为高价成交的依据，谈判小组也不能接受其高价成交。</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ascii="Times New Roman" w:hAnsi="Times New Roman"/>
          <w:color w:val="auto"/>
          <w:sz w:val="22"/>
          <w:szCs w:val="22"/>
          <w:highlight w:val="none"/>
        </w:rPr>
        <w:t>4.10</w:t>
      </w:r>
      <w:r>
        <w:rPr>
          <w:rFonts w:hint="default" w:ascii="Times New Roman" w:hAnsi="Times New Roman"/>
          <w:color w:val="auto"/>
          <w:sz w:val="22"/>
          <w:szCs w:val="22"/>
          <w:highlight w:val="none"/>
        </w:rPr>
        <w:t>谈判过程中，有下列情形之一的，谈判失败：</w:t>
      </w:r>
    </w:p>
    <w:p>
      <w:pPr>
        <w:pStyle w:val="23"/>
        <w:spacing w:line="360" w:lineRule="auto"/>
        <w:ind w:firstLine="330" w:firstLineChars="150"/>
        <w:rPr>
          <w:rFonts w:hint="default" w:ascii="Times New Roman"/>
          <w:color w:val="auto"/>
          <w:sz w:val="22"/>
          <w:szCs w:val="22"/>
          <w:highlight w:val="none"/>
        </w:rPr>
      </w:pPr>
      <w:r>
        <w:rPr>
          <w:rFonts w:hint="default" w:ascii="Times New Roman"/>
          <w:color w:val="auto"/>
          <w:sz w:val="22"/>
          <w:szCs w:val="22"/>
          <w:highlight w:val="none"/>
        </w:rPr>
        <w:t>（一）通过资格审查的供应商不足三家的；</w:t>
      </w:r>
    </w:p>
    <w:p>
      <w:pPr>
        <w:pStyle w:val="23"/>
        <w:spacing w:line="360" w:lineRule="auto"/>
        <w:ind w:firstLine="330" w:firstLineChars="150"/>
        <w:rPr>
          <w:rFonts w:hint="default" w:ascii="Times New Roman"/>
          <w:color w:val="auto"/>
          <w:sz w:val="22"/>
          <w:szCs w:val="22"/>
          <w:highlight w:val="none"/>
        </w:rPr>
      </w:pPr>
      <w:r>
        <w:rPr>
          <w:rFonts w:hint="default" w:ascii="Times New Roman"/>
          <w:color w:val="auto"/>
          <w:sz w:val="22"/>
          <w:szCs w:val="22"/>
          <w:highlight w:val="none"/>
        </w:rPr>
        <w:t>（二）参加谈判的供应商被淘汰，最后有效报价的供应商不足三家的；</w:t>
      </w:r>
    </w:p>
    <w:p>
      <w:pPr>
        <w:pStyle w:val="23"/>
        <w:spacing w:line="360" w:lineRule="auto"/>
        <w:ind w:firstLine="330" w:firstLineChars="150"/>
        <w:rPr>
          <w:rFonts w:hint="default" w:ascii="Times New Roman"/>
          <w:color w:val="auto"/>
          <w:sz w:val="22"/>
          <w:szCs w:val="22"/>
          <w:highlight w:val="none"/>
        </w:rPr>
      </w:pPr>
      <w:r>
        <w:rPr>
          <w:rFonts w:hint="default" w:ascii="Times New Roman"/>
          <w:color w:val="auto"/>
          <w:sz w:val="22"/>
          <w:szCs w:val="22"/>
          <w:highlight w:val="none"/>
        </w:rPr>
        <w:t>（三）其他无法继续开展谈判或者无法成交的情形。</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ascii="Times New Roman" w:hAnsi="Times New Roman"/>
          <w:color w:val="auto"/>
          <w:sz w:val="22"/>
          <w:szCs w:val="22"/>
          <w:highlight w:val="none"/>
        </w:rPr>
        <w:t>4.11</w:t>
      </w:r>
      <w:r>
        <w:rPr>
          <w:rFonts w:hint="default" w:ascii="Times New Roman" w:hAnsi="Times New Roman"/>
          <w:color w:val="auto"/>
          <w:sz w:val="22"/>
          <w:szCs w:val="22"/>
          <w:highlight w:val="none"/>
        </w:rPr>
        <w:t>在谈判中，谈判的任何一方不得泄露评审谈判情况及与谈判有关的其他供应商的技术资料、价格和其他信息。</w:t>
      </w:r>
    </w:p>
    <w:p>
      <w:pPr>
        <w:snapToGrid w:val="false"/>
        <w:spacing w:line="360" w:lineRule="auto"/>
        <w:rPr>
          <w:color w:val="auto"/>
          <w:sz w:val="22"/>
          <w:szCs w:val="22"/>
          <w:highlight w:val="none"/>
        </w:rPr>
      </w:pPr>
      <w:r>
        <w:rPr>
          <w:rFonts w:hint="eastAsia"/>
          <w:color w:val="auto"/>
          <w:sz w:val="22"/>
          <w:szCs w:val="22"/>
          <w:highlight w:val="none"/>
        </w:rPr>
        <w:t>5</w:t>
      </w:r>
      <w:r>
        <w:rPr>
          <w:color w:val="auto"/>
          <w:sz w:val="22"/>
          <w:szCs w:val="22"/>
          <w:highlight w:val="none"/>
        </w:rPr>
        <w:t>、确定成交供应商的标准</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ascii="Times New Roman" w:hAnsi="Times New Roman"/>
          <w:color w:val="auto"/>
          <w:sz w:val="22"/>
          <w:szCs w:val="22"/>
          <w:highlight w:val="none"/>
        </w:rPr>
        <w:t>5</w:t>
      </w:r>
      <w:r>
        <w:rPr>
          <w:rFonts w:hint="default" w:ascii="Times New Roman" w:hAnsi="Times New Roman"/>
          <w:color w:val="auto"/>
          <w:sz w:val="22"/>
          <w:szCs w:val="22"/>
          <w:highlight w:val="none"/>
        </w:rPr>
        <w:t>.1 本次谈判活动遵循公平、公正、科学、择优的原则进行。谈判小组根据符合采购需求、质量和服务相等且报价最低的原则，按报价从低到高确定成交供应商候选人。</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hint="default" w:ascii="Times New Roman" w:hAnsi="Times New Roman"/>
          <w:color w:val="auto"/>
          <w:sz w:val="22"/>
          <w:szCs w:val="22"/>
          <w:highlight w:val="none"/>
        </w:rPr>
        <w:t>4.2 供应商报价结束后，谈判小组按照供应商的报价由低到高排序，推荐三名以上成交候选供应商。</w:t>
      </w:r>
    </w:p>
    <w:p>
      <w:pPr>
        <w:pStyle w:val="23"/>
        <w:snapToGrid w:val="false"/>
        <w:spacing w:line="360" w:lineRule="auto"/>
        <w:ind w:firstLine="440" w:firstLineChars="200"/>
        <w:rPr>
          <w:rFonts w:hint="default" w:ascii="Times New Roman" w:hAnsi="Times New Roman"/>
          <w:color w:val="auto"/>
          <w:sz w:val="22"/>
          <w:szCs w:val="22"/>
          <w:highlight w:val="none"/>
        </w:rPr>
      </w:pPr>
      <w:r>
        <w:rPr>
          <w:rFonts w:hint="default" w:ascii="Times New Roman" w:hAnsi="Times New Roman"/>
          <w:color w:val="auto"/>
          <w:sz w:val="22"/>
          <w:szCs w:val="22"/>
          <w:highlight w:val="none"/>
        </w:rPr>
        <w:t>4.3 谈判小组推荐成交候选供应商后，应当向采购代理机构出具谈判报告。</w:t>
      </w:r>
    </w:p>
    <w:p>
      <w:pPr>
        <w:pStyle w:val="23"/>
        <w:snapToGrid w:val="false"/>
        <w:spacing w:line="360" w:lineRule="auto"/>
        <w:ind w:firstLine="440" w:firstLineChars="200"/>
        <w:rPr>
          <w:rFonts w:hint="default" w:ascii="Times New Roman" w:hAnsi="Times New Roman"/>
          <w:color w:val="auto"/>
          <w:sz w:val="24"/>
          <w:szCs w:val="24"/>
          <w:highlight w:val="none"/>
        </w:rPr>
      </w:pPr>
      <w:r>
        <w:rPr>
          <w:rFonts w:hint="default" w:ascii="Times New Roman" w:hAnsi="Times New Roman"/>
          <w:color w:val="auto"/>
          <w:sz w:val="22"/>
          <w:szCs w:val="22"/>
          <w:highlight w:val="none"/>
        </w:rPr>
        <w:t>4.4 对于违反谈判纪律的将可能被取消成交供应商资格或视为无效响应。</w:t>
      </w:r>
    </w:p>
    <w:p>
      <w:pPr>
        <w:keepNext w:val="false"/>
        <w:keepLines w:val="false"/>
        <w:pageBreakBefore w:val="false"/>
        <w:widowControl/>
        <w:kinsoku/>
        <w:wordWrap/>
        <w:overflowPunct/>
        <w:topLinePunct w:val="false"/>
        <w:autoSpaceDE/>
        <w:autoSpaceDN/>
        <w:bidi w:val="false"/>
        <w:adjustRightInd/>
        <w:snapToGrid/>
        <w:spacing w:line="300" w:lineRule="auto"/>
        <w:ind w:left="-511" w:leftChars="-213" w:firstLine="720" w:firstLineChars="200"/>
        <w:jc w:val="center"/>
        <w:textAlignment w:val="auto"/>
        <w:outlineLvl w:val="0"/>
        <w:rPr>
          <w:rFonts w:ascii="宋体" w:hAnsi="宋体" w:eastAsia="宋体"/>
          <w:color w:val="auto"/>
          <w:sz w:val="24"/>
          <w:highlight w:val="none"/>
          <w:lang w:eastAsia="zh-CN"/>
        </w:rPr>
      </w:pPr>
      <w:r>
        <w:rPr>
          <w:color w:val="auto"/>
          <w:sz w:val="36"/>
          <w:szCs w:val="36"/>
          <w:highlight w:val="none"/>
        </w:rPr>
        <w:br w:type="page"/>
      </w:r>
      <w:bookmarkEnd w:id="23"/>
      <w:bookmarkEnd w:id="24"/>
      <w:bookmarkEnd w:id="25"/>
      <w:bookmarkStart w:name="_Toc9693" w:id="45"/>
      <w:bookmarkStart w:name="_Toc3421" w:id="46"/>
      <w:bookmarkStart w:name="_Toc14096" w:id="47"/>
      <w:bookmarkStart w:name="_Toc21264" w:id="48"/>
      <w:r>
        <w:rPr>
          <w:rFonts w:ascii="Times New Roman" w:hAnsi="Times New Roman" w:eastAsia="宋体" w:cs="Times New Roman"/>
          <w:b/>
          <w:bCs/>
          <w:color w:val="auto"/>
          <w:kern w:val="2"/>
          <w:sz w:val="40"/>
          <w:szCs w:val="40"/>
          <w:highlight w:val="none"/>
          <w:lang w:val="en-US" w:eastAsia="zh-CN" w:bidi="ar-SA"/>
        </w:rPr>
        <w:t>第六章  合同草案条款（参考文本）</w:t>
      </w:r>
      <w:bookmarkEnd w:id="45"/>
    </w:p>
    <w:p>
      <w:pPr>
        <w:pStyle w:val="230"/>
        <w:ind w:firstLine="440"/>
        <w:rPr>
          <w:rFonts w:hAnsi="宋体"/>
          <w:color w:val="auto"/>
          <w:sz w:val="22"/>
          <w:szCs w:val="21"/>
          <w:highlight w:val="none"/>
        </w:rPr>
      </w:pPr>
    </w:p>
    <w:p>
      <w:pPr>
        <w:pStyle w:val="230"/>
        <w:ind w:firstLine="440"/>
        <w:rPr>
          <w:color w:val="auto"/>
          <w:sz w:val="22"/>
          <w:szCs w:val="21"/>
          <w:highlight w:val="none"/>
        </w:rPr>
      </w:pPr>
      <w:r>
        <w:rPr>
          <w:rFonts w:hint="eastAsia" w:hAnsi="宋体"/>
          <w:color w:val="auto"/>
          <w:sz w:val="22"/>
          <w:szCs w:val="21"/>
          <w:highlight w:val="none"/>
        </w:rPr>
        <w:t>合同编号：</w:t>
      </w:r>
      <w:r>
        <w:rPr>
          <w:rFonts w:hint="eastAsia"/>
          <w:color w:val="auto"/>
          <w:sz w:val="22"/>
          <w:szCs w:val="21"/>
          <w:highlight w:val="none"/>
        </w:rPr>
        <w:t>XXXX。</w:t>
      </w:r>
    </w:p>
    <w:p>
      <w:pPr>
        <w:pStyle w:val="230"/>
        <w:ind w:firstLine="440"/>
        <w:rPr>
          <w:rFonts w:hAnsi="宋体"/>
          <w:color w:val="auto"/>
          <w:sz w:val="22"/>
          <w:szCs w:val="21"/>
          <w:highlight w:val="none"/>
        </w:rPr>
      </w:pPr>
      <w:r>
        <w:rPr>
          <w:rFonts w:hint="eastAsia" w:hAnsi="宋体"/>
          <w:color w:val="auto"/>
          <w:sz w:val="22"/>
          <w:szCs w:val="21"/>
          <w:highlight w:val="none"/>
        </w:rPr>
        <w:t>签订地点：</w:t>
      </w:r>
      <w:r>
        <w:rPr>
          <w:rFonts w:hint="eastAsia"/>
          <w:color w:val="auto"/>
          <w:sz w:val="22"/>
          <w:szCs w:val="21"/>
          <w:highlight w:val="none"/>
        </w:rPr>
        <w:t>XXXX。</w:t>
      </w:r>
    </w:p>
    <w:p>
      <w:pPr>
        <w:pStyle w:val="230"/>
        <w:ind w:firstLine="440"/>
        <w:rPr>
          <w:rFonts w:hAnsi="宋体"/>
          <w:color w:val="auto"/>
          <w:sz w:val="22"/>
          <w:szCs w:val="21"/>
          <w:highlight w:val="none"/>
        </w:rPr>
      </w:pPr>
      <w:r>
        <w:rPr>
          <w:rFonts w:hint="eastAsia" w:hAnsi="宋体"/>
          <w:color w:val="auto"/>
          <w:sz w:val="22"/>
          <w:szCs w:val="21"/>
          <w:highlight w:val="none"/>
        </w:rPr>
        <w:t>签订时间：</w:t>
      </w:r>
      <w:r>
        <w:rPr>
          <w:rFonts w:hint="eastAsia"/>
          <w:color w:val="auto"/>
          <w:sz w:val="22"/>
          <w:szCs w:val="21"/>
          <w:highlight w:val="none"/>
        </w:rPr>
        <w:t>XXXX年XX月XX日。</w:t>
      </w:r>
    </w:p>
    <w:p>
      <w:pPr>
        <w:pStyle w:val="230"/>
        <w:ind w:firstLine="440"/>
        <w:rPr>
          <w:rFonts w:hAnsi="宋体"/>
          <w:color w:val="auto"/>
          <w:sz w:val="22"/>
          <w:szCs w:val="21"/>
          <w:highlight w:val="none"/>
        </w:rPr>
      </w:pPr>
    </w:p>
    <w:p>
      <w:pPr>
        <w:pStyle w:val="230"/>
        <w:ind w:firstLine="440"/>
        <w:rPr>
          <w:rFonts w:hAnsi="宋体"/>
          <w:color w:val="auto"/>
          <w:sz w:val="22"/>
          <w:szCs w:val="21"/>
          <w:highlight w:val="none"/>
        </w:rPr>
      </w:pPr>
      <w:r>
        <w:rPr>
          <w:rFonts w:hint="eastAsia" w:hAnsi="宋体"/>
          <w:color w:val="auto"/>
          <w:sz w:val="22"/>
          <w:szCs w:val="21"/>
          <w:highlight w:val="none"/>
        </w:rPr>
        <w:t>采购人（甲方）：</w:t>
      </w:r>
    </w:p>
    <w:p>
      <w:pPr>
        <w:pStyle w:val="230"/>
        <w:ind w:firstLine="440"/>
        <w:rPr>
          <w:rFonts w:hAnsi="宋体"/>
          <w:color w:val="auto"/>
          <w:sz w:val="22"/>
          <w:szCs w:val="21"/>
          <w:highlight w:val="none"/>
        </w:rPr>
      </w:pPr>
      <w:r>
        <w:rPr>
          <w:rFonts w:hint="eastAsia" w:hAnsi="宋体"/>
          <w:color w:val="auto"/>
          <w:sz w:val="22"/>
          <w:szCs w:val="21"/>
          <w:highlight w:val="none"/>
        </w:rPr>
        <w:t>供应商（乙方）：</w:t>
      </w:r>
    </w:p>
    <w:p>
      <w:pPr>
        <w:pStyle w:val="230"/>
        <w:ind w:firstLine="440"/>
        <w:rPr>
          <w:rFonts w:hAnsi="宋体"/>
          <w:color w:val="auto"/>
          <w:sz w:val="22"/>
          <w:szCs w:val="21"/>
          <w:highlight w:val="none"/>
        </w:rPr>
      </w:pPr>
      <w:r>
        <w:rPr>
          <w:rFonts w:hint="eastAsia" w:hAnsi="宋体"/>
          <w:color w:val="auto"/>
          <w:sz w:val="22"/>
          <w:szCs w:val="21"/>
          <w:highlight w:val="none"/>
        </w:rPr>
        <w:t>根据《中华人民共和国政府采购法》、《中华人民共和国民法典》及</w:t>
      </w:r>
      <w:r>
        <w:rPr>
          <w:rFonts w:hint="eastAsia"/>
          <w:color w:val="auto"/>
          <w:sz w:val="22"/>
          <w:szCs w:val="21"/>
          <w:highlight w:val="none"/>
        </w:rPr>
        <w:t>四川国际招标有限责任公司</w:t>
      </w:r>
      <w:r>
        <w:rPr>
          <w:rFonts w:hint="eastAsia" w:hAnsi="宋体"/>
          <w:color w:val="auto"/>
          <w:sz w:val="22"/>
          <w:szCs w:val="21"/>
          <w:highlight w:val="none"/>
        </w:rPr>
        <w:t>采购项目（项目编号：</w:t>
      </w:r>
      <w:r>
        <w:rPr>
          <w:rFonts w:hint="eastAsia"/>
          <w:color w:val="auto"/>
          <w:sz w:val="22"/>
          <w:szCs w:val="21"/>
          <w:highlight w:val="none"/>
        </w:rPr>
        <w:t>XX</w:t>
      </w:r>
      <w:r>
        <w:rPr>
          <w:rFonts w:hint="eastAsia" w:hAnsi="宋体"/>
          <w:color w:val="auto"/>
          <w:sz w:val="22"/>
          <w:szCs w:val="21"/>
          <w:highlight w:val="none"/>
        </w:rPr>
        <w:t>）的《采购文件》、乙方的《</w:t>
      </w:r>
      <w:r>
        <w:rPr>
          <w:rFonts w:hint="eastAsia" w:hAnsi="宋体"/>
          <w:color w:val="auto"/>
          <w:sz w:val="22"/>
          <w:szCs w:val="21"/>
          <w:highlight w:val="none"/>
          <w:lang w:eastAsia="zh-CN"/>
        </w:rPr>
        <w:t>响应文件</w:t>
      </w:r>
      <w:r>
        <w:rPr>
          <w:rFonts w:hint="eastAsia" w:hAnsi="宋体"/>
          <w:color w:val="auto"/>
          <w:sz w:val="22"/>
          <w:szCs w:val="21"/>
          <w:highlight w:val="none"/>
        </w:rPr>
        <w:t>》及《中标通知书》，甲、乙双方同意签订本合同。详细技术说明及其他有关合同项目的特定信息由合同附件予以说明，合同附件及本项目的采购文件、</w:t>
      </w:r>
      <w:r>
        <w:rPr>
          <w:rFonts w:hint="eastAsia" w:hAnsi="宋体"/>
          <w:color w:val="auto"/>
          <w:sz w:val="22"/>
          <w:szCs w:val="21"/>
          <w:highlight w:val="none"/>
          <w:lang w:eastAsia="zh-CN"/>
        </w:rPr>
        <w:t>响应文件</w:t>
      </w:r>
      <w:r>
        <w:rPr>
          <w:rFonts w:hint="eastAsia" w:hAnsi="宋体"/>
          <w:color w:val="auto"/>
          <w:sz w:val="22"/>
          <w:szCs w:val="21"/>
          <w:highlight w:val="none"/>
        </w:rPr>
        <w:t>、《中标通知书》等均为本合同不可分割的部分。双方同意共同遵守如下条款：</w:t>
      </w:r>
    </w:p>
    <w:p>
      <w:pPr>
        <w:pStyle w:val="3"/>
        <w:spacing w:line="400" w:lineRule="exact"/>
        <w:ind w:firstLine="442" w:firstLineChars="200"/>
        <w:jc w:val="left"/>
        <w:rPr>
          <w:rFonts w:ascii="黑体" w:hAnsi="宋体"/>
          <w:color w:val="auto"/>
          <w:sz w:val="22"/>
          <w:szCs w:val="22"/>
          <w:highlight w:val="none"/>
        </w:rPr>
      </w:pPr>
      <w:bookmarkStart w:name="_Toc217446107" w:id="49"/>
      <w:r>
        <w:rPr>
          <w:rFonts w:hint="eastAsia" w:ascii="黑体" w:hAnsi="宋体"/>
          <w:color w:val="auto"/>
          <w:sz w:val="22"/>
          <w:szCs w:val="22"/>
          <w:highlight w:val="none"/>
        </w:rPr>
        <w:t>一、合同货物</w:t>
      </w:r>
      <w:bookmarkEnd w:id="49"/>
    </w:p>
    <w:tbl>
      <w:tblPr>
        <w:tblStyle w:val="43"/>
        <w:tblW w:w="8686"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960"/>
        <w:gridCol w:w="720"/>
        <w:gridCol w:w="825"/>
        <w:gridCol w:w="1800"/>
        <w:gridCol w:w="1335"/>
        <w:gridCol w:w="1217"/>
        <w:gridCol w:w="11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Ansi="宋体"/>
                <w:color w:val="auto"/>
                <w:sz w:val="22"/>
                <w:szCs w:val="21"/>
                <w:highlight w:val="none"/>
              </w:rPr>
            </w:pPr>
            <w:r>
              <w:rPr>
                <w:rFonts w:hint="eastAsia" w:hAnsi="宋体" w:cs="Arial"/>
                <w:color w:val="auto"/>
                <w:sz w:val="22"/>
                <w:szCs w:val="21"/>
                <w:highlight w:val="none"/>
              </w:rPr>
              <w:t>货物品名</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s="Arial"/>
                <w:color w:val="auto"/>
                <w:sz w:val="22"/>
                <w:szCs w:val="21"/>
                <w:highlight w:val="none"/>
              </w:rPr>
            </w:pPr>
            <w:r>
              <w:rPr>
                <w:rFonts w:hint="eastAsia" w:hAnsi="宋体" w:cs="Arial"/>
                <w:color w:val="auto"/>
                <w:sz w:val="22"/>
                <w:szCs w:val="21"/>
                <w:highlight w:val="none"/>
              </w:rPr>
              <w:t>规格</w:t>
            </w:r>
          </w:p>
          <w:p>
            <w:pPr>
              <w:spacing w:line="400" w:lineRule="exact"/>
              <w:jc w:val="center"/>
              <w:rPr>
                <w:rFonts w:hAnsi="宋体"/>
                <w:color w:val="auto"/>
                <w:sz w:val="22"/>
                <w:szCs w:val="21"/>
                <w:highlight w:val="none"/>
              </w:rPr>
            </w:pPr>
            <w:r>
              <w:rPr>
                <w:rFonts w:hint="eastAsia" w:hAnsi="宋体" w:cs="Arial"/>
                <w:color w:val="auto"/>
                <w:sz w:val="22"/>
                <w:szCs w:val="21"/>
                <w:highlight w:val="none"/>
              </w:rPr>
              <w:t>型号</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Ansi="宋体"/>
                <w:color w:val="auto"/>
                <w:sz w:val="22"/>
                <w:szCs w:val="21"/>
                <w:highlight w:val="none"/>
              </w:rPr>
            </w:pPr>
            <w:r>
              <w:rPr>
                <w:rFonts w:hint="eastAsia" w:hAnsi="宋体" w:cs="Arial"/>
                <w:color w:val="auto"/>
                <w:sz w:val="22"/>
                <w:szCs w:val="21"/>
                <w:highlight w:val="none"/>
              </w:rPr>
              <w:t>单位</w:t>
            </w:r>
          </w:p>
        </w:tc>
        <w:tc>
          <w:tcPr>
            <w:tcW w:w="825"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110" w:firstLineChars="50"/>
              <w:rPr>
                <w:rFonts w:hAnsi="宋体"/>
                <w:color w:val="auto"/>
                <w:sz w:val="22"/>
                <w:szCs w:val="21"/>
                <w:highlight w:val="none"/>
              </w:rPr>
            </w:pPr>
            <w:r>
              <w:rPr>
                <w:rFonts w:hint="eastAsia" w:hAnsi="宋体" w:cs="Arial"/>
                <w:color w:val="auto"/>
                <w:sz w:val="22"/>
                <w:szCs w:val="21"/>
                <w:highlight w:val="none"/>
              </w:rPr>
              <w:t>数量</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Ansi="宋体" w:cs="Arial"/>
                <w:color w:val="auto"/>
                <w:sz w:val="22"/>
                <w:szCs w:val="21"/>
                <w:highlight w:val="none"/>
              </w:rPr>
            </w:pPr>
            <w:r>
              <w:rPr>
                <w:rFonts w:hint="eastAsia" w:hAnsi="宋体" w:cs="Arial"/>
                <w:color w:val="auto"/>
                <w:sz w:val="22"/>
                <w:szCs w:val="21"/>
                <w:highlight w:val="none"/>
              </w:rPr>
              <w:t>单价（万元）</w:t>
            </w:r>
          </w:p>
        </w:tc>
        <w:tc>
          <w:tcPr>
            <w:tcW w:w="1335"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220" w:firstLineChars="100"/>
              <w:rPr>
                <w:rFonts w:hAnsi="宋体" w:cs="Arial"/>
                <w:color w:val="auto"/>
                <w:sz w:val="22"/>
                <w:szCs w:val="21"/>
                <w:highlight w:val="none"/>
              </w:rPr>
            </w:pPr>
            <w:r>
              <w:rPr>
                <w:rFonts w:hint="eastAsia" w:hAnsi="宋体" w:cs="Arial"/>
                <w:color w:val="auto"/>
                <w:sz w:val="22"/>
                <w:szCs w:val="21"/>
                <w:highlight w:val="none"/>
              </w:rPr>
              <w:t>总价</w:t>
            </w:r>
          </w:p>
          <w:p>
            <w:pPr>
              <w:spacing w:line="400" w:lineRule="exact"/>
              <w:rPr>
                <w:rFonts w:hAnsi="宋体"/>
                <w:color w:val="auto"/>
                <w:sz w:val="22"/>
                <w:szCs w:val="21"/>
                <w:highlight w:val="none"/>
              </w:rPr>
            </w:pPr>
            <w:r>
              <w:rPr>
                <w:rFonts w:hint="eastAsia" w:hAnsi="宋体" w:cs="Arial"/>
                <w:color w:val="auto"/>
                <w:sz w:val="22"/>
                <w:szCs w:val="21"/>
                <w:highlight w:val="none"/>
              </w:rPr>
              <w:t>（万元）</w:t>
            </w:r>
          </w:p>
        </w:tc>
        <w:tc>
          <w:tcPr>
            <w:tcW w:w="12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int="eastAsia" w:hAnsi="宋体" w:cs="Arial"/>
                <w:color w:val="auto"/>
                <w:sz w:val="22"/>
                <w:szCs w:val="21"/>
                <w:highlight w:val="none"/>
              </w:rPr>
              <w:t>配件</w:t>
            </w:r>
          </w:p>
        </w:tc>
        <w:tc>
          <w:tcPr>
            <w:tcW w:w="1110"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110" w:firstLineChars="50"/>
              <w:rPr>
                <w:rFonts w:hAnsi="宋体"/>
                <w:color w:val="auto"/>
                <w:sz w:val="22"/>
                <w:szCs w:val="21"/>
                <w:highlight w:val="none"/>
              </w:rPr>
            </w:pPr>
            <w:r>
              <w:rPr>
                <w:rFonts w:hint="eastAsia" w:hAnsi="宋体" w:cs="Arial"/>
                <w:color w:val="auto"/>
                <w:sz w:val="22"/>
                <w:szCs w:val="21"/>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c>
          <w:tcPr>
            <w:tcW w:w="82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c>
          <w:tcPr>
            <w:tcW w:w="133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c>
          <w:tcPr>
            <w:tcW w:w="12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c>
          <w:tcPr>
            <w:tcW w:w="111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c>
          <w:tcPr>
            <w:tcW w:w="82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c>
          <w:tcPr>
            <w:tcW w:w="133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c>
          <w:tcPr>
            <w:tcW w:w="12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c>
          <w:tcPr>
            <w:tcW w:w="111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Ansi="宋体"/>
                <w:color w:val="auto"/>
                <w:sz w:val="22"/>
                <w:szCs w:val="21"/>
                <w:highlight w:val="none"/>
              </w:rPr>
            </w:pPr>
            <w:r>
              <w:rPr>
                <w:rFonts w:hAnsi="宋体"/>
                <w:color w:val="auto"/>
                <w:sz w:val="22"/>
                <w:szCs w:val="21"/>
                <w:highlight w:val="none"/>
              </w:rPr>
              <w:t> </w:t>
            </w:r>
          </w:p>
        </w:tc>
      </w:tr>
    </w:tbl>
    <w:p>
      <w:pPr>
        <w:pStyle w:val="3"/>
        <w:spacing w:line="400" w:lineRule="exact"/>
        <w:ind w:firstLine="442" w:firstLineChars="200"/>
        <w:jc w:val="left"/>
        <w:rPr>
          <w:rFonts w:ascii="黑体" w:hAnsi="宋体"/>
          <w:color w:val="auto"/>
          <w:sz w:val="22"/>
          <w:szCs w:val="22"/>
          <w:highlight w:val="none"/>
        </w:rPr>
      </w:pPr>
      <w:bookmarkStart w:name="_Toc217446108" w:id="50"/>
      <w:r>
        <w:rPr>
          <w:rFonts w:hint="eastAsia" w:ascii="黑体" w:hAnsi="宋体"/>
          <w:color w:val="auto"/>
          <w:sz w:val="22"/>
          <w:szCs w:val="22"/>
          <w:highlight w:val="none"/>
        </w:rPr>
        <w:t>二、合同总价</w:t>
      </w:r>
      <w:bookmarkEnd w:id="50"/>
    </w:p>
    <w:p>
      <w:pPr>
        <w:pStyle w:val="12"/>
        <w:spacing w:line="400" w:lineRule="exact"/>
        <w:ind w:firstLine="385" w:firstLineChars="175"/>
        <w:rPr>
          <w:rFonts w:hAnsi="宋体"/>
          <w:color w:val="auto"/>
          <w:sz w:val="22"/>
          <w:szCs w:val="21"/>
          <w:highlight w:val="none"/>
        </w:rPr>
      </w:pPr>
      <w:r>
        <w:rPr>
          <w:rFonts w:hint="eastAsia" w:hAnsi="宋体"/>
          <w:color w:val="auto"/>
          <w:sz w:val="22"/>
          <w:szCs w:val="21"/>
          <w:highlight w:val="none"/>
        </w:rPr>
        <w:t>合同总价为</w:t>
      </w:r>
      <w:r>
        <w:rPr>
          <w:rFonts w:hint="eastAsia" w:hAnsi="宋体"/>
          <w:color w:val="auto"/>
          <w:sz w:val="22"/>
          <w:szCs w:val="21"/>
          <w:highlight w:val="none"/>
          <w:u w:val="single"/>
        </w:rPr>
        <w:t>人民币大写：元，即</w:t>
      </w:r>
      <w:r>
        <w:rPr>
          <w:rFonts w:hAnsi="宋体"/>
          <w:color w:val="auto"/>
          <w:sz w:val="22"/>
          <w:szCs w:val="21"/>
          <w:highlight w:val="none"/>
          <w:u w:val="single"/>
        </w:rPr>
        <w:t>RMB</w:t>
      </w:r>
      <w:r>
        <w:rPr>
          <w:rFonts w:hint="eastAsia" w:hAnsi="宋体"/>
          <w:color w:val="auto"/>
          <w:sz w:val="22"/>
          <w:szCs w:val="21"/>
          <w:highlight w:val="none"/>
          <w:u w:val="single"/>
        </w:rPr>
        <w:t>￥元</w:t>
      </w:r>
      <w:r>
        <w:rPr>
          <w:rFonts w:hint="eastAsia" w:hAnsi="宋体"/>
          <w:color w:val="auto"/>
          <w:sz w:val="22"/>
          <w:szCs w:val="21"/>
          <w:highlight w:val="none"/>
        </w:rPr>
        <w:t>；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3"/>
        <w:spacing w:line="400" w:lineRule="exact"/>
        <w:ind w:firstLine="442" w:firstLineChars="200"/>
        <w:jc w:val="left"/>
        <w:rPr>
          <w:rFonts w:ascii="黑体" w:hAnsi="宋体"/>
          <w:color w:val="auto"/>
          <w:sz w:val="22"/>
          <w:szCs w:val="22"/>
          <w:highlight w:val="none"/>
        </w:rPr>
      </w:pPr>
      <w:bookmarkStart w:name="_Toc217446109" w:id="51"/>
      <w:r>
        <w:rPr>
          <w:rFonts w:hint="eastAsia" w:ascii="黑体" w:hAnsi="宋体"/>
          <w:color w:val="auto"/>
          <w:sz w:val="22"/>
          <w:szCs w:val="22"/>
          <w:highlight w:val="none"/>
        </w:rPr>
        <w:t>三、质量要求</w:t>
      </w:r>
      <w:bookmarkEnd w:id="51"/>
    </w:p>
    <w:p>
      <w:pPr>
        <w:pStyle w:val="230"/>
        <w:ind w:firstLine="440"/>
        <w:rPr>
          <w:rFonts w:hAnsi="宋体"/>
          <w:color w:val="auto"/>
          <w:sz w:val="22"/>
          <w:szCs w:val="21"/>
          <w:highlight w:val="none"/>
        </w:rPr>
      </w:pPr>
      <w:r>
        <w:rPr>
          <w:rFonts w:hAnsi="宋体"/>
          <w:color w:val="auto"/>
          <w:sz w:val="22"/>
          <w:szCs w:val="21"/>
          <w:highlight w:val="none"/>
        </w:rPr>
        <w:t>1</w:t>
      </w:r>
      <w:r>
        <w:rPr>
          <w:rFonts w:hint="eastAsia" w:hAnsi="宋体"/>
          <w:color w:val="auto"/>
          <w:sz w:val="22"/>
          <w:szCs w:val="21"/>
          <w:highlight w:val="none"/>
        </w:rPr>
        <w:t>、乙方须提供全新的货物（含零部件、配件等），表面无划伤、无碰撞痕迹，且权属清楚，不得侵害他人的知识产权。</w:t>
      </w:r>
    </w:p>
    <w:p>
      <w:pPr>
        <w:pStyle w:val="230"/>
        <w:ind w:firstLine="440"/>
        <w:rPr>
          <w:rFonts w:hAnsi="宋体"/>
          <w:color w:val="auto"/>
          <w:sz w:val="22"/>
          <w:szCs w:val="21"/>
          <w:highlight w:val="none"/>
        </w:rPr>
      </w:pPr>
      <w:r>
        <w:rPr>
          <w:rFonts w:hint="eastAsia" w:hAnsi="宋体"/>
          <w:color w:val="auto"/>
          <w:sz w:val="22"/>
          <w:szCs w:val="21"/>
          <w:highlight w:val="none"/>
        </w:rPr>
        <w:t>货物必须符合或优于国家（行业）标准，以及本项目采购文件的质量要求和技术指标与出厂标准。</w:t>
      </w:r>
    </w:p>
    <w:p>
      <w:pPr>
        <w:pStyle w:val="230"/>
        <w:ind w:firstLine="440"/>
        <w:rPr>
          <w:rFonts w:hAnsi="宋体"/>
          <w:color w:val="auto"/>
          <w:sz w:val="22"/>
          <w:szCs w:val="21"/>
          <w:highlight w:val="none"/>
        </w:rPr>
      </w:pPr>
      <w:r>
        <w:rPr>
          <w:rFonts w:hint="eastAsia" w:hAnsi="宋体"/>
          <w:color w:val="auto"/>
          <w:sz w:val="22"/>
          <w:szCs w:val="21"/>
          <w:highlight w:val="none"/>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pStyle w:val="230"/>
        <w:ind w:firstLine="440"/>
        <w:rPr>
          <w:rFonts w:hAnsi="宋体"/>
          <w:color w:val="auto"/>
          <w:sz w:val="22"/>
          <w:szCs w:val="21"/>
          <w:highlight w:val="none"/>
        </w:rPr>
      </w:pPr>
      <w:r>
        <w:rPr>
          <w:rFonts w:hAnsi="宋体"/>
          <w:color w:val="auto"/>
          <w:sz w:val="22"/>
          <w:szCs w:val="21"/>
          <w:highlight w:val="none"/>
        </w:rPr>
        <w:t>4</w:t>
      </w:r>
      <w:r>
        <w:rPr>
          <w:rFonts w:hint="eastAsia" w:hAnsi="宋体"/>
          <w:color w:val="auto"/>
          <w:sz w:val="22"/>
          <w:szCs w:val="21"/>
          <w:highlight w:val="none"/>
        </w:rPr>
        <w:t>、货物制造质量出现问题，乙方应负责三包（包修、包换、包退），费用由乙方负担，甲方有权到乙方生产场地检查货物质量和生产进度。</w:t>
      </w:r>
    </w:p>
    <w:p>
      <w:pPr>
        <w:pStyle w:val="230"/>
        <w:ind w:firstLine="440"/>
        <w:rPr>
          <w:rFonts w:hAnsi="宋体"/>
          <w:color w:val="auto"/>
          <w:sz w:val="22"/>
          <w:szCs w:val="21"/>
          <w:highlight w:val="none"/>
        </w:rPr>
      </w:pPr>
      <w:r>
        <w:rPr>
          <w:rFonts w:hAnsi="宋体"/>
          <w:color w:val="auto"/>
          <w:sz w:val="22"/>
          <w:szCs w:val="21"/>
          <w:highlight w:val="none"/>
        </w:rPr>
        <w:t>5</w:t>
      </w:r>
      <w:r>
        <w:rPr>
          <w:rFonts w:hint="eastAsia" w:hAnsi="宋体"/>
          <w:color w:val="auto"/>
          <w:sz w:val="22"/>
          <w:szCs w:val="21"/>
          <w:highlight w:val="none"/>
        </w:rPr>
        <w:t>、货到现场后由于甲方保管不当造成的质量问题，乙方亦应负责修理，但费用由甲方负担。</w:t>
      </w:r>
    </w:p>
    <w:p>
      <w:pPr>
        <w:pStyle w:val="3"/>
        <w:spacing w:line="400" w:lineRule="exact"/>
        <w:ind w:firstLine="442" w:firstLineChars="200"/>
        <w:jc w:val="left"/>
        <w:rPr>
          <w:rFonts w:ascii="黑体" w:hAnsi="宋体"/>
          <w:color w:val="auto"/>
          <w:sz w:val="22"/>
          <w:szCs w:val="22"/>
          <w:highlight w:val="none"/>
        </w:rPr>
      </w:pPr>
      <w:bookmarkStart w:name="_Toc217446110" w:id="52"/>
      <w:r>
        <w:rPr>
          <w:rFonts w:hint="eastAsia" w:ascii="黑体" w:hAnsi="宋体"/>
          <w:color w:val="auto"/>
          <w:sz w:val="22"/>
          <w:szCs w:val="22"/>
          <w:highlight w:val="none"/>
        </w:rPr>
        <w:t>四、交货及验收</w:t>
      </w:r>
      <w:bookmarkEnd w:id="52"/>
    </w:p>
    <w:p>
      <w:pPr>
        <w:pStyle w:val="230"/>
        <w:ind w:firstLine="440"/>
        <w:rPr>
          <w:rFonts w:hAnsi="宋体"/>
          <w:color w:val="auto"/>
          <w:sz w:val="22"/>
          <w:szCs w:val="21"/>
          <w:highlight w:val="none"/>
        </w:rPr>
      </w:pPr>
      <w:r>
        <w:rPr>
          <w:rFonts w:hAnsi="宋体"/>
          <w:color w:val="auto"/>
          <w:sz w:val="22"/>
          <w:szCs w:val="21"/>
          <w:highlight w:val="none"/>
        </w:rPr>
        <w:t>1</w:t>
      </w:r>
      <w:r>
        <w:rPr>
          <w:rFonts w:hint="eastAsia" w:hAnsi="宋体"/>
          <w:color w:val="auto"/>
          <w:sz w:val="22"/>
          <w:szCs w:val="21"/>
          <w:highlight w:val="none"/>
        </w:rPr>
        <w:t>、乙方交货期限为合同签订生效后的</w:t>
      </w:r>
      <w:r>
        <w:rPr>
          <w:rFonts w:hint="eastAsia"/>
          <w:color w:val="auto"/>
          <w:sz w:val="22"/>
          <w:szCs w:val="21"/>
          <w:highlight w:val="none"/>
        </w:rPr>
        <w:t>XX</w:t>
      </w:r>
      <w:r>
        <w:rPr>
          <w:rFonts w:hint="eastAsia" w:hAnsi="宋体"/>
          <w:color w:val="auto"/>
          <w:sz w:val="22"/>
          <w:szCs w:val="21"/>
          <w:highlight w:val="none"/>
        </w:rPr>
        <w:t>日内，在合同签订生效之日起</w:t>
      </w:r>
      <w:r>
        <w:rPr>
          <w:rFonts w:hint="eastAsia"/>
          <w:color w:val="auto"/>
          <w:sz w:val="22"/>
          <w:szCs w:val="21"/>
          <w:highlight w:val="none"/>
        </w:rPr>
        <w:t>XX</w:t>
      </w:r>
      <w:r>
        <w:rPr>
          <w:rFonts w:hint="eastAsia" w:hAnsi="宋体"/>
          <w:color w:val="auto"/>
          <w:sz w:val="22"/>
          <w:szCs w:val="21"/>
          <w:highlight w:val="none"/>
        </w:rPr>
        <w:t>天内交货到甲方指定地点，随即在</w:t>
      </w:r>
      <w:r>
        <w:rPr>
          <w:rFonts w:hint="eastAsia"/>
          <w:color w:val="auto"/>
          <w:sz w:val="22"/>
          <w:szCs w:val="21"/>
          <w:highlight w:val="none"/>
        </w:rPr>
        <w:t>XX</w:t>
      </w:r>
      <w:r>
        <w:rPr>
          <w:rFonts w:hint="eastAsia" w:hAnsi="宋体"/>
          <w:color w:val="auto"/>
          <w:sz w:val="22"/>
          <w:szCs w:val="21"/>
          <w:highlight w:val="none"/>
        </w:rPr>
        <w:t>日内全部完成安装调试验收合格交付使用，并且最迟应在</w:t>
      </w:r>
      <w:r>
        <w:rPr>
          <w:rFonts w:hint="eastAsia"/>
          <w:color w:val="auto"/>
          <w:sz w:val="22"/>
          <w:szCs w:val="21"/>
          <w:highlight w:val="none"/>
        </w:rPr>
        <w:t>XX</w:t>
      </w:r>
      <w:r>
        <w:rPr>
          <w:rFonts w:hint="eastAsia" w:hAnsi="宋体"/>
          <w:color w:val="auto"/>
          <w:sz w:val="22"/>
          <w:szCs w:val="21"/>
          <w:highlight w:val="none"/>
        </w:rPr>
        <w:t>年</w:t>
      </w:r>
      <w:r>
        <w:rPr>
          <w:rFonts w:hint="eastAsia"/>
          <w:color w:val="auto"/>
          <w:sz w:val="22"/>
          <w:szCs w:val="21"/>
          <w:highlight w:val="none"/>
        </w:rPr>
        <w:t>XX</w:t>
      </w:r>
      <w:r>
        <w:rPr>
          <w:rFonts w:hint="eastAsia" w:hAnsi="宋体"/>
          <w:color w:val="auto"/>
          <w:sz w:val="22"/>
          <w:szCs w:val="21"/>
          <w:highlight w:val="none"/>
        </w:rPr>
        <w:t>月</w:t>
      </w:r>
      <w:r>
        <w:rPr>
          <w:rFonts w:hint="eastAsia"/>
          <w:color w:val="auto"/>
          <w:sz w:val="22"/>
          <w:szCs w:val="21"/>
          <w:highlight w:val="none"/>
        </w:rPr>
        <w:t>XX</w:t>
      </w:r>
      <w:r>
        <w:rPr>
          <w:rFonts w:hint="eastAsia" w:hAnsi="宋体"/>
          <w:color w:val="auto"/>
          <w:sz w:val="22"/>
          <w:szCs w:val="21"/>
          <w:highlight w:val="none"/>
        </w:rPr>
        <w:t>日前全部完成安装调试验收合格交付使用</w:t>
      </w:r>
      <w:r>
        <w:rPr>
          <w:rFonts w:hAnsi="宋体"/>
          <w:color w:val="auto"/>
          <w:sz w:val="22"/>
          <w:szCs w:val="21"/>
          <w:highlight w:val="none"/>
        </w:rPr>
        <w:t>(</w:t>
      </w:r>
      <w:r>
        <w:rPr>
          <w:rFonts w:hint="eastAsia" w:hAnsi="宋体"/>
          <w:color w:val="auto"/>
          <w:sz w:val="22"/>
          <w:szCs w:val="21"/>
          <w:highlight w:val="none"/>
        </w:rPr>
        <w:t>如由于采购人的原因造成合同延迟签订或验收的，时间顺延</w:t>
      </w:r>
      <w:r>
        <w:rPr>
          <w:rFonts w:hAnsi="宋体"/>
          <w:color w:val="auto"/>
          <w:sz w:val="22"/>
          <w:szCs w:val="21"/>
          <w:highlight w:val="none"/>
        </w:rPr>
        <w:t>)</w:t>
      </w:r>
      <w:r>
        <w:rPr>
          <w:rFonts w:hint="eastAsia" w:hAnsi="宋体"/>
          <w:color w:val="auto"/>
          <w:sz w:val="22"/>
          <w:szCs w:val="21"/>
          <w:highlight w:val="none"/>
        </w:rPr>
        <w:t>。交货验收时须提供产品质检部门从同类产品中抽样检查合格的检测报告。</w:t>
      </w:r>
    </w:p>
    <w:p>
      <w:pPr>
        <w:pStyle w:val="230"/>
        <w:ind w:firstLine="440"/>
        <w:rPr>
          <w:rFonts w:hAnsi="宋体"/>
          <w:color w:val="auto"/>
          <w:sz w:val="22"/>
          <w:szCs w:val="21"/>
          <w:highlight w:val="none"/>
        </w:rPr>
      </w:pPr>
      <w:r>
        <w:rPr>
          <w:rFonts w:hAnsi="宋体"/>
          <w:color w:val="auto"/>
          <w:sz w:val="22"/>
          <w:szCs w:val="21"/>
          <w:highlight w:val="none"/>
        </w:rPr>
        <w:t>2</w:t>
      </w:r>
      <w:r>
        <w:rPr>
          <w:rFonts w:hint="eastAsia" w:hAnsi="宋体"/>
          <w:color w:val="auto"/>
          <w:sz w:val="22"/>
          <w:szCs w:val="21"/>
          <w:highlight w:val="none"/>
        </w:rPr>
        <w:t>、验收由甲方组织，乙方配合进行：</w:t>
      </w:r>
    </w:p>
    <w:p>
      <w:pPr>
        <w:pStyle w:val="230"/>
        <w:ind w:firstLine="440"/>
        <w:rPr>
          <w:rFonts w:hAnsi="宋体"/>
          <w:color w:val="auto"/>
          <w:sz w:val="22"/>
          <w:szCs w:val="21"/>
          <w:highlight w:val="none"/>
        </w:rPr>
      </w:pPr>
      <w:r>
        <w:rPr>
          <w:rFonts w:hAnsi="宋体"/>
          <w:color w:val="auto"/>
          <w:sz w:val="22"/>
          <w:szCs w:val="21"/>
          <w:highlight w:val="none"/>
        </w:rPr>
        <w:t xml:space="preserve">(1) </w:t>
      </w:r>
      <w:r>
        <w:rPr>
          <w:rFonts w:hint="eastAsia" w:hAnsi="宋体"/>
          <w:color w:val="auto"/>
          <w:sz w:val="22"/>
          <w:szCs w:val="21"/>
          <w:highlight w:val="none"/>
        </w:rPr>
        <w:t>货物在乙方通知安装调试完毕后日内初步验收。初步验收合格后，进入试用期；试用期间发生重大质量问题，修复后试用相应顺延；试用期结束后日内完成最终验收；</w:t>
      </w:r>
    </w:p>
    <w:p>
      <w:pPr>
        <w:pStyle w:val="230"/>
        <w:ind w:firstLine="440"/>
        <w:rPr>
          <w:rFonts w:hAnsi="宋体"/>
          <w:color w:val="auto"/>
          <w:sz w:val="22"/>
          <w:szCs w:val="21"/>
          <w:highlight w:val="none"/>
        </w:rPr>
      </w:pPr>
      <w:r>
        <w:rPr>
          <w:rFonts w:hAnsi="宋体"/>
          <w:color w:val="auto"/>
          <w:sz w:val="22"/>
          <w:szCs w:val="21"/>
          <w:highlight w:val="none"/>
        </w:rPr>
        <w:t xml:space="preserve">(2) </w:t>
      </w:r>
      <w:r>
        <w:rPr>
          <w:rFonts w:hint="eastAsia" w:hAnsi="宋体"/>
          <w:color w:val="auto"/>
          <w:sz w:val="22"/>
          <w:szCs w:val="21"/>
          <w:highlight w:val="none"/>
        </w:rPr>
        <w:t>验收标准：按国家有关规定以及甲方招标文件的质量要求和技术指标、乙方的</w:t>
      </w:r>
      <w:r>
        <w:rPr>
          <w:rFonts w:hint="eastAsia" w:hAnsi="宋体"/>
          <w:color w:val="auto"/>
          <w:sz w:val="22"/>
          <w:szCs w:val="21"/>
          <w:highlight w:val="none"/>
          <w:lang w:eastAsia="zh-CN"/>
        </w:rPr>
        <w:t>响应文件</w:t>
      </w:r>
      <w:r>
        <w:rPr>
          <w:rFonts w:hint="eastAsia" w:hAnsi="宋体"/>
          <w:color w:val="auto"/>
          <w:sz w:val="22"/>
          <w:szCs w:val="21"/>
          <w:highlight w:val="none"/>
        </w:rPr>
        <w:t>及承诺与本合同约定标准进行验收；甲乙双方如对质量要求和技术指标的约定标准有相互抵触或异议的事项，由甲方在招标与</w:t>
      </w:r>
      <w:r>
        <w:rPr>
          <w:rFonts w:hint="eastAsia" w:hAnsi="宋体"/>
          <w:color w:val="auto"/>
          <w:sz w:val="22"/>
          <w:szCs w:val="21"/>
          <w:highlight w:val="none"/>
          <w:lang w:eastAsia="zh-CN"/>
        </w:rPr>
        <w:t>响应文件</w:t>
      </w:r>
      <w:r>
        <w:rPr>
          <w:rFonts w:hint="eastAsia" w:hAnsi="宋体"/>
          <w:color w:val="auto"/>
          <w:sz w:val="22"/>
          <w:szCs w:val="21"/>
          <w:highlight w:val="none"/>
        </w:rPr>
        <w:t>中按质量要求和技术指标比较优胜的原则确定该项的约定标准进行验收；</w:t>
      </w:r>
    </w:p>
    <w:p>
      <w:pPr>
        <w:pStyle w:val="230"/>
        <w:ind w:firstLine="440"/>
        <w:rPr>
          <w:rFonts w:hAnsi="宋体"/>
          <w:color w:val="auto"/>
          <w:sz w:val="22"/>
          <w:szCs w:val="21"/>
          <w:highlight w:val="none"/>
        </w:rPr>
      </w:pPr>
      <w:r>
        <w:rPr>
          <w:rFonts w:hAnsi="宋体"/>
          <w:color w:val="auto"/>
          <w:sz w:val="22"/>
          <w:szCs w:val="21"/>
          <w:highlight w:val="none"/>
        </w:rPr>
        <w:t xml:space="preserve">(3) </w:t>
      </w:r>
      <w:r>
        <w:rPr>
          <w:rFonts w:hint="eastAsia" w:hAnsi="宋体"/>
          <w:color w:val="auto"/>
          <w:sz w:val="22"/>
          <w:szCs w:val="21"/>
          <w:highlight w:val="none"/>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30"/>
        <w:ind w:firstLine="440"/>
        <w:rPr>
          <w:rFonts w:hAnsi="宋体"/>
          <w:color w:val="auto"/>
          <w:sz w:val="22"/>
          <w:szCs w:val="21"/>
          <w:highlight w:val="none"/>
        </w:rPr>
      </w:pPr>
      <w:r>
        <w:rPr>
          <w:rFonts w:hAnsi="宋体"/>
          <w:color w:val="auto"/>
          <w:sz w:val="22"/>
          <w:szCs w:val="21"/>
          <w:highlight w:val="none"/>
        </w:rPr>
        <w:t xml:space="preserve">(4) </w:t>
      </w:r>
      <w:r>
        <w:rPr>
          <w:rFonts w:hint="eastAsia" w:hAnsi="宋体"/>
          <w:color w:val="auto"/>
          <w:sz w:val="22"/>
          <w:szCs w:val="21"/>
          <w:highlight w:val="none"/>
        </w:rPr>
        <w:t>如质量验收合格，双方签署质量验收报告。</w:t>
      </w:r>
    </w:p>
    <w:p>
      <w:pPr>
        <w:pStyle w:val="230"/>
        <w:ind w:firstLine="440"/>
        <w:rPr>
          <w:rFonts w:hAnsi="宋体"/>
          <w:color w:val="auto"/>
          <w:sz w:val="22"/>
          <w:szCs w:val="21"/>
          <w:highlight w:val="none"/>
        </w:rPr>
      </w:pPr>
      <w:r>
        <w:rPr>
          <w:rFonts w:hAnsi="宋体"/>
          <w:color w:val="auto"/>
          <w:sz w:val="22"/>
          <w:szCs w:val="21"/>
          <w:highlight w:val="none"/>
        </w:rPr>
        <w:t>3</w:t>
      </w:r>
      <w:r>
        <w:rPr>
          <w:rFonts w:hint="eastAsia" w:hAnsi="宋体"/>
          <w:color w:val="auto"/>
          <w:sz w:val="22"/>
          <w:szCs w:val="21"/>
          <w:highlight w:val="none"/>
        </w:rPr>
        <w:t>、货物安装完成后日内，甲方无故不进行验收工作并已使用货物的，视同已安装调试完成并验收合格。</w:t>
      </w:r>
    </w:p>
    <w:p>
      <w:pPr>
        <w:pStyle w:val="230"/>
        <w:ind w:firstLine="440"/>
        <w:rPr>
          <w:rFonts w:hAnsi="宋体"/>
          <w:color w:val="auto"/>
          <w:sz w:val="22"/>
          <w:szCs w:val="21"/>
          <w:highlight w:val="none"/>
        </w:rPr>
      </w:pPr>
      <w:r>
        <w:rPr>
          <w:rFonts w:hAnsi="宋体"/>
          <w:color w:val="auto"/>
          <w:sz w:val="22"/>
          <w:szCs w:val="21"/>
          <w:highlight w:val="none"/>
        </w:rPr>
        <w:t>4</w:t>
      </w:r>
      <w:r>
        <w:rPr>
          <w:rFonts w:hint="eastAsia" w:hAnsi="宋体"/>
          <w:color w:val="auto"/>
          <w:sz w:val="22"/>
          <w:szCs w:val="21"/>
          <w:highlight w:val="none"/>
        </w:rPr>
        <w:t>、乙方应将所提供货物的装箱清单、配件、随机工具、用户使用手册、原厂保修卡等资料交付给甲方；乙方不能完整交付货物及本款规定的单证和工具的，必须负责补齐，否则视为未按合同约定交货。</w:t>
      </w:r>
    </w:p>
    <w:p>
      <w:pPr>
        <w:pStyle w:val="230"/>
        <w:ind w:firstLine="440"/>
        <w:rPr>
          <w:rFonts w:hAnsi="宋体"/>
          <w:color w:val="auto"/>
          <w:sz w:val="22"/>
          <w:szCs w:val="21"/>
          <w:highlight w:val="none"/>
        </w:rPr>
      </w:pPr>
      <w:r>
        <w:rPr>
          <w:rFonts w:hAnsi="宋体"/>
          <w:color w:val="auto"/>
          <w:sz w:val="22"/>
          <w:szCs w:val="21"/>
          <w:highlight w:val="none"/>
        </w:rPr>
        <w:t>5</w:t>
      </w:r>
      <w:r>
        <w:rPr>
          <w:rFonts w:hint="eastAsia" w:hAnsi="宋体"/>
          <w:color w:val="auto"/>
          <w:sz w:val="22"/>
          <w:szCs w:val="21"/>
          <w:highlight w:val="none"/>
        </w:rPr>
        <w:t>、如货物经乙方次维修仍不能达到合同约定的质量标准，甲方有权退货，并视作乙方不能交付货物而须支付违约赔偿金给甲方，甲方还可依法追究乙方的违约责任。</w:t>
      </w:r>
      <w:r>
        <w:rPr>
          <w:rFonts w:hAnsi="宋体"/>
          <w:color w:val="auto"/>
          <w:sz w:val="22"/>
          <w:szCs w:val="21"/>
          <w:highlight w:val="none"/>
        </w:rPr>
        <w:t> </w:t>
      </w:r>
    </w:p>
    <w:p>
      <w:pPr>
        <w:pStyle w:val="3"/>
        <w:spacing w:line="400" w:lineRule="exact"/>
        <w:ind w:firstLine="442" w:firstLineChars="200"/>
        <w:jc w:val="left"/>
        <w:rPr>
          <w:rFonts w:ascii="黑体" w:hAnsi="宋体"/>
          <w:color w:val="auto"/>
          <w:sz w:val="22"/>
          <w:szCs w:val="22"/>
          <w:highlight w:val="none"/>
        </w:rPr>
      </w:pPr>
      <w:bookmarkStart w:name="_Toc217446111" w:id="53"/>
      <w:r>
        <w:rPr>
          <w:rFonts w:hint="eastAsia" w:ascii="黑体" w:hAnsi="宋体"/>
          <w:color w:val="auto"/>
          <w:sz w:val="22"/>
          <w:szCs w:val="22"/>
          <w:highlight w:val="none"/>
        </w:rPr>
        <w:t>五、付款方式</w:t>
      </w:r>
      <w:bookmarkEnd w:id="53"/>
    </w:p>
    <w:p>
      <w:pPr>
        <w:pStyle w:val="230"/>
        <w:ind w:firstLine="440"/>
        <w:rPr>
          <w:rFonts w:hAnsi="宋体"/>
          <w:color w:val="auto"/>
          <w:sz w:val="22"/>
          <w:szCs w:val="21"/>
          <w:highlight w:val="none"/>
        </w:rPr>
      </w:pPr>
      <w:r>
        <w:rPr>
          <w:rFonts w:hAnsi="宋体"/>
          <w:color w:val="auto"/>
          <w:sz w:val="22"/>
          <w:szCs w:val="21"/>
          <w:highlight w:val="none"/>
        </w:rPr>
        <w:t>1</w:t>
      </w:r>
      <w:r>
        <w:rPr>
          <w:rFonts w:hint="eastAsia" w:hAnsi="宋体"/>
          <w:color w:val="auto"/>
          <w:sz w:val="22"/>
          <w:szCs w:val="21"/>
          <w:highlight w:val="none"/>
        </w:rPr>
        <w:t>、甲方在本合同签订生效之日起接到乙方通知和票据凭证资料（按合同总价的百分之计算款额￥元，人民币大写：元整）后的日内支付合同金额百分之的价款；</w:t>
      </w:r>
    </w:p>
    <w:p>
      <w:pPr>
        <w:pStyle w:val="230"/>
        <w:ind w:firstLine="440"/>
        <w:rPr>
          <w:rFonts w:hAnsi="宋体"/>
          <w:color w:val="auto"/>
          <w:sz w:val="22"/>
          <w:szCs w:val="21"/>
          <w:highlight w:val="none"/>
        </w:rPr>
      </w:pPr>
      <w:r>
        <w:rPr>
          <w:rFonts w:hAnsi="宋体"/>
          <w:color w:val="auto"/>
          <w:sz w:val="22"/>
          <w:szCs w:val="21"/>
          <w:highlight w:val="none"/>
        </w:rPr>
        <w:t>2</w:t>
      </w:r>
      <w:r>
        <w:rPr>
          <w:rFonts w:hint="eastAsia" w:hAnsi="宋体"/>
          <w:color w:val="auto"/>
          <w:sz w:val="22"/>
          <w:szCs w:val="21"/>
          <w:highlight w:val="none"/>
        </w:rPr>
        <w:t>、全部货物安装调试完毕并验收合格之日起，甲方接到乙方通知与票据凭证资料以后的日内，向乙方核拨合同总价的百分之款项：￥元，人民币大写元整；</w:t>
      </w:r>
    </w:p>
    <w:p>
      <w:pPr>
        <w:pStyle w:val="230"/>
        <w:ind w:firstLine="440"/>
        <w:rPr>
          <w:rFonts w:hAnsi="宋体"/>
          <w:color w:val="auto"/>
          <w:sz w:val="22"/>
          <w:szCs w:val="21"/>
          <w:highlight w:val="none"/>
        </w:rPr>
      </w:pPr>
      <w:r>
        <w:rPr>
          <w:rFonts w:hint="eastAsia" w:hAnsi="宋体"/>
          <w:color w:val="auto"/>
          <w:sz w:val="22"/>
          <w:szCs w:val="21"/>
          <w:highlight w:val="none"/>
        </w:rPr>
        <w:t>3、剩余合同价款按其采购文件约定于质保期满后另行支付。</w:t>
      </w:r>
    </w:p>
    <w:p>
      <w:pPr>
        <w:pStyle w:val="230"/>
        <w:ind w:firstLine="440"/>
        <w:rPr>
          <w:rFonts w:hAnsi="宋体"/>
          <w:color w:val="auto"/>
          <w:sz w:val="22"/>
          <w:szCs w:val="21"/>
          <w:highlight w:val="none"/>
        </w:rPr>
      </w:pPr>
      <w:r>
        <w:rPr>
          <w:rFonts w:hint="eastAsia" w:hAnsi="宋体"/>
          <w:color w:val="auto"/>
          <w:sz w:val="22"/>
          <w:szCs w:val="21"/>
          <w:highlight w:val="none"/>
        </w:rPr>
        <w:t>4、乙方须向甲方出具合法有效完整的完税发票及凭证资料进行支付结算。</w:t>
      </w:r>
    </w:p>
    <w:p>
      <w:pPr>
        <w:pStyle w:val="230"/>
        <w:ind w:firstLine="440"/>
        <w:rPr>
          <w:rFonts w:hAnsi="宋体"/>
          <w:color w:val="auto"/>
          <w:sz w:val="22"/>
          <w:szCs w:val="21"/>
          <w:highlight w:val="none"/>
        </w:rPr>
      </w:pPr>
    </w:p>
    <w:p>
      <w:pPr>
        <w:pStyle w:val="3"/>
        <w:spacing w:line="400" w:lineRule="exact"/>
        <w:ind w:firstLine="442" w:firstLineChars="200"/>
        <w:jc w:val="left"/>
        <w:rPr>
          <w:rFonts w:ascii="黑体" w:hAnsi="宋体"/>
          <w:color w:val="auto"/>
          <w:sz w:val="22"/>
          <w:szCs w:val="22"/>
          <w:highlight w:val="none"/>
        </w:rPr>
      </w:pPr>
      <w:bookmarkStart w:name="_Toc217446112" w:id="54"/>
      <w:r>
        <w:rPr>
          <w:rFonts w:hint="eastAsia" w:ascii="黑体" w:hAnsi="宋体"/>
          <w:color w:val="auto"/>
          <w:sz w:val="22"/>
          <w:szCs w:val="22"/>
          <w:highlight w:val="none"/>
        </w:rPr>
        <w:t>六、售后服务</w:t>
      </w:r>
      <w:bookmarkEnd w:id="54"/>
    </w:p>
    <w:p>
      <w:pPr>
        <w:pStyle w:val="230"/>
        <w:ind w:firstLine="440"/>
        <w:rPr>
          <w:rFonts w:hAnsi="宋体"/>
          <w:color w:val="auto"/>
          <w:sz w:val="22"/>
          <w:szCs w:val="21"/>
          <w:highlight w:val="none"/>
        </w:rPr>
      </w:pPr>
      <w:r>
        <w:rPr>
          <w:rFonts w:hAnsi="宋体"/>
          <w:color w:val="auto"/>
          <w:sz w:val="22"/>
          <w:szCs w:val="21"/>
          <w:highlight w:val="none"/>
        </w:rPr>
        <w:t>1</w:t>
      </w:r>
      <w:r>
        <w:rPr>
          <w:rFonts w:hint="eastAsia" w:hAnsi="宋体"/>
          <w:color w:val="auto"/>
          <w:sz w:val="22"/>
          <w:szCs w:val="21"/>
          <w:highlight w:val="none"/>
        </w:rPr>
        <w:t>、质保期为验收合格后</w:t>
      </w:r>
      <w:r>
        <w:rPr>
          <w:rFonts w:hint="eastAsia"/>
          <w:color w:val="auto"/>
          <w:sz w:val="22"/>
          <w:szCs w:val="21"/>
          <w:highlight w:val="none"/>
        </w:rPr>
        <w:t>XX</w:t>
      </w:r>
      <w:r>
        <w:rPr>
          <w:rFonts w:hint="eastAsia" w:hAnsi="宋体"/>
          <w:color w:val="auto"/>
          <w:sz w:val="22"/>
          <w:szCs w:val="21"/>
          <w:highlight w:val="none"/>
        </w:rPr>
        <w:t>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pStyle w:val="230"/>
        <w:ind w:firstLine="440"/>
        <w:rPr>
          <w:rFonts w:hAnsi="宋体"/>
          <w:color w:val="auto"/>
          <w:sz w:val="22"/>
          <w:szCs w:val="21"/>
          <w:highlight w:val="none"/>
        </w:rPr>
      </w:pPr>
      <w:r>
        <w:rPr>
          <w:rFonts w:hAnsi="宋体"/>
          <w:color w:val="auto"/>
          <w:sz w:val="22"/>
          <w:szCs w:val="21"/>
          <w:highlight w:val="none"/>
        </w:rPr>
        <w:t>2</w:t>
      </w:r>
      <w:r>
        <w:rPr>
          <w:rFonts w:hint="eastAsia" w:hAnsi="宋体"/>
          <w:color w:val="auto"/>
          <w:sz w:val="22"/>
          <w:szCs w:val="21"/>
          <w:highlight w:val="none"/>
        </w:rPr>
        <w:t>、乙方须指派专人负责与甲方联系售后服务事宜。</w:t>
      </w:r>
      <w:r>
        <w:rPr>
          <w:rFonts w:hAnsi="宋体"/>
          <w:color w:val="auto"/>
          <w:sz w:val="22"/>
          <w:szCs w:val="21"/>
          <w:highlight w:val="none"/>
        </w:rPr>
        <w:t> </w:t>
      </w:r>
    </w:p>
    <w:p>
      <w:pPr>
        <w:spacing w:line="440" w:lineRule="exact"/>
        <w:ind w:firstLine="220" w:firstLineChars="100"/>
        <w:rPr>
          <w:rFonts w:hAnsi="宋体" w:cs="宋体"/>
          <w:color w:val="auto"/>
          <w:sz w:val="22"/>
          <w:szCs w:val="21"/>
          <w:highlight w:val="none"/>
        </w:rPr>
      </w:pPr>
      <w:r>
        <w:rPr>
          <w:rFonts w:hint="eastAsia" w:hAnsi="宋体" w:cs="宋体"/>
          <w:color w:val="auto"/>
          <w:sz w:val="22"/>
          <w:szCs w:val="21"/>
          <w:highlight w:val="none"/>
        </w:rPr>
        <w:t>3、所有货物由中标商送货至甲方指定地点，并对所有货物进行上门培训或定点培训。</w:t>
      </w:r>
    </w:p>
    <w:p>
      <w:pPr>
        <w:pStyle w:val="3"/>
        <w:spacing w:line="400" w:lineRule="exact"/>
        <w:ind w:firstLine="442" w:firstLineChars="200"/>
        <w:jc w:val="left"/>
        <w:rPr>
          <w:rFonts w:ascii="黑体" w:hAnsi="宋体"/>
          <w:color w:val="auto"/>
          <w:sz w:val="22"/>
          <w:szCs w:val="22"/>
          <w:highlight w:val="none"/>
        </w:rPr>
      </w:pPr>
      <w:bookmarkStart w:name="_Toc217446113" w:id="55"/>
      <w:r>
        <w:rPr>
          <w:rFonts w:hint="eastAsia" w:ascii="黑体" w:hAnsi="宋体"/>
          <w:color w:val="auto"/>
          <w:sz w:val="22"/>
          <w:szCs w:val="22"/>
          <w:highlight w:val="none"/>
        </w:rPr>
        <w:t>七、违约责任</w:t>
      </w:r>
      <w:bookmarkEnd w:id="55"/>
    </w:p>
    <w:p>
      <w:pPr>
        <w:pStyle w:val="230"/>
        <w:ind w:firstLine="440"/>
        <w:rPr>
          <w:rFonts w:hAnsi="宋体"/>
          <w:color w:val="auto"/>
          <w:sz w:val="22"/>
          <w:szCs w:val="21"/>
          <w:highlight w:val="none"/>
        </w:rPr>
      </w:pPr>
      <w:r>
        <w:rPr>
          <w:rFonts w:hAnsi="宋体"/>
          <w:color w:val="auto"/>
          <w:sz w:val="22"/>
          <w:szCs w:val="21"/>
          <w:highlight w:val="none"/>
        </w:rPr>
        <w:t>1</w:t>
      </w:r>
      <w:r>
        <w:rPr>
          <w:rFonts w:hint="eastAsia" w:hAnsi="宋体"/>
          <w:color w:val="auto"/>
          <w:sz w:val="22"/>
          <w:szCs w:val="21"/>
          <w:highlight w:val="none"/>
        </w:rPr>
        <w:t>、甲方违约责任</w:t>
      </w:r>
    </w:p>
    <w:p>
      <w:pPr>
        <w:pStyle w:val="230"/>
        <w:ind w:firstLine="440"/>
        <w:rPr>
          <w:rFonts w:hAnsi="宋体"/>
          <w:color w:val="auto"/>
          <w:sz w:val="22"/>
          <w:szCs w:val="21"/>
          <w:highlight w:val="none"/>
        </w:rPr>
      </w:pPr>
      <w:r>
        <w:rPr>
          <w:rFonts w:hint="eastAsia" w:hAnsi="宋体"/>
          <w:color w:val="auto"/>
          <w:sz w:val="22"/>
          <w:szCs w:val="21"/>
          <w:highlight w:val="none"/>
        </w:rPr>
        <w:t>（</w:t>
      </w:r>
      <w:r>
        <w:rPr>
          <w:rFonts w:hAnsi="宋体"/>
          <w:color w:val="auto"/>
          <w:sz w:val="22"/>
          <w:szCs w:val="21"/>
          <w:highlight w:val="none"/>
        </w:rPr>
        <w:t>1</w:t>
      </w:r>
      <w:r>
        <w:rPr>
          <w:rFonts w:hint="eastAsia" w:hAnsi="宋体"/>
          <w:color w:val="auto"/>
          <w:sz w:val="22"/>
          <w:szCs w:val="21"/>
          <w:highlight w:val="none"/>
        </w:rPr>
        <w:t>）甲方无正当理由拒收货物的，甲方应偿付合同总价百分之的违约金；</w:t>
      </w:r>
    </w:p>
    <w:p>
      <w:pPr>
        <w:pStyle w:val="230"/>
        <w:ind w:firstLine="440"/>
        <w:rPr>
          <w:rFonts w:hAnsi="宋体"/>
          <w:color w:val="auto"/>
          <w:sz w:val="22"/>
          <w:szCs w:val="21"/>
          <w:highlight w:val="none"/>
        </w:rPr>
      </w:pPr>
      <w:r>
        <w:rPr>
          <w:rFonts w:hint="eastAsia" w:hAnsi="宋体"/>
          <w:color w:val="auto"/>
          <w:sz w:val="22"/>
          <w:szCs w:val="21"/>
          <w:highlight w:val="none"/>
        </w:rPr>
        <w:t>（</w:t>
      </w:r>
      <w:r>
        <w:rPr>
          <w:rFonts w:hAnsi="宋体"/>
          <w:color w:val="auto"/>
          <w:sz w:val="22"/>
          <w:szCs w:val="21"/>
          <w:highlight w:val="none"/>
        </w:rPr>
        <w:t>2</w:t>
      </w:r>
      <w:r>
        <w:rPr>
          <w:rFonts w:hint="eastAsia" w:hAnsi="宋体"/>
          <w:color w:val="auto"/>
          <w:sz w:val="22"/>
          <w:szCs w:val="21"/>
          <w:highlight w:val="none"/>
        </w:rPr>
        <w:t>）甲方逾期支付货款的，除应及时付足货款外，</w:t>
      </w:r>
      <w:r>
        <w:rPr>
          <w:rFonts w:hAnsi="宋体"/>
          <w:color w:val="auto"/>
          <w:sz w:val="22"/>
          <w:szCs w:val="21"/>
          <w:highlight w:val="none"/>
        </w:rPr>
        <w:t>应向乙方偿付欠款总额万分之 /天</w:t>
      </w:r>
      <w:r>
        <w:rPr>
          <w:rFonts w:hint="eastAsia" w:hAnsi="宋体"/>
          <w:color w:val="auto"/>
          <w:sz w:val="22"/>
          <w:szCs w:val="21"/>
          <w:highlight w:val="none"/>
        </w:rPr>
        <w:t>的违约金；逾期付款超过天的，乙方有权终止合同；</w:t>
      </w:r>
    </w:p>
    <w:p>
      <w:pPr>
        <w:pStyle w:val="230"/>
        <w:ind w:firstLine="440"/>
        <w:rPr>
          <w:rFonts w:hAnsi="宋体"/>
          <w:color w:val="auto"/>
          <w:sz w:val="22"/>
          <w:szCs w:val="21"/>
          <w:highlight w:val="none"/>
        </w:rPr>
      </w:pPr>
      <w:r>
        <w:rPr>
          <w:rFonts w:hint="eastAsia" w:hAnsi="宋体"/>
          <w:color w:val="auto"/>
          <w:sz w:val="22"/>
          <w:szCs w:val="21"/>
          <w:highlight w:val="none"/>
        </w:rPr>
        <w:t>（</w:t>
      </w:r>
      <w:r>
        <w:rPr>
          <w:rFonts w:hAnsi="宋体"/>
          <w:color w:val="auto"/>
          <w:sz w:val="22"/>
          <w:szCs w:val="21"/>
          <w:highlight w:val="none"/>
        </w:rPr>
        <w:t>3</w:t>
      </w:r>
      <w:r>
        <w:rPr>
          <w:rFonts w:hint="eastAsia" w:hAnsi="宋体"/>
          <w:color w:val="auto"/>
          <w:sz w:val="22"/>
          <w:szCs w:val="21"/>
          <w:highlight w:val="none"/>
        </w:rPr>
        <w:t>）甲方偿付的违约金不足以弥补乙方损失的，还应按乙方损失尚未弥补的部分，支付赔偿金给乙方。</w:t>
      </w:r>
    </w:p>
    <w:p>
      <w:pPr>
        <w:pStyle w:val="230"/>
        <w:ind w:firstLine="440"/>
        <w:rPr>
          <w:rFonts w:hAnsi="宋体"/>
          <w:color w:val="auto"/>
          <w:sz w:val="22"/>
          <w:szCs w:val="21"/>
          <w:highlight w:val="none"/>
        </w:rPr>
      </w:pPr>
      <w:r>
        <w:rPr>
          <w:rFonts w:hAnsi="宋体"/>
          <w:color w:val="auto"/>
          <w:sz w:val="22"/>
          <w:szCs w:val="21"/>
          <w:highlight w:val="none"/>
        </w:rPr>
        <w:t>2</w:t>
      </w:r>
      <w:r>
        <w:rPr>
          <w:rFonts w:hint="eastAsia" w:hAnsi="宋体"/>
          <w:color w:val="auto"/>
          <w:sz w:val="22"/>
          <w:szCs w:val="21"/>
          <w:highlight w:val="none"/>
        </w:rPr>
        <w:t>、乙方违约责任</w:t>
      </w:r>
    </w:p>
    <w:p>
      <w:pPr>
        <w:pStyle w:val="230"/>
        <w:ind w:firstLine="440"/>
        <w:rPr>
          <w:rFonts w:hAnsi="宋体"/>
          <w:color w:val="auto"/>
          <w:sz w:val="22"/>
          <w:szCs w:val="21"/>
          <w:highlight w:val="none"/>
        </w:rPr>
      </w:pPr>
      <w:r>
        <w:rPr>
          <w:rFonts w:hint="eastAsia" w:hAnsi="宋体"/>
          <w:color w:val="auto"/>
          <w:sz w:val="22"/>
          <w:szCs w:val="21"/>
          <w:highlight w:val="none"/>
        </w:rPr>
        <w:t>（</w:t>
      </w:r>
      <w:r>
        <w:rPr>
          <w:rFonts w:hAnsi="宋体"/>
          <w:color w:val="auto"/>
          <w:sz w:val="22"/>
          <w:szCs w:val="21"/>
          <w:highlight w:val="none"/>
        </w:rPr>
        <w:t>1</w:t>
      </w:r>
      <w:r>
        <w:rPr>
          <w:rFonts w:hint="eastAsia" w:hAnsi="宋体"/>
          <w:color w:val="auto"/>
          <w:sz w:val="22"/>
          <w:szCs w:val="21"/>
          <w:highlight w:val="none"/>
        </w:rPr>
        <w:t>）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pStyle w:val="230"/>
        <w:ind w:firstLine="440"/>
        <w:rPr>
          <w:rFonts w:hAnsi="宋体"/>
          <w:color w:val="auto"/>
          <w:sz w:val="22"/>
          <w:szCs w:val="21"/>
          <w:highlight w:val="none"/>
        </w:rPr>
      </w:pPr>
      <w:r>
        <w:rPr>
          <w:rFonts w:hint="eastAsia" w:hAnsi="宋体"/>
          <w:color w:val="auto"/>
          <w:sz w:val="22"/>
          <w:szCs w:val="21"/>
          <w:highlight w:val="none"/>
        </w:rPr>
        <w:t>（</w:t>
      </w:r>
      <w:r>
        <w:rPr>
          <w:rFonts w:hAnsi="宋体"/>
          <w:color w:val="auto"/>
          <w:sz w:val="22"/>
          <w:szCs w:val="21"/>
          <w:highlight w:val="none"/>
        </w:rPr>
        <w:t>2</w:t>
      </w:r>
      <w:r>
        <w:rPr>
          <w:rFonts w:hint="eastAsia" w:hAnsi="宋体"/>
          <w:color w:val="auto"/>
          <w:sz w:val="22"/>
          <w:szCs w:val="21"/>
          <w:highlight w:val="none"/>
        </w:rPr>
        <w:t>）乙方不能交付货物或逾期交付货物而违约的，除应及时交足货物外，</w:t>
      </w:r>
      <w:r>
        <w:rPr>
          <w:rFonts w:hAnsi="宋体"/>
          <w:color w:val="auto"/>
          <w:sz w:val="22"/>
          <w:szCs w:val="21"/>
          <w:highlight w:val="none"/>
        </w:rPr>
        <w:t>应向甲方偿付逾期交货部分货款总额的万分之 /天</w:t>
      </w:r>
      <w:r>
        <w:rPr>
          <w:rFonts w:hint="eastAsia" w:hAnsi="宋体"/>
          <w:color w:val="auto"/>
          <w:sz w:val="22"/>
          <w:szCs w:val="21"/>
          <w:highlight w:val="none"/>
        </w:rPr>
        <w:t>的违约金；逾期交货超过</w:t>
      </w:r>
      <w:r>
        <w:rPr>
          <w:rFonts w:hint="eastAsia"/>
          <w:color w:val="auto"/>
          <w:sz w:val="22"/>
          <w:szCs w:val="21"/>
          <w:highlight w:val="none"/>
        </w:rPr>
        <w:t>XX</w:t>
      </w:r>
      <w:r>
        <w:rPr>
          <w:rFonts w:hint="eastAsia" w:hAnsi="宋体"/>
          <w:color w:val="auto"/>
          <w:sz w:val="22"/>
          <w:szCs w:val="21"/>
          <w:highlight w:val="none"/>
        </w:rPr>
        <w:t>天，甲方有权终止合同，乙方则应按合同总价的百分之的款额向甲方偿付赔偿金，并须全额退还甲方已经付给乙方的货款及其利息。</w:t>
      </w:r>
    </w:p>
    <w:p>
      <w:pPr>
        <w:pStyle w:val="230"/>
        <w:ind w:firstLine="440"/>
        <w:rPr>
          <w:rFonts w:hAnsi="宋体"/>
          <w:color w:val="auto"/>
          <w:sz w:val="22"/>
          <w:szCs w:val="21"/>
          <w:highlight w:val="none"/>
        </w:rPr>
      </w:pPr>
      <w:r>
        <w:rPr>
          <w:rFonts w:hint="eastAsia" w:hAnsi="宋体"/>
          <w:color w:val="auto"/>
          <w:sz w:val="22"/>
          <w:szCs w:val="21"/>
          <w:highlight w:val="none"/>
        </w:rPr>
        <w:t>（</w:t>
      </w:r>
      <w:r>
        <w:rPr>
          <w:rFonts w:hAnsi="宋体"/>
          <w:color w:val="auto"/>
          <w:sz w:val="22"/>
          <w:szCs w:val="21"/>
          <w:highlight w:val="none"/>
        </w:rPr>
        <w:t>3</w:t>
      </w:r>
      <w:r>
        <w:rPr>
          <w:rFonts w:hint="eastAsia" w:hAnsi="宋体"/>
          <w:color w:val="auto"/>
          <w:sz w:val="22"/>
          <w:szCs w:val="21"/>
          <w:highlight w:val="none"/>
        </w:rPr>
        <w:t>）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pStyle w:val="230"/>
        <w:ind w:firstLine="440"/>
        <w:rPr>
          <w:rFonts w:hAnsi="宋体"/>
          <w:color w:val="auto"/>
          <w:sz w:val="22"/>
          <w:szCs w:val="21"/>
          <w:highlight w:val="none"/>
        </w:rPr>
      </w:pPr>
      <w:r>
        <w:rPr>
          <w:rFonts w:hint="eastAsia" w:hAnsi="宋体"/>
          <w:color w:val="auto"/>
          <w:sz w:val="22"/>
          <w:szCs w:val="21"/>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pStyle w:val="230"/>
        <w:ind w:firstLine="440"/>
        <w:rPr>
          <w:rFonts w:hAnsi="宋体"/>
          <w:color w:val="auto"/>
          <w:sz w:val="22"/>
          <w:szCs w:val="21"/>
          <w:highlight w:val="none"/>
        </w:rPr>
      </w:pPr>
      <w:r>
        <w:rPr>
          <w:rFonts w:hint="eastAsia" w:hAnsi="宋体"/>
          <w:color w:val="auto"/>
          <w:sz w:val="22"/>
          <w:szCs w:val="21"/>
          <w:highlight w:val="none"/>
        </w:rPr>
        <w:t>（</w:t>
      </w:r>
      <w:r>
        <w:rPr>
          <w:rFonts w:hAnsi="宋体"/>
          <w:color w:val="auto"/>
          <w:sz w:val="22"/>
          <w:szCs w:val="21"/>
          <w:highlight w:val="none"/>
        </w:rPr>
        <w:t>5</w:t>
      </w:r>
      <w:r>
        <w:rPr>
          <w:rFonts w:hint="eastAsia" w:hAnsi="宋体"/>
          <w:color w:val="auto"/>
          <w:sz w:val="22"/>
          <w:szCs w:val="21"/>
          <w:highlight w:val="none"/>
        </w:rPr>
        <w:t>）乙方偿付的违约金不足以弥补甲方损失的，还应按甲方损失尚未弥补的部分，支付赔偿金给甲方。</w:t>
      </w:r>
    </w:p>
    <w:p>
      <w:pPr>
        <w:pStyle w:val="3"/>
        <w:spacing w:line="400" w:lineRule="exact"/>
        <w:ind w:firstLine="442" w:firstLineChars="200"/>
        <w:jc w:val="left"/>
        <w:rPr>
          <w:rFonts w:ascii="黑体" w:hAnsi="宋体"/>
          <w:color w:val="auto"/>
          <w:sz w:val="22"/>
          <w:szCs w:val="22"/>
          <w:highlight w:val="none"/>
        </w:rPr>
      </w:pPr>
      <w:bookmarkStart w:name="_Toc217446114" w:id="56"/>
      <w:r>
        <w:rPr>
          <w:rFonts w:hint="eastAsia" w:ascii="黑体" w:hAnsi="宋体"/>
          <w:color w:val="auto"/>
          <w:sz w:val="22"/>
          <w:szCs w:val="22"/>
          <w:highlight w:val="none"/>
        </w:rPr>
        <w:t>八、争议解决办法</w:t>
      </w:r>
      <w:bookmarkEnd w:id="56"/>
    </w:p>
    <w:p>
      <w:pPr>
        <w:pStyle w:val="230"/>
        <w:ind w:firstLine="440"/>
        <w:rPr>
          <w:rFonts w:hAnsi="宋体"/>
          <w:color w:val="auto"/>
          <w:sz w:val="22"/>
          <w:szCs w:val="21"/>
          <w:highlight w:val="none"/>
        </w:rPr>
      </w:pPr>
      <w:r>
        <w:rPr>
          <w:rFonts w:hAnsi="宋体"/>
          <w:color w:val="auto"/>
          <w:sz w:val="22"/>
          <w:szCs w:val="21"/>
          <w:highlight w:val="none"/>
        </w:rPr>
        <w:t>1</w:t>
      </w:r>
      <w:r>
        <w:rPr>
          <w:rFonts w:hint="eastAsia" w:hAnsi="宋体"/>
          <w:color w:val="auto"/>
          <w:sz w:val="22"/>
          <w:szCs w:val="21"/>
          <w:highlight w:val="none"/>
        </w:rPr>
        <w:t>、因货物的质量问题发生争议，由质量技术监督部门或其指定的质量鉴定机构进行质量鉴定。货物符合标准的，鉴定费由甲方承担；货物不符合质量标准的，鉴定费由乙方承担。</w:t>
      </w:r>
    </w:p>
    <w:p>
      <w:pPr>
        <w:pStyle w:val="230"/>
        <w:ind w:firstLine="440"/>
        <w:rPr>
          <w:rFonts w:hAnsi="宋体"/>
          <w:color w:val="auto"/>
          <w:sz w:val="22"/>
          <w:szCs w:val="21"/>
          <w:highlight w:val="none"/>
        </w:rPr>
      </w:pPr>
      <w:r>
        <w:rPr>
          <w:rFonts w:hAnsi="宋体"/>
          <w:color w:val="auto"/>
          <w:sz w:val="22"/>
          <w:szCs w:val="21"/>
          <w:highlight w:val="none"/>
        </w:rPr>
        <w:t>2</w:t>
      </w:r>
      <w:r>
        <w:rPr>
          <w:rFonts w:hint="eastAsia" w:hAnsi="宋体"/>
          <w:color w:val="auto"/>
          <w:sz w:val="22"/>
          <w:szCs w:val="21"/>
          <w:highlight w:val="none"/>
        </w:rPr>
        <w:t>、合同履行期间</w:t>
      </w:r>
      <w:r>
        <w:rPr>
          <w:rFonts w:hAnsi="宋体"/>
          <w:color w:val="auto"/>
          <w:sz w:val="22"/>
          <w:szCs w:val="21"/>
          <w:highlight w:val="none"/>
        </w:rPr>
        <w:t>,</w:t>
      </w:r>
      <w:r>
        <w:rPr>
          <w:rFonts w:hint="eastAsia" w:hAnsi="宋体"/>
          <w:color w:val="auto"/>
          <w:sz w:val="22"/>
          <w:szCs w:val="21"/>
          <w:highlight w:val="none"/>
        </w:rPr>
        <w:t>若双方发生争议，可协商或由有关部门调解解决，协商或调解不成的，由当事人依法维护其合法权益。</w:t>
      </w:r>
    </w:p>
    <w:p>
      <w:pPr>
        <w:pStyle w:val="3"/>
        <w:spacing w:line="400" w:lineRule="exact"/>
        <w:ind w:firstLine="442" w:firstLineChars="200"/>
        <w:jc w:val="left"/>
        <w:rPr>
          <w:rFonts w:ascii="黑体" w:hAnsi="宋体"/>
          <w:color w:val="auto"/>
          <w:sz w:val="22"/>
          <w:szCs w:val="22"/>
          <w:highlight w:val="none"/>
        </w:rPr>
      </w:pPr>
      <w:bookmarkStart w:name="_Toc217446115" w:id="57"/>
      <w:r>
        <w:rPr>
          <w:rFonts w:hint="eastAsia" w:ascii="黑体" w:hAnsi="宋体"/>
          <w:color w:val="auto"/>
          <w:sz w:val="22"/>
          <w:szCs w:val="22"/>
          <w:highlight w:val="none"/>
        </w:rPr>
        <w:t>九、其他</w:t>
      </w:r>
      <w:bookmarkEnd w:id="57"/>
    </w:p>
    <w:p>
      <w:pPr>
        <w:pStyle w:val="230"/>
        <w:ind w:firstLine="440"/>
        <w:rPr>
          <w:rFonts w:hAnsi="宋体"/>
          <w:color w:val="auto"/>
          <w:sz w:val="22"/>
          <w:szCs w:val="21"/>
          <w:highlight w:val="none"/>
        </w:rPr>
      </w:pPr>
      <w:r>
        <w:rPr>
          <w:rFonts w:hAnsi="宋体"/>
          <w:color w:val="auto"/>
          <w:sz w:val="22"/>
          <w:szCs w:val="21"/>
          <w:highlight w:val="none"/>
        </w:rPr>
        <w:t>1</w:t>
      </w:r>
      <w:r>
        <w:rPr>
          <w:rFonts w:hint="eastAsia" w:hAnsi="宋体"/>
          <w:color w:val="auto"/>
          <w:sz w:val="22"/>
          <w:szCs w:val="21"/>
          <w:highlight w:val="none"/>
        </w:rPr>
        <w:t>、如有未尽事宜，由双方依法订立补充合同。</w:t>
      </w:r>
    </w:p>
    <w:p>
      <w:pPr>
        <w:pStyle w:val="230"/>
        <w:ind w:firstLine="440"/>
        <w:rPr>
          <w:rFonts w:hAnsi="宋体"/>
          <w:color w:val="auto"/>
          <w:sz w:val="22"/>
          <w:szCs w:val="21"/>
          <w:highlight w:val="none"/>
        </w:rPr>
      </w:pPr>
      <w:r>
        <w:rPr>
          <w:rFonts w:hAnsi="宋体"/>
          <w:color w:val="auto"/>
          <w:sz w:val="22"/>
          <w:szCs w:val="21"/>
          <w:highlight w:val="none"/>
        </w:rPr>
        <w:t>2</w:t>
      </w:r>
      <w:r>
        <w:rPr>
          <w:rFonts w:hint="eastAsia" w:hAnsi="宋体"/>
          <w:color w:val="auto"/>
          <w:sz w:val="22"/>
          <w:szCs w:val="21"/>
          <w:highlight w:val="none"/>
        </w:rPr>
        <w:t>、本合同一式四份，自双方签章之日起生效。甲方二份，乙方、采购代理机构各一份。</w:t>
      </w:r>
    </w:p>
    <w:p>
      <w:pPr>
        <w:spacing w:line="400" w:lineRule="exact"/>
        <w:rPr>
          <w:rFonts w:hAnsi="宋体"/>
          <w:color w:val="auto"/>
          <w:sz w:val="22"/>
          <w:szCs w:val="21"/>
          <w:highlight w:val="none"/>
        </w:rPr>
      </w:pPr>
    </w:p>
    <w:p>
      <w:pPr>
        <w:spacing w:line="400" w:lineRule="exact"/>
        <w:rPr>
          <w:rFonts w:hAnsi="宋体"/>
          <w:color w:val="auto"/>
          <w:sz w:val="22"/>
          <w:szCs w:val="21"/>
          <w:highlight w:val="none"/>
        </w:rPr>
      </w:pPr>
    </w:p>
    <w:p>
      <w:pPr>
        <w:spacing w:line="400" w:lineRule="exact"/>
        <w:ind w:firstLine="440" w:firstLineChars="200"/>
        <w:rPr>
          <w:rFonts w:hAnsi="宋体"/>
          <w:color w:val="auto"/>
          <w:sz w:val="22"/>
          <w:szCs w:val="21"/>
          <w:highlight w:val="none"/>
        </w:rPr>
      </w:pPr>
      <w:r>
        <w:rPr>
          <w:rFonts w:hint="eastAsia" w:hAnsi="宋体"/>
          <w:color w:val="auto"/>
          <w:sz w:val="22"/>
          <w:szCs w:val="21"/>
          <w:highlight w:val="none"/>
        </w:rPr>
        <w:t>甲方：   （盖章）</w:t>
      </w:r>
      <w:r>
        <w:rPr>
          <w:rFonts w:hAnsi="宋体"/>
          <w:color w:val="auto"/>
          <w:sz w:val="22"/>
          <w:szCs w:val="21"/>
          <w:highlight w:val="none"/>
        </w:rPr>
        <w:tab/>
      </w:r>
      <w:r>
        <w:rPr>
          <w:rFonts w:hAnsi="宋体"/>
          <w:color w:val="auto"/>
          <w:sz w:val="22"/>
          <w:szCs w:val="21"/>
          <w:highlight w:val="none"/>
        </w:rPr>
        <w:tab/>
      </w:r>
      <w:r>
        <w:rPr>
          <w:rFonts w:hAnsi="宋体"/>
          <w:color w:val="auto"/>
          <w:sz w:val="22"/>
          <w:szCs w:val="21"/>
          <w:highlight w:val="none"/>
        </w:rPr>
        <w:tab/>
      </w:r>
      <w:r>
        <w:rPr>
          <w:rFonts w:hint="eastAsia" w:hAnsi="宋体"/>
          <w:color w:val="auto"/>
          <w:sz w:val="22"/>
          <w:szCs w:val="21"/>
          <w:highlight w:val="none"/>
        </w:rPr>
        <w:t xml:space="preserve">   乙方：（盖章）</w:t>
      </w:r>
    </w:p>
    <w:p>
      <w:pPr>
        <w:spacing w:line="400" w:lineRule="exact"/>
        <w:ind w:firstLine="440" w:firstLineChars="200"/>
        <w:rPr>
          <w:rFonts w:hAnsi="宋体"/>
          <w:color w:val="auto"/>
          <w:sz w:val="22"/>
          <w:szCs w:val="21"/>
          <w:highlight w:val="none"/>
        </w:rPr>
      </w:pPr>
      <w:r>
        <w:rPr>
          <w:rFonts w:hint="eastAsia" w:hAnsi="宋体"/>
          <w:color w:val="auto"/>
          <w:sz w:val="22"/>
          <w:szCs w:val="21"/>
          <w:highlight w:val="none"/>
        </w:rPr>
        <w:t>法定代表人（授权代表）：      法定代表人（授权代表）：</w:t>
      </w:r>
    </w:p>
    <w:p>
      <w:pPr>
        <w:spacing w:line="400" w:lineRule="exact"/>
        <w:ind w:firstLine="440" w:firstLineChars="200"/>
        <w:rPr>
          <w:rFonts w:hAnsi="宋体"/>
          <w:color w:val="auto"/>
          <w:sz w:val="22"/>
          <w:szCs w:val="21"/>
          <w:highlight w:val="none"/>
        </w:rPr>
      </w:pPr>
      <w:r>
        <w:rPr>
          <w:rFonts w:hint="eastAsia" w:hAnsi="宋体"/>
          <w:color w:val="auto"/>
          <w:sz w:val="22"/>
          <w:szCs w:val="21"/>
          <w:highlight w:val="none"/>
        </w:rPr>
        <w:t>地址：地址：</w:t>
      </w:r>
    </w:p>
    <w:p>
      <w:pPr>
        <w:spacing w:line="400" w:lineRule="exact"/>
        <w:ind w:firstLine="440" w:firstLineChars="200"/>
        <w:rPr>
          <w:rFonts w:hAnsi="宋体"/>
          <w:color w:val="auto"/>
          <w:sz w:val="22"/>
          <w:szCs w:val="21"/>
          <w:highlight w:val="none"/>
        </w:rPr>
      </w:pPr>
      <w:r>
        <w:rPr>
          <w:rFonts w:hint="eastAsia" w:hAnsi="宋体"/>
          <w:color w:val="auto"/>
          <w:sz w:val="22"/>
          <w:szCs w:val="21"/>
          <w:highlight w:val="none"/>
        </w:rPr>
        <w:t>开户银行：                      开户银行：</w:t>
      </w:r>
    </w:p>
    <w:p>
      <w:pPr>
        <w:spacing w:line="400" w:lineRule="exact"/>
        <w:ind w:firstLine="440" w:firstLineChars="200"/>
        <w:rPr>
          <w:rFonts w:hAnsi="宋体"/>
          <w:color w:val="auto"/>
          <w:sz w:val="22"/>
          <w:szCs w:val="21"/>
          <w:highlight w:val="none"/>
        </w:rPr>
      </w:pPr>
      <w:r>
        <w:rPr>
          <w:rFonts w:hint="eastAsia" w:hAnsi="宋体"/>
          <w:color w:val="auto"/>
          <w:sz w:val="22"/>
          <w:szCs w:val="21"/>
          <w:highlight w:val="none"/>
        </w:rPr>
        <w:t>账号：                          账号：</w:t>
      </w:r>
    </w:p>
    <w:p>
      <w:pPr>
        <w:spacing w:line="400" w:lineRule="exact"/>
        <w:ind w:firstLine="440" w:firstLineChars="200"/>
        <w:rPr>
          <w:rFonts w:hAnsi="宋体"/>
          <w:color w:val="auto"/>
          <w:sz w:val="22"/>
          <w:szCs w:val="21"/>
          <w:highlight w:val="none"/>
        </w:rPr>
      </w:pPr>
      <w:r>
        <w:rPr>
          <w:rFonts w:hint="eastAsia" w:hAnsi="宋体"/>
          <w:color w:val="auto"/>
          <w:sz w:val="22"/>
          <w:szCs w:val="21"/>
          <w:highlight w:val="none"/>
        </w:rPr>
        <w:t>电话：                          电话：</w:t>
      </w:r>
    </w:p>
    <w:p>
      <w:pPr>
        <w:spacing w:line="400" w:lineRule="exact"/>
        <w:ind w:firstLine="440" w:firstLineChars="200"/>
        <w:rPr>
          <w:rFonts w:hAnsi="宋体"/>
          <w:color w:val="auto"/>
          <w:sz w:val="22"/>
          <w:szCs w:val="21"/>
          <w:highlight w:val="none"/>
        </w:rPr>
      </w:pPr>
      <w:r>
        <w:rPr>
          <w:rFonts w:hint="eastAsia" w:hAnsi="宋体"/>
          <w:color w:val="auto"/>
          <w:sz w:val="22"/>
          <w:szCs w:val="21"/>
          <w:highlight w:val="none"/>
        </w:rPr>
        <w:t>传真：                          传真：</w:t>
      </w:r>
    </w:p>
    <w:p>
      <w:pPr>
        <w:spacing w:line="400" w:lineRule="exact"/>
        <w:ind w:firstLine="440" w:firstLineChars="200"/>
        <w:rPr>
          <w:rFonts w:hAnsi="宋体"/>
          <w:color w:val="auto"/>
          <w:sz w:val="22"/>
          <w:szCs w:val="21"/>
          <w:highlight w:val="none"/>
        </w:rPr>
      </w:pPr>
      <w:r>
        <w:rPr>
          <w:rFonts w:hint="eastAsia" w:hAnsi="宋体"/>
          <w:color w:val="auto"/>
          <w:sz w:val="22"/>
          <w:szCs w:val="21"/>
          <w:highlight w:val="none"/>
        </w:rPr>
        <w:t>签约日期：</w:t>
      </w:r>
      <w:r>
        <w:rPr>
          <w:rFonts w:hint="eastAsia"/>
          <w:color w:val="auto"/>
          <w:sz w:val="22"/>
          <w:szCs w:val="21"/>
          <w:highlight w:val="none"/>
        </w:rPr>
        <w:t>XX</w:t>
      </w:r>
      <w:r>
        <w:rPr>
          <w:rFonts w:hint="eastAsia" w:hAnsi="宋体"/>
          <w:color w:val="auto"/>
          <w:sz w:val="22"/>
          <w:szCs w:val="21"/>
          <w:highlight w:val="none"/>
        </w:rPr>
        <w:t>年</w:t>
      </w:r>
      <w:r>
        <w:rPr>
          <w:rFonts w:hint="eastAsia"/>
          <w:color w:val="auto"/>
          <w:sz w:val="22"/>
          <w:szCs w:val="21"/>
          <w:highlight w:val="none"/>
        </w:rPr>
        <w:t>XX</w:t>
      </w:r>
      <w:r>
        <w:rPr>
          <w:rFonts w:hint="eastAsia" w:hAnsi="宋体"/>
          <w:color w:val="auto"/>
          <w:sz w:val="22"/>
          <w:szCs w:val="21"/>
          <w:highlight w:val="none"/>
        </w:rPr>
        <w:t>月</w:t>
      </w:r>
      <w:r>
        <w:rPr>
          <w:rFonts w:hint="eastAsia"/>
          <w:color w:val="auto"/>
          <w:sz w:val="22"/>
          <w:szCs w:val="21"/>
          <w:highlight w:val="none"/>
        </w:rPr>
        <w:t>XX</w:t>
      </w:r>
      <w:r>
        <w:rPr>
          <w:rFonts w:hint="eastAsia" w:hAnsi="宋体"/>
          <w:color w:val="auto"/>
          <w:sz w:val="22"/>
          <w:szCs w:val="21"/>
          <w:highlight w:val="none"/>
        </w:rPr>
        <w:t>日</w:t>
      </w:r>
      <w:r>
        <w:rPr>
          <w:rFonts w:hAnsi="宋体"/>
          <w:color w:val="auto"/>
          <w:sz w:val="22"/>
          <w:szCs w:val="21"/>
          <w:highlight w:val="none"/>
        </w:rPr>
        <w:tab/>
      </w:r>
      <w:r>
        <w:rPr>
          <w:rFonts w:hAnsi="宋体"/>
          <w:color w:val="auto"/>
          <w:sz w:val="22"/>
          <w:szCs w:val="21"/>
          <w:highlight w:val="none"/>
        </w:rPr>
        <w:tab/>
      </w:r>
      <w:r>
        <w:rPr>
          <w:rFonts w:hint="eastAsia" w:hAnsi="宋体"/>
          <w:color w:val="auto"/>
          <w:sz w:val="22"/>
          <w:szCs w:val="21"/>
          <w:highlight w:val="none"/>
        </w:rPr>
        <w:t>签约日期：</w:t>
      </w:r>
      <w:r>
        <w:rPr>
          <w:rFonts w:hint="eastAsia"/>
          <w:color w:val="auto"/>
          <w:sz w:val="22"/>
          <w:szCs w:val="21"/>
          <w:highlight w:val="none"/>
        </w:rPr>
        <w:t>XX</w:t>
      </w:r>
      <w:r>
        <w:rPr>
          <w:rFonts w:hint="eastAsia" w:hAnsi="宋体"/>
          <w:color w:val="auto"/>
          <w:sz w:val="22"/>
          <w:szCs w:val="21"/>
          <w:highlight w:val="none"/>
        </w:rPr>
        <w:t>年</w:t>
      </w:r>
      <w:r>
        <w:rPr>
          <w:rFonts w:hint="eastAsia"/>
          <w:color w:val="auto"/>
          <w:sz w:val="22"/>
          <w:szCs w:val="21"/>
          <w:highlight w:val="none"/>
        </w:rPr>
        <w:t>XX</w:t>
      </w:r>
      <w:r>
        <w:rPr>
          <w:rFonts w:hint="eastAsia" w:hAnsi="宋体"/>
          <w:color w:val="auto"/>
          <w:sz w:val="22"/>
          <w:szCs w:val="21"/>
          <w:highlight w:val="none"/>
        </w:rPr>
        <w:t>月</w:t>
      </w:r>
      <w:r>
        <w:rPr>
          <w:rFonts w:hint="eastAsia"/>
          <w:color w:val="auto"/>
          <w:sz w:val="22"/>
          <w:szCs w:val="21"/>
          <w:highlight w:val="none"/>
        </w:rPr>
        <w:t>XX日</w:t>
      </w:r>
    </w:p>
    <w:p>
      <w:pPr>
        <w:adjustRightInd w:val="false"/>
        <w:snapToGrid w:val="false"/>
        <w:spacing w:beforeLines="50" w:afterLines="50" w:line="360" w:lineRule="auto"/>
        <w:rPr>
          <w:rFonts w:hAnsi="宋体" w:cs="宋体"/>
          <w:color w:val="auto"/>
          <w:highlight w:val="none"/>
        </w:rPr>
      </w:pPr>
      <w:r>
        <w:rPr>
          <w:rFonts w:ascii="宋体" w:hAnsi="宋体" w:eastAsia="宋体"/>
          <w:b/>
          <w:color w:val="auto"/>
          <w:sz w:val="24"/>
          <w:highlight w:val="none"/>
        </w:rPr>
        <w:br w:type="page"/>
      </w:r>
    </w:p>
    <w:p>
      <w:pPr>
        <w:pStyle w:val="40"/>
        <w:rPr>
          <w:rFonts w:ascii="Times New Roman" w:hAnsi="Times New Roman"/>
          <w:color w:val="auto"/>
          <w:sz w:val="40"/>
          <w:szCs w:val="40"/>
          <w:highlight w:val="none"/>
        </w:rPr>
      </w:pPr>
      <w:bookmarkStart w:name="_Toc14167" w:id="58"/>
      <w:r>
        <w:rPr>
          <w:rFonts w:ascii="Times New Roman" w:hAnsi="Times New Roman"/>
          <w:color w:val="auto"/>
          <w:sz w:val="40"/>
          <w:szCs w:val="40"/>
          <w:highlight w:val="none"/>
        </w:rPr>
        <w:t>第七章  响应文件（格式）</w:t>
      </w:r>
      <w:bookmarkEnd w:id="46"/>
      <w:bookmarkEnd w:id="47"/>
      <w:bookmarkEnd w:id="48"/>
      <w:bookmarkEnd w:id="58"/>
    </w:p>
    <w:p>
      <w:pPr>
        <w:rPr>
          <w:color w:val="auto"/>
          <w:highlight w:val="none"/>
        </w:rPr>
      </w:pPr>
    </w:p>
    <w:p>
      <w:pPr>
        <w:jc w:val="center"/>
        <w:rPr>
          <w:b/>
          <w:color w:val="auto"/>
          <w:w w:val="90"/>
          <w:sz w:val="52"/>
          <w:szCs w:val="52"/>
          <w:highlight w:val="none"/>
        </w:rPr>
      </w:pPr>
      <w:bookmarkStart w:name="_Toc10990_WPSOffice_Level1" w:id="59"/>
    </w:p>
    <w:p>
      <w:pPr>
        <w:jc w:val="center"/>
        <w:rPr>
          <w:b/>
          <w:color w:val="auto"/>
          <w:w w:val="90"/>
          <w:sz w:val="72"/>
          <w:szCs w:val="72"/>
          <w:highlight w:val="none"/>
        </w:rPr>
      </w:pPr>
      <w:r>
        <w:rPr>
          <w:b/>
          <w:color w:val="auto"/>
          <w:w w:val="90"/>
          <w:sz w:val="72"/>
          <w:szCs w:val="72"/>
          <w:highlight w:val="none"/>
        </w:rPr>
        <w:t>政府采购项目</w:t>
      </w:r>
      <w:bookmarkEnd w:id="59"/>
    </w:p>
    <w:p>
      <w:pPr>
        <w:jc w:val="both"/>
        <w:rPr>
          <w:b/>
          <w:color w:val="auto"/>
          <w:sz w:val="44"/>
          <w:highlight w:val="none"/>
        </w:rPr>
      </w:pPr>
      <w:bookmarkStart w:name="_Toc27760_WPSOffice_Level1" w:id="60"/>
      <w:r>
        <w:rPr>
          <w:rFonts w:hAnsi="宋体"/>
          <w:b/>
          <w:color w:val="auto"/>
          <w:sz w:val="56"/>
          <w:szCs w:val="22"/>
          <w:highlight w:val="none"/>
        </w:rPr>
        <w:t>资格性/技术服务性响应文件</w:t>
      </w:r>
      <w:r>
        <w:rPr>
          <w:b/>
          <w:color w:val="auto"/>
          <w:sz w:val="44"/>
          <w:highlight w:val="none"/>
        </w:rPr>
        <w:t>（封面）</w:t>
      </w:r>
      <w:bookmarkEnd w:id="60"/>
    </w:p>
    <w:p>
      <w:pPr>
        <w:jc w:val="center"/>
        <w:rPr>
          <w:b/>
          <w:color w:val="auto"/>
          <w:sz w:val="36"/>
          <w:highlight w:val="none"/>
        </w:rPr>
      </w:pPr>
    </w:p>
    <w:p>
      <w:pPr>
        <w:jc w:val="center"/>
        <w:rPr>
          <w:b/>
          <w:color w:val="auto"/>
          <w:sz w:val="36"/>
          <w:highlight w:val="none"/>
        </w:rPr>
      </w:pPr>
    </w:p>
    <w:p>
      <w:pPr>
        <w:ind w:firstLine="1970" w:firstLineChars="545"/>
        <w:rPr>
          <w:rFonts w:hAnsi="宋体"/>
          <w:b/>
          <w:color w:val="auto"/>
          <w:sz w:val="36"/>
          <w:highlight w:val="none"/>
          <w:u w:val="single"/>
        </w:rPr>
      </w:pPr>
      <w:bookmarkStart w:name="_Toc24458_WPSOffice_Level1" w:id="61"/>
      <w:r>
        <w:rPr>
          <w:rFonts w:hAnsi="宋体"/>
          <w:b/>
          <w:color w:val="auto"/>
          <w:sz w:val="36"/>
          <w:highlight w:val="none"/>
        </w:rPr>
        <w:t>项目名称：</w:t>
      </w:r>
      <w:bookmarkEnd w:id="61"/>
    </w:p>
    <w:p>
      <w:pPr>
        <w:ind w:firstLine="1970" w:firstLineChars="545"/>
        <w:rPr>
          <w:rFonts w:hAnsi="宋体"/>
          <w:b/>
          <w:color w:val="auto"/>
          <w:sz w:val="36"/>
          <w:highlight w:val="none"/>
          <w:u w:val="single"/>
        </w:rPr>
      </w:pPr>
      <w:bookmarkStart w:name="_Toc5007_WPSOffice_Level1" w:id="62"/>
      <w:r>
        <w:rPr>
          <w:rFonts w:hint="eastAsia" w:hAnsi="宋体"/>
          <w:b/>
          <w:color w:val="auto"/>
          <w:sz w:val="36"/>
          <w:highlight w:val="none"/>
        </w:rPr>
        <w:t>项目编号</w:t>
      </w:r>
      <w:r>
        <w:rPr>
          <w:rFonts w:hAnsi="宋体"/>
          <w:b/>
          <w:color w:val="auto"/>
          <w:sz w:val="36"/>
          <w:highlight w:val="none"/>
        </w:rPr>
        <w:t>：</w:t>
      </w:r>
      <w:bookmarkEnd w:id="62"/>
    </w:p>
    <w:p>
      <w:pPr>
        <w:spacing w:line="360" w:lineRule="auto"/>
        <w:jc w:val="center"/>
        <w:rPr>
          <w:rFonts w:hAnsi="宋体"/>
          <w:b/>
          <w:color w:val="auto"/>
          <w:sz w:val="36"/>
          <w:highlight w:val="none"/>
        </w:rPr>
      </w:pPr>
    </w:p>
    <w:p>
      <w:pPr>
        <w:jc w:val="center"/>
        <w:rPr>
          <w:rFonts w:hAnsi="宋体"/>
          <w:b/>
          <w:color w:val="auto"/>
          <w:sz w:val="36"/>
          <w:highlight w:val="none"/>
        </w:rPr>
      </w:pPr>
      <w:bookmarkStart w:name="_Toc29432_WPSOffice_Level1" w:id="63"/>
      <w:r>
        <w:rPr>
          <w:rFonts w:hAnsi="宋体"/>
          <w:b/>
          <w:color w:val="auto"/>
          <w:sz w:val="36"/>
          <w:highlight w:val="none"/>
        </w:rPr>
        <w:t>（正本/副本）</w:t>
      </w:r>
      <w:bookmarkEnd w:id="63"/>
    </w:p>
    <w:p>
      <w:pPr>
        <w:rPr>
          <w:rFonts w:hAnsi="宋体"/>
          <w:b/>
          <w:color w:val="auto"/>
          <w:sz w:val="36"/>
          <w:highlight w:val="none"/>
        </w:rPr>
      </w:pPr>
    </w:p>
    <w:p>
      <w:pPr>
        <w:rPr>
          <w:rFonts w:hAnsi="宋体"/>
          <w:b/>
          <w:color w:val="auto"/>
          <w:sz w:val="36"/>
          <w:highlight w:val="none"/>
        </w:rPr>
      </w:pPr>
    </w:p>
    <w:p>
      <w:pPr>
        <w:rPr>
          <w:rFonts w:hAnsi="宋体"/>
          <w:b/>
          <w:color w:val="auto"/>
          <w:sz w:val="36"/>
          <w:highlight w:val="none"/>
        </w:rPr>
      </w:pPr>
    </w:p>
    <w:p>
      <w:pPr>
        <w:spacing w:line="440" w:lineRule="exact"/>
        <w:rPr>
          <w:rFonts w:hAnsi="宋体"/>
          <w:b/>
          <w:color w:val="auto"/>
          <w:sz w:val="36"/>
          <w:highlight w:val="none"/>
        </w:rPr>
      </w:pPr>
    </w:p>
    <w:p>
      <w:pPr>
        <w:pStyle w:val="18"/>
        <w:rPr>
          <w:color w:val="auto"/>
          <w:highlight w:val="none"/>
        </w:rPr>
      </w:pPr>
    </w:p>
    <w:p>
      <w:pPr>
        <w:spacing w:line="500" w:lineRule="exact"/>
        <w:ind w:firstLine="482" w:firstLineChars="150"/>
        <w:rPr>
          <w:b/>
          <w:color w:val="auto"/>
          <w:sz w:val="32"/>
          <w:highlight w:val="none"/>
        </w:rPr>
      </w:pPr>
      <w:bookmarkStart w:name="_Toc14335_WPSOffice_Level1" w:id="64"/>
      <w:r>
        <w:rPr>
          <w:b/>
          <w:color w:val="auto"/>
          <w:sz w:val="32"/>
          <w:highlight w:val="none"/>
        </w:rPr>
        <w:t xml:space="preserve">供应商名称 ：         </w:t>
      </w:r>
      <w:r>
        <w:rPr>
          <w:rFonts w:hint="eastAsia"/>
          <w:b/>
          <w:color w:val="auto"/>
          <w:sz w:val="32"/>
          <w:highlight w:val="none"/>
        </w:rPr>
        <w:t>（盖公章）</w:t>
      </w:r>
      <w:bookmarkEnd w:id="64"/>
    </w:p>
    <w:p>
      <w:pPr>
        <w:spacing w:line="500" w:lineRule="exact"/>
        <w:ind w:firstLine="479" w:firstLineChars="149"/>
        <w:rPr>
          <w:b/>
          <w:color w:val="auto"/>
          <w:sz w:val="32"/>
          <w:highlight w:val="none"/>
        </w:rPr>
      </w:pPr>
      <w:bookmarkStart w:name="_Toc32275_WPSOffice_Level1" w:id="65"/>
      <w:r>
        <w:rPr>
          <w:b/>
          <w:color w:val="auto"/>
          <w:sz w:val="32"/>
          <w:highlight w:val="none"/>
        </w:rPr>
        <w:t xml:space="preserve">法定代表人姓名：  </w:t>
      </w:r>
      <w:r>
        <w:rPr>
          <w:rFonts w:hint="eastAsia"/>
          <w:b/>
          <w:color w:val="auto"/>
          <w:sz w:val="32"/>
          <w:highlight w:val="none"/>
        </w:rPr>
        <w:t xml:space="preserve">     （签字或盖章）</w:t>
      </w:r>
      <w:bookmarkEnd w:id="65"/>
    </w:p>
    <w:p>
      <w:pPr>
        <w:spacing w:line="500" w:lineRule="exact"/>
        <w:ind w:firstLine="482" w:firstLineChars="150"/>
        <w:rPr>
          <w:b/>
          <w:color w:val="auto"/>
          <w:sz w:val="32"/>
          <w:highlight w:val="none"/>
          <w:u w:val="single"/>
        </w:rPr>
      </w:pPr>
      <w:bookmarkStart w:name="_Toc28560_WPSOffice_Level1" w:id="66"/>
      <w:r>
        <w:rPr>
          <w:b/>
          <w:color w:val="auto"/>
          <w:sz w:val="32"/>
          <w:highlight w:val="none"/>
        </w:rPr>
        <w:t>地址：</w:t>
      </w:r>
      <w:bookmarkEnd w:id="66"/>
      <w:r>
        <w:rPr>
          <w:rFonts w:hint="eastAsia"/>
          <w:b/>
          <w:color w:val="auto"/>
          <w:sz w:val="32"/>
          <w:highlight w:val="none"/>
        </w:rPr>
        <w:t xml:space="preserve">         </w:t>
      </w:r>
      <w:bookmarkStart w:name="_Toc1625_WPSOffice_Level1" w:id="67"/>
      <w:r>
        <w:rPr>
          <w:b/>
          <w:color w:val="auto"/>
          <w:sz w:val="32"/>
          <w:highlight w:val="none"/>
        </w:rPr>
        <w:t>邮编：</w:t>
      </w:r>
      <w:bookmarkEnd w:id="67"/>
    </w:p>
    <w:p>
      <w:pPr>
        <w:spacing w:line="500" w:lineRule="exact"/>
        <w:ind w:firstLine="475" w:firstLineChars="148"/>
        <w:rPr>
          <w:b/>
          <w:color w:val="auto"/>
          <w:sz w:val="32"/>
          <w:highlight w:val="none"/>
          <w:u w:val="single"/>
        </w:rPr>
      </w:pPr>
      <w:bookmarkStart w:name="_Toc7410_WPSOffice_Level1" w:id="68"/>
      <w:r>
        <w:rPr>
          <w:b/>
          <w:color w:val="auto"/>
          <w:sz w:val="32"/>
          <w:highlight w:val="none"/>
        </w:rPr>
        <w:t>电话：</w:t>
      </w:r>
      <w:bookmarkEnd w:id="68"/>
    </w:p>
    <w:p>
      <w:pPr>
        <w:spacing w:line="500" w:lineRule="exact"/>
        <w:ind w:firstLine="482" w:firstLineChars="150"/>
        <w:rPr>
          <w:b/>
          <w:color w:val="auto"/>
          <w:sz w:val="32"/>
          <w:highlight w:val="none"/>
        </w:rPr>
      </w:pPr>
      <w:bookmarkStart w:name="_Toc26930_WPSOffice_Level1" w:id="69"/>
      <w:r>
        <w:rPr>
          <w:b/>
          <w:color w:val="auto"/>
          <w:sz w:val="32"/>
          <w:highlight w:val="none"/>
        </w:rPr>
        <w:t>电子邮箱：</w:t>
      </w:r>
      <w:bookmarkEnd w:id="69"/>
    </w:p>
    <w:p>
      <w:pPr>
        <w:spacing w:line="500" w:lineRule="exact"/>
        <w:ind w:firstLine="482" w:firstLineChars="150"/>
        <w:rPr>
          <w:b/>
          <w:color w:val="auto"/>
          <w:sz w:val="32"/>
          <w:highlight w:val="none"/>
          <w:u w:val="single"/>
        </w:rPr>
      </w:pPr>
      <w:bookmarkStart w:name="OLE_LINK16" w:id="70"/>
      <w:bookmarkStart w:name="_Toc6449_WPSOffice_Level1" w:id="71"/>
      <w:r>
        <w:rPr>
          <w:rFonts w:hint="eastAsia"/>
          <w:b/>
          <w:color w:val="auto"/>
          <w:sz w:val="32"/>
          <w:highlight w:val="none"/>
        </w:rPr>
        <w:t>委托代理人</w:t>
      </w:r>
      <w:bookmarkEnd w:id="70"/>
      <w:r>
        <w:rPr>
          <w:b/>
          <w:color w:val="auto"/>
          <w:sz w:val="32"/>
          <w:highlight w:val="none"/>
        </w:rPr>
        <w:t>：</w:t>
      </w:r>
      <w:r>
        <w:rPr>
          <w:rFonts w:hint="eastAsia"/>
          <w:b/>
          <w:color w:val="auto"/>
          <w:sz w:val="32"/>
          <w:highlight w:val="none"/>
        </w:rPr>
        <w:t xml:space="preserve">  （签字或盖章）</w:t>
      </w:r>
      <w:r>
        <w:rPr>
          <w:b/>
          <w:color w:val="auto"/>
          <w:sz w:val="32"/>
          <w:highlight w:val="none"/>
        </w:rPr>
        <w:t>：</w:t>
      </w:r>
      <w:bookmarkEnd w:id="71"/>
    </w:p>
    <w:p>
      <w:pPr>
        <w:spacing w:line="500" w:lineRule="exact"/>
        <w:ind w:firstLine="482" w:firstLineChars="150"/>
        <w:rPr>
          <w:b/>
          <w:color w:val="auto"/>
          <w:sz w:val="32"/>
          <w:highlight w:val="none"/>
        </w:rPr>
      </w:pPr>
      <w:bookmarkStart w:name="_Toc7793_WPSOffice_Level1" w:id="72"/>
      <w:r>
        <w:rPr>
          <w:b/>
          <w:color w:val="auto"/>
          <w:sz w:val="32"/>
          <w:highlight w:val="none"/>
        </w:rPr>
        <w:t xml:space="preserve">电话：  </w:t>
      </w:r>
    </w:p>
    <w:p>
      <w:pPr>
        <w:spacing w:line="500" w:lineRule="exact"/>
        <w:ind w:firstLine="321" w:firstLineChars="100"/>
        <w:rPr>
          <w:b/>
          <w:color w:val="auto"/>
          <w:sz w:val="32"/>
          <w:highlight w:val="none"/>
        </w:rPr>
      </w:pPr>
      <w:r>
        <w:rPr>
          <w:rFonts w:hint="eastAsia"/>
          <w:b/>
          <w:color w:val="auto"/>
          <w:sz w:val="32"/>
          <w:highlight w:val="none"/>
        </w:rPr>
        <w:t xml:space="preserve"> </w:t>
      </w:r>
      <w:r>
        <w:rPr>
          <w:b/>
          <w:color w:val="auto"/>
          <w:sz w:val="32"/>
          <w:highlight w:val="none"/>
        </w:rPr>
        <w:t>日期 ：年</w:t>
      </w:r>
      <w:r>
        <w:rPr>
          <w:rFonts w:hint="eastAsia"/>
          <w:b/>
          <w:color w:val="auto"/>
          <w:sz w:val="32"/>
          <w:highlight w:val="none"/>
        </w:rPr>
        <w:t xml:space="preserve">  </w:t>
      </w:r>
      <w:r>
        <w:rPr>
          <w:b/>
          <w:color w:val="auto"/>
          <w:sz w:val="32"/>
          <w:highlight w:val="none"/>
        </w:rPr>
        <w:t>月</w:t>
      </w:r>
      <w:r>
        <w:rPr>
          <w:rFonts w:hint="eastAsia"/>
          <w:b/>
          <w:color w:val="auto"/>
          <w:sz w:val="32"/>
          <w:highlight w:val="none"/>
        </w:rPr>
        <w:t xml:space="preserve">  </w:t>
      </w:r>
      <w:r>
        <w:rPr>
          <w:b/>
          <w:color w:val="auto"/>
          <w:sz w:val="32"/>
          <w:highlight w:val="none"/>
        </w:rPr>
        <w:t>日</w:t>
      </w:r>
      <w:bookmarkEnd w:id="72"/>
    </w:p>
    <w:p>
      <w:pPr>
        <w:spacing w:line="500" w:lineRule="exact"/>
        <w:rPr>
          <w:color w:val="auto"/>
          <w:highlight w:val="none"/>
        </w:rPr>
        <w:sectPr>
          <w:headerReference w:type="default" r:id="rId5"/>
          <w:footerReference w:type="default" r:id="rId6"/>
          <w:footerReference w:type="even" r:id="rId7"/>
          <w:type w:val="continuous"/>
          <w:pgSz w:w="11907" w:h="16840"/>
          <w:pgMar w:top="1440" w:right="1800" w:bottom="1440" w:left="1800" w:header="851" w:footer="992" w:gutter="0"/>
          <w:cols w:space="720" w:num="1"/>
          <w:docGrid w:linePitch="326" w:charSpace="0"/>
        </w:sectPr>
      </w:pPr>
    </w:p>
    <w:p>
      <w:pPr>
        <w:spacing w:line="360" w:lineRule="auto"/>
        <w:jc w:val="both"/>
        <w:rPr>
          <w:b/>
          <w:color w:val="auto"/>
          <w:highlight w:val="none"/>
        </w:rPr>
      </w:pPr>
    </w:p>
    <w:p>
      <w:pPr>
        <w:spacing w:line="360" w:lineRule="auto"/>
        <w:jc w:val="both"/>
        <w:rPr>
          <w:b/>
          <w:color w:val="auto"/>
          <w:highlight w:val="none"/>
        </w:rPr>
      </w:pPr>
      <w:r>
        <w:rPr>
          <w:b/>
          <w:color w:val="auto"/>
          <w:highlight w:val="none"/>
        </w:rPr>
        <w:t>响应文件分资格性响应文件和技术、</w:t>
      </w:r>
      <w:r>
        <w:rPr>
          <w:rFonts w:hint="eastAsia"/>
          <w:b/>
          <w:color w:val="auto"/>
          <w:highlight w:val="none"/>
        </w:rPr>
        <w:t>服务性</w:t>
      </w:r>
      <w:r>
        <w:rPr>
          <w:b/>
          <w:color w:val="auto"/>
          <w:highlight w:val="none"/>
        </w:rPr>
        <w:t>响应文件两部分，应分册装订密封</w:t>
      </w:r>
    </w:p>
    <w:p>
      <w:pPr>
        <w:spacing w:line="360" w:lineRule="auto"/>
        <w:jc w:val="center"/>
        <w:rPr>
          <w:b/>
          <w:color w:val="auto"/>
          <w:sz w:val="32"/>
          <w:highlight w:val="none"/>
        </w:rPr>
      </w:pPr>
      <w:bookmarkStart w:name="_Toc21483_WPSOffice_Level1" w:id="73"/>
      <w:r>
        <w:rPr>
          <w:b/>
          <w:color w:val="auto"/>
          <w:sz w:val="32"/>
          <w:highlight w:val="none"/>
        </w:rPr>
        <w:t>第一部分     资格性响应文件（格式）</w:t>
      </w:r>
      <w:bookmarkEnd w:id="73"/>
    </w:p>
    <w:p>
      <w:pPr>
        <w:spacing w:line="360" w:lineRule="auto"/>
        <w:jc w:val="center"/>
        <w:rPr>
          <w:color w:val="auto"/>
          <w:highlight w:val="none"/>
        </w:rPr>
      </w:pPr>
      <w:r>
        <w:rPr>
          <w:b/>
          <w:color w:val="auto"/>
          <w:highlight w:val="none"/>
        </w:rPr>
        <w:t>一、供应商的资格证明文件</w:t>
      </w:r>
    </w:p>
    <w:p>
      <w:pPr>
        <w:spacing w:line="360" w:lineRule="auto"/>
        <w:rPr>
          <w:b/>
          <w:color w:val="auto"/>
          <w:highlight w:val="none"/>
        </w:rPr>
      </w:pPr>
      <w:r>
        <w:rPr>
          <w:b/>
          <w:color w:val="auto"/>
          <w:highlight w:val="none"/>
        </w:rPr>
        <w:t>附件1－1</w:t>
      </w:r>
    </w:p>
    <w:p>
      <w:pPr>
        <w:spacing w:line="360" w:lineRule="auto"/>
        <w:ind w:right="480"/>
        <w:jc w:val="center"/>
        <w:rPr>
          <w:rFonts w:hAnsi="宋体"/>
          <w:color w:val="auto"/>
          <w:sz w:val="28"/>
          <w:szCs w:val="28"/>
          <w:highlight w:val="none"/>
        </w:rPr>
      </w:pPr>
      <w:r>
        <w:rPr>
          <w:rFonts w:hint="eastAsia" w:hAnsi="宋体"/>
          <w:b/>
          <w:color w:val="auto"/>
          <w:sz w:val="28"/>
          <w:szCs w:val="28"/>
          <w:highlight w:val="none"/>
        </w:rPr>
        <w:t>法定代表人授权书</w:t>
      </w:r>
    </w:p>
    <w:p>
      <w:pPr>
        <w:spacing w:line="360" w:lineRule="auto"/>
        <w:rPr>
          <w:rFonts w:hAnsi="宋体"/>
          <w:color w:val="auto"/>
          <w:highlight w:val="none"/>
        </w:rPr>
      </w:pPr>
      <w:r>
        <w:rPr>
          <w:rFonts w:hint="eastAsia" w:hAnsi="宋体"/>
          <w:color w:val="auto"/>
          <w:highlight w:val="none"/>
        </w:rPr>
        <w:t>致：</w:t>
      </w:r>
      <w:r>
        <w:rPr>
          <w:rFonts w:hint="eastAsia" w:hAnsi="宋体"/>
          <w:b/>
          <w:color w:val="auto"/>
          <w:highlight w:val="none"/>
          <w:u w:val="single"/>
        </w:rPr>
        <w:t>四川国际招标有限责任公司</w:t>
      </w:r>
    </w:p>
    <w:p>
      <w:pPr>
        <w:pStyle w:val="23"/>
        <w:snapToGrid w:val="false"/>
        <w:spacing w:line="360" w:lineRule="auto"/>
        <w:ind w:firstLine="480" w:firstLineChars="200"/>
        <w:jc w:val="left"/>
        <w:rPr>
          <w:rFonts w:hint="default" w:hAnsi="宋体"/>
          <w:color w:val="auto"/>
          <w:sz w:val="24"/>
          <w:szCs w:val="24"/>
          <w:highlight w:val="none"/>
        </w:rPr>
      </w:pPr>
      <w:r>
        <w:rPr>
          <w:rFonts w:hAnsi="宋体"/>
          <w:color w:val="auto"/>
          <w:sz w:val="24"/>
          <w:szCs w:val="24"/>
          <w:highlight w:val="none"/>
          <w:u w:val="single"/>
        </w:rPr>
        <w:t>（供应商全称）</w:t>
      </w:r>
      <w:r>
        <w:rPr>
          <w:rFonts w:hAnsi="宋体"/>
          <w:color w:val="auto"/>
          <w:sz w:val="24"/>
          <w:szCs w:val="24"/>
          <w:highlight w:val="none"/>
        </w:rPr>
        <w:t>法定代表人</w:t>
      </w:r>
      <w:r>
        <w:rPr>
          <w:rFonts w:hAnsi="宋体"/>
          <w:color w:val="auto"/>
          <w:sz w:val="24"/>
          <w:szCs w:val="24"/>
          <w:highlight w:val="none"/>
          <w:u w:val="single"/>
        </w:rPr>
        <w:t xml:space="preserve">  （法定代表人姓名）</w:t>
      </w:r>
      <w:r>
        <w:rPr>
          <w:rFonts w:hAnsi="宋体"/>
          <w:color w:val="auto"/>
          <w:sz w:val="24"/>
          <w:szCs w:val="24"/>
          <w:highlight w:val="none"/>
        </w:rPr>
        <w:t xml:space="preserve"> 授权</w:t>
      </w:r>
      <w:r>
        <w:rPr>
          <w:rFonts w:hAnsi="宋体"/>
          <w:color w:val="auto"/>
          <w:sz w:val="24"/>
          <w:szCs w:val="24"/>
          <w:highlight w:val="none"/>
          <w:u w:val="single"/>
        </w:rPr>
        <w:t xml:space="preserve">  （响应代表姓名）</w:t>
      </w:r>
      <w:r>
        <w:rPr>
          <w:rFonts w:hAnsi="宋体"/>
          <w:color w:val="auto"/>
          <w:sz w:val="24"/>
          <w:szCs w:val="24"/>
          <w:highlight w:val="none"/>
        </w:rPr>
        <w:t>为响应代表，代表本公司参加贵司组织的</w:t>
      </w:r>
      <w:r>
        <w:rPr>
          <w:rFonts w:hAnsi="宋体"/>
          <w:color w:val="auto"/>
          <w:sz w:val="24"/>
          <w:szCs w:val="24"/>
          <w:highlight w:val="none"/>
          <w:u w:val="single"/>
        </w:rPr>
        <w:t>项目名称+项目编号</w:t>
      </w:r>
      <w:r>
        <w:rPr>
          <w:rFonts w:hAnsi="宋体"/>
          <w:color w:val="auto"/>
          <w:sz w:val="24"/>
          <w:szCs w:val="24"/>
          <w:highlight w:val="none"/>
        </w:rPr>
        <w:t>谈判活动，以我方名义全权处理该项目有关谈判、签订合同以及执行合同等一切事宜。</w:t>
      </w:r>
    </w:p>
    <w:p>
      <w:pPr>
        <w:spacing w:line="360" w:lineRule="auto"/>
        <w:ind w:firstLine="480" w:firstLineChars="200"/>
        <w:rPr>
          <w:rFonts w:hAnsi="宋体"/>
          <w:color w:val="auto"/>
          <w:highlight w:val="none"/>
        </w:rPr>
      </w:pPr>
      <w:r>
        <w:rPr>
          <w:rFonts w:hint="eastAsia" w:hAnsi="宋体"/>
          <w:color w:val="auto"/>
          <w:highlight w:val="none"/>
        </w:rPr>
        <w:t>特此声明。</w:t>
      </w:r>
    </w:p>
    <w:p>
      <w:pPr>
        <w:spacing w:line="360" w:lineRule="auto"/>
        <w:rPr>
          <w:rFonts w:hAnsi="宋体"/>
          <w:color w:val="auto"/>
          <w:highlight w:val="none"/>
        </w:rPr>
      </w:pPr>
    </w:p>
    <w:p>
      <w:pPr>
        <w:spacing w:line="360" w:lineRule="auto"/>
        <w:ind w:firstLine="480" w:firstLineChars="200"/>
        <w:rPr>
          <w:rFonts w:hAnsi="宋体"/>
          <w:color w:val="auto"/>
          <w:highlight w:val="none"/>
        </w:rPr>
      </w:pPr>
      <w:r>
        <w:rPr>
          <w:rFonts w:hint="eastAsia" w:hAnsi="宋体"/>
          <w:color w:val="auto"/>
          <w:highlight w:val="none"/>
        </w:rPr>
        <w:t>法定代表人(签字或盖章)：</w:t>
      </w:r>
    </w:p>
    <w:p>
      <w:pPr>
        <w:spacing w:line="360" w:lineRule="auto"/>
        <w:ind w:firstLine="480" w:firstLineChars="200"/>
        <w:rPr>
          <w:rFonts w:hAnsi="宋体"/>
          <w:color w:val="auto"/>
          <w:highlight w:val="none"/>
        </w:rPr>
      </w:pPr>
      <w:r>
        <w:rPr>
          <w:rFonts w:hint="eastAsia" w:hAnsi="宋体"/>
          <w:color w:val="auto"/>
          <w:highlight w:val="none"/>
        </w:rPr>
        <w:t>委托代理人(签字或盖章):</w:t>
      </w:r>
    </w:p>
    <w:p>
      <w:pPr>
        <w:tabs>
          <w:tab w:val="center" w:pos="4393"/>
        </w:tabs>
        <w:spacing w:line="360" w:lineRule="auto"/>
        <w:ind w:firstLine="480" w:firstLineChars="200"/>
        <w:rPr>
          <w:rFonts w:hAnsi="宋体"/>
          <w:color w:val="auto"/>
          <w:highlight w:val="none"/>
        </w:rPr>
      </w:pPr>
      <w:r>
        <w:rPr>
          <w:rFonts w:hint="eastAsia" w:hAnsi="宋体"/>
          <w:color w:val="auto"/>
          <w:highlight w:val="none"/>
        </w:rPr>
        <w:t>供应商名称</w:t>
      </w:r>
      <w:r>
        <w:rPr>
          <w:rFonts w:hAnsi="宋体"/>
          <w:color w:val="auto"/>
          <w:highlight w:val="none"/>
        </w:rPr>
        <w:t>：</w:t>
      </w:r>
      <w:r>
        <w:rPr>
          <w:rFonts w:hAnsi="宋体"/>
          <w:color w:val="auto"/>
          <w:highlight w:val="none"/>
        </w:rPr>
        <w:tab/>
      </w:r>
      <w:r>
        <w:rPr>
          <w:rFonts w:hAnsi="宋体"/>
          <w:color w:val="auto"/>
          <w:highlight w:val="none"/>
        </w:rPr>
        <w:t>（盖公章）</w:t>
      </w:r>
    </w:p>
    <w:p>
      <w:pPr>
        <w:spacing w:line="360" w:lineRule="auto"/>
        <w:ind w:firstLine="480" w:firstLineChars="200"/>
        <w:rPr>
          <w:rFonts w:hAnsi="宋体"/>
          <w:color w:val="auto"/>
          <w:highlight w:val="none"/>
        </w:rPr>
      </w:pPr>
      <w:r>
        <w:rPr>
          <w:rFonts w:hint="eastAsia" w:hAnsi="宋体"/>
          <w:color w:val="auto"/>
          <w:highlight w:val="none"/>
        </w:rPr>
        <w:t>日    期：</w:t>
      </w:r>
    </w:p>
    <w:p>
      <w:pPr>
        <w:spacing w:line="520" w:lineRule="exact"/>
        <w:rPr>
          <w:rFonts w:hAnsi="宋体" w:cs="宋体"/>
          <w:b/>
          <w:color w:val="auto"/>
          <w:highlight w:val="none"/>
        </w:rPr>
      </w:pPr>
      <w:r>
        <w:rPr>
          <w:rFonts w:hint="eastAsia" w:hAnsi="宋体" w:cs="宋体"/>
          <w:b/>
          <w:color w:val="auto"/>
          <w:highlight w:val="none"/>
        </w:rPr>
        <w:t>附：</w:t>
      </w:r>
    </w:p>
    <w:p>
      <w:pPr>
        <w:spacing w:line="520" w:lineRule="exact"/>
        <w:rPr>
          <w:rFonts w:hAnsi="宋体" w:cs="宋体"/>
          <w:b/>
          <w:color w:val="auto"/>
          <w:highlight w:val="none"/>
        </w:rPr>
      </w:pPr>
      <w:r>
        <w:rPr>
          <w:rFonts w:hint="eastAsia" w:hAnsi="宋体" w:cs="宋体"/>
          <w:b/>
          <w:color w:val="auto"/>
          <w:highlight w:val="none"/>
        </w:rPr>
        <w:t>1. 法定代表人身份证明复印件（加盖公章）</w:t>
      </w:r>
    </w:p>
    <w:p>
      <w:pPr>
        <w:spacing w:line="520" w:lineRule="exact"/>
        <w:rPr>
          <w:rFonts w:hAnsi="宋体" w:cs="宋体"/>
          <w:b/>
          <w:color w:val="auto"/>
          <w:highlight w:val="none"/>
        </w:rPr>
      </w:pPr>
      <w:r>
        <w:rPr>
          <w:rFonts w:hint="eastAsia" w:hAnsi="宋体" w:cs="宋体"/>
          <w:b/>
          <w:color w:val="auto"/>
          <w:highlight w:val="none"/>
        </w:rPr>
        <w:t>2. 委托代理人身份证证明复印件（加盖公章）</w:t>
      </w:r>
    </w:p>
    <w:p>
      <w:pPr>
        <w:spacing w:line="360" w:lineRule="auto"/>
        <w:rPr>
          <w:rFonts w:hAnsi="宋体"/>
          <w:color w:val="auto"/>
          <w:highlight w:val="none"/>
        </w:rPr>
      </w:pPr>
    </w:p>
    <w:p>
      <w:pPr>
        <w:spacing w:line="360" w:lineRule="auto"/>
        <w:ind w:right="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w:t>
      </w:r>
    </w:p>
    <w:p>
      <w:pPr>
        <w:spacing w:line="360" w:lineRule="auto"/>
        <w:ind w:right="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1.供应商为法人单位时提供“法定代表人授权书”，供应商为其他组织时提供“单位负责人授权书”，供应商为自然人时提供“自然人身份证明材料”。</w:t>
      </w:r>
    </w:p>
    <w:p>
      <w:pPr>
        <w:spacing w:line="360" w:lineRule="auto"/>
        <w:ind w:right="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2.应附法定代表人/单位负责人身份证明材料复印件和授权代表身份证明材料复印件。</w:t>
      </w:r>
    </w:p>
    <w:p>
      <w:pPr>
        <w:spacing w:line="360" w:lineRule="auto"/>
        <w:ind w:right="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3.身份证明材料包括居民身份证或户口本或军官证或护照等。</w:t>
      </w:r>
    </w:p>
    <w:p>
      <w:pPr>
        <w:spacing w:line="360" w:lineRule="auto"/>
        <w:ind w:right="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4.身份证明材料应同时提供其在有效期的材料，如居民身份证正、反面复印件。</w:t>
      </w:r>
    </w:p>
    <w:p>
      <w:pPr>
        <w:spacing w:line="360" w:lineRule="auto"/>
        <w:ind w:right="480"/>
        <w:rPr>
          <w:rFonts w:asciiTheme="minorEastAsia" w:hAnsiTheme="minorEastAsia" w:eastAsiaTheme="minorEastAsia"/>
          <w:b/>
          <w:color w:val="auto"/>
          <w:highlight w:val="none"/>
        </w:rPr>
      </w:pPr>
    </w:p>
    <w:p>
      <w:pPr>
        <w:spacing w:line="360" w:lineRule="auto"/>
        <w:ind w:right="480"/>
        <w:rPr>
          <w:rFonts w:asciiTheme="minorEastAsia" w:hAnsiTheme="minorEastAsia" w:eastAsiaTheme="minorEastAsia"/>
          <w:b/>
          <w:color w:val="auto"/>
          <w:highlight w:val="none"/>
        </w:rPr>
      </w:pPr>
    </w:p>
    <w:p>
      <w:pPr>
        <w:spacing w:line="360" w:lineRule="auto"/>
        <w:ind w:right="480"/>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附件1－2</w:t>
      </w:r>
    </w:p>
    <w:p>
      <w:pPr>
        <w:spacing w:line="360" w:lineRule="auto"/>
        <w:ind w:right="480"/>
        <w:jc w:val="center"/>
        <w:rPr>
          <w:rFonts w:asciiTheme="minorEastAsia" w:hAnsiTheme="minorEastAsia" w:eastAsiaTheme="minorEastAsia"/>
          <w:color w:val="auto"/>
          <w:highlight w:val="none"/>
        </w:rPr>
      </w:pPr>
      <w:r>
        <w:rPr>
          <w:rFonts w:asciiTheme="minorEastAsia" w:hAnsiTheme="minorEastAsia" w:eastAsiaTheme="minorEastAsia"/>
          <w:b/>
          <w:color w:val="auto"/>
          <w:highlight w:val="none"/>
        </w:rPr>
        <w:t>供应商符合《政府采购法》第二十二条规定条件的承诺函</w:t>
      </w:r>
    </w:p>
    <w:p>
      <w:pPr>
        <w:spacing w:line="400" w:lineRule="exact"/>
        <w:ind w:firstLine="432"/>
        <w:rPr>
          <w:rFonts w:asciiTheme="minorEastAsia" w:hAnsiTheme="minorEastAsia" w:eastAsiaTheme="minorEastAsia"/>
          <w:color w:val="auto"/>
          <w:highlight w:val="none"/>
        </w:rPr>
      </w:pPr>
      <w:r>
        <w:rPr>
          <w:rFonts w:asciiTheme="minorEastAsia" w:hAnsiTheme="minorEastAsia" w:eastAsiaTheme="minorEastAsia"/>
          <w:color w:val="auto"/>
          <w:highlight w:val="none"/>
        </w:rPr>
        <w:t>致</w:t>
      </w:r>
      <w:r>
        <w:rPr>
          <w:rFonts w:asciiTheme="minorEastAsia" w:hAnsiTheme="minorEastAsia" w:eastAsiaTheme="minorEastAsia"/>
          <w:b/>
          <w:color w:val="auto"/>
          <w:highlight w:val="none"/>
          <w:u w:val="single" w:color="0D0D0D"/>
        </w:rPr>
        <w:t>四川国际招标有限责任公司</w:t>
      </w:r>
      <w:r>
        <w:rPr>
          <w:rFonts w:asciiTheme="minorEastAsia" w:hAnsiTheme="minorEastAsia" w:eastAsiaTheme="minorEastAsia"/>
          <w:color w:val="auto"/>
          <w:highlight w:val="none"/>
        </w:rPr>
        <w:t>：</w:t>
      </w:r>
    </w:p>
    <w:p>
      <w:pPr>
        <w:spacing w:line="400" w:lineRule="exact"/>
        <w:ind w:firstLine="540"/>
        <w:rPr>
          <w:rFonts w:asciiTheme="minorEastAsia" w:hAnsiTheme="minorEastAsia" w:eastAsiaTheme="minorEastAsia"/>
          <w:color w:val="auto"/>
          <w:highlight w:val="none"/>
        </w:rPr>
      </w:pPr>
      <w:r>
        <w:rPr>
          <w:rFonts w:asciiTheme="minorEastAsia" w:hAnsiTheme="minorEastAsia" w:eastAsiaTheme="minorEastAsia"/>
          <w:color w:val="auto"/>
          <w:highlight w:val="none"/>
        </w:rPr>
        <w:t>本公司</w:t>
      </w:r>
      <w:r>
        <w:rPr>
          <w:rFonts w:asciiTheme="minorEastAsia" w:hAnsiTheme="minorEastAsia" w:eastAsiaTheme="minorEastAsia"/>
          <w:color w:val="auto"/>
          <w:highlight w:val="none"/>
          <w:u w:val="single" w:color="0D0D0D"/>
        </w:rPr>
        <w:t xml:space="preserve">                   （公司名称）</w:t>
      </w:r>
      <w:r>
        <w:rPr>
          <w:rFonts w:asciiTheme="minorEastAsia" w:hAnsiTheme="minorEastAsia" w:eastAsiaTheme="minorEastAsia"/>
          <w:color w:val="auto"/>
          <w:highlight w:val="none"/>
        </w:rPr>
        <w:t>参加</w:t>
      </w:r>
      <w:r>
        <w:rPr>
          <w:rFonts w:asciiTheme="minorEastAsia" w:hAnsiTheme="minorEastAsia" w:eastAsiaTheme="minorEastAsia"/>
          <w:color w:val="auto"/>
          <w:highlight w:val="none"/>
          <w:u w:val="single" w:color="0D0D0D"/>
        </w:rPr>
        <w:t xml:space="preserve">                 （项目名称）</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活动，现承诺：</w:t>
      </w:r>
    </w:p>
    <w:p>
      <w:pPr>
        <w:spacing w:line="400" w:lineRule="exact"/>
        <w:ind w:firstLine="540"/>
        <w:rPr>
          <w:rFonts w:asciiTheme="minorEastAsia" w:hAnsiTheme="minorEastAsia" w:eastAsiaTheme="minorEastAsia"/>
          <w:color w:val="auto"/>
          <w:highlight w:val="none"/>
        </w:rPr>
      </w:pPr>
      <w:r>
        <w:rPr>
          <w:rFonts w:asciiTheme="minorEastAsia" w:hAnsiTheme="minorEastAsia" w:eastAsiaTheme="minorEastAsia"/>
          <w:color w:val="auto"/>
          <w:highlight w:val="none"/>
        </w:rPr>
        <w:t>我公司满足政府采购法第二十二条关于供应商的资格要求：</w:t>
      </w:r>
    </w:p>
    <w:p>
      <w:pPr>
        <w:keepNext w:val="false"/>
        <w:keepLines w:val="false"/>
        <w:pageBreakBefore w:val="false"/>
        <w:widowControl/>
        <w:kinsoku/>
        <w:wordWrap/>
        <w:overflowPunct/>
        <w:topLinePunct w:val="false"/>
        <w:autoSpaceDE/>
        <w:autoSpaceDN/>
        <w:bidi w:val="false"/>
        <w:adjustRightInd/>
        <w:snapToGrid/>
        <w:spacing w:line="400" w:lineRule="exact"/>
        <w:ind w:firstLine="431"/>
        <w:textAlignment w:val="auto"/>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（一）具有独立承担民事责任的能力； </w:t>
      </w:r>
    </w:p>
    <w:p>
      <w:pPr>
        <w:keepNext w:val="false"/>
        <w:keepLines w:val="false"/>
        <w:pageBreakBefore w:val="false"/>
        <w:widowControl/>
        <w:kinsoku/>
        <w:wordWrap/>
        <w:overflowPunct/>
        <w:topLinePunct w:val="false"/>
        <w:autoSpaceDE/>
        <w:autoSpaceDN/>
        <w:bidi w:val="false"/>
        <w:adjustRightInd/>
        <w:snapToGrid/>
        <w:spacing w:line="400" w:lineRule="exact"/>
        <w:ind w:firstLine="431"/>
        <w:textAlignment w:val="auto"/>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（二）具有良好的商业信誉和健全的财务会计制度； </w:t>
      </w:r>
    </w:p>
    <w:p>
      <w:pPr>
        <w:keepNext w:val="false"/>
        <w:keepLines w:val="false"/>
        <w:pageBreakBefore w:val="false"/>
        <w:widowControl/>
        <w:kinsoku/>
        <w:wordWrap/>
        <w:overflowPunct/>
        <w:topLinePunct w:val="false"/>
        <w:autoSpaceDE/>
        <w:autoSpaceDN/>
        <w:bidi w:val="false"/>
        <w:adjustRightInd/>
        <w:snapToGrid/>
        <w:spacing w:line="400" w:lineRule="exact"/>
        <w:ind w:firstLine="431"/>
        <w:textAlignment w:val="auto"/>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（三）具有履行合同所必需的设备和专业技术能力； </w:t>
      </w:r>
    </w:p>
    <w:p>
      <w:pPr>
        <w:keepNext w:val="false"/>
        <w:keepLines w:val="false"/>
        <w:pageBreakBefore w:val="false"/>
        <w:widowControl/>
        <w:kinsoku/>
        <w:wordWrap/>
        <w:overflowPunct/>
        <w:topLinePunct w:val="false"/>
        <w:autoSpaceDE/>
        <w:autoSpaceDN/>
        <w:bidi w:val="false"/>
        <w:adjustRightInd/>
        <w:snapToGrid/>
        <w:spacing w:line="400" w:lineRule="exact"/>
        <w:ind w:firstLine="431"/>
        <w:textAlignment w:val="auto"/>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（四）有依法缴纳税收和社会保障资金的良好记录； </w:t>
      </w:r>
    </w:p>
    <w:p>
      <w:pPr>
        <w:keepNext w:val="false"/>
        <w:keepLines w:val="false"/>
        <w:pageBreakBefore w:val="false"/>
        <w:widowControl/>
        <w:kinsoku/>
        <w:wordWrap/>
        <w:overflowPunct/>
        <w:topLinePunct w:val="false"/>
        <w:autoSpaceDE/>
        <w:autoSpaceDN/>
        <w:bidi w:val="false"/>
        <w:adjustRightInd/>
        <w:snapToGrid/>
        <w:spacing w:line="400" w:lineRule="exact"/>
        <w:ind w:firstLine="431"/>
        <w:textAlignment w:val="auto"/>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t>（五）参加政府采购活动前三年内，在经营活动中没有重大违法记录</w:t>
      </w:r>
      <w:r>
        <w:rPr>
          <w:rFonts w:hint="eastAsia" w:asciiTheme="minorEastAsia" w:hAnsiTheme="minorEastAsia" w:eastAsiaTheme="minorEastAsia"/>
          <w:color w:val="auto"/>
          <w:highlight w:val="none"/>
        </w:rPr>
        <w:t>；</w:t>
      </w:r>
    </w:p>
    <w:p>
      <w:pPr>
        <w:spacing w:line="400" w:lineRule="exact"/>
        <w:ind w:firstLine="43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（六）法律、行政法规规定的其他条件。</w:t>
      </w:r>
    </w:p>
    <w:p>
      <w:pPr>
        <w:spacing w:line="360" w:lineRule="atLeast"/>
        <w:ind w:firstLine="480" w:firstLineChars="20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（七）根据采购项目提出的特殊条件。</w:t>
      </w:r>
    </w:p>
    <w:p>
      <w:pPr>
        <w:spacing w:line="400" w:lineRule="exact"/>
        <w:ind w:firstLine="43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本单位对上述承诺的内容事项真实性负责。如经查实上述承诺的内容事项存在虚假，我单位愿意接受以提供虚假材料谋取成交追究法律责任。</w:t>
      </w:r>
    </w:p>
    <w:p>
      <w:pPr>
        <w:spacing w:line="400" w:lineRule="exact"/>
        <w:ind w:firstLine="432"/>
        <w:rPr>
          <w:rFonts w:asciiTheme="minorEastAsia" w:hAnsiTheme="minorEastAsia" w:eastAsiaTheme="minorEastAsia"/>
          <w:color w:val="auto"/>
          <w:highlight w:val="none"/>
        </w:rPr>
      </w:pPr>
    </w:p>
    <w:p>
      <w:pPr>
        <w:spacing w:line="400" w:lineRule="exact"/>
        <w:ind w:firstLine="432"/>
        <w:rPr>
          <w:rFonts w:asciiTheme="minorEastAsia" w:hAnsiTheme="minorEastAsia" w:eastAsiaTheme="minorEastAsia"/>
          <w:color w:val="auto"/>
          <w:highlight w:val="none"/>
        </w:rPr>
      </w:pP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rPr>
        <w:t>名称</w:t>
      </w:r>
      <w:r>
        <w:rPr>
          <w:rFonts w:asciiTheme="minorEastAsia" w:hAnsiTheme="minorEastAsia" w:eastAsiaTheme="minorEastAsia"/>
          <w:color w:val="auto"/>
          <w:highlight w:val="none"/>
        </w:rPr>
        <w:t>：                 （盖公章）</w:t>
      </w:r>
    </w:p>
    <w:p>
      <w:pPr>
        <w:spacing w:line="400" w:lineRule="exact"/>
        <w:rPr>
          <w:rFonts w:asciiTheme="minorEastAsia" w:hAnsiTheme="minorEastAsia" w:eastAsiaTheme="minorEastAsia"/>
          <w:color w:val="auto"/>
          <w:highlight w:val="none"/>
        </w:rPr>
      </w:pPr>
      <w:r>
        <w:rPr>
          <w:rFonts w:asciiTheme="minorEastAsia" w:hAnsiTheme="minorEastAsia" w:eastAsiaTheme="minorEastAsia"/>
          <w:color w:val="auto"/>
          <w:highlight w:val="none"/>
        </w:rPr>
        <w:t>法定代表人或</w:t>
      </w:r>
      <w:r>
        <w:rPr>
          <w:rFonts w:hint="eastAsia" w:asciiTheme="minorEastAsia" w:hAnsiTheme="minorEastAsia" w:eastAsiaTheme="minorEastAsia"/>
          <w:color w:val="auto"/>
          <w:highlight w:val="none"/>
        </w:rPr>
        <w:t>委托代理人</w:t>
      </w:r>
      <w:r>
        <w:rPr>
          <w:rFonts w:asciiTheme="minorEastAsia" w:hAnsiTheme="minorEastAsia" w:eastAsiaTheme="minorEastAsia"/>
          <w:color w:val="auto"/>
          <w:highlight w:val="none"/>
        </w:rPr>
        <w:t>（签字</w:t>
      </w:r>
      <w:r>
        <w:rPr>
          <w:rFonts w:hint="eastAsia" w:asciiTheme="minorEastAsia" w:hAnsiTheme="minorEastAsia" w:eastAsiaTheme="minorEastAsia"/>
          <w:color w:val="auto"/>
          <w:highlight w:val="none"/>
        </w:rPr>
        <w:t>或盖章</w:t>
      </w:r>
      <w:r>
        <w:rPr>
          <w:rFonts w:asciiTheme="minorEastAsia" w:hAnsiTheme="minorEastAsia" w:eastAsiaTheme="minorEastAsia"/>
          <w:color w:val="auto"/>
          <w:highlight w:val="none"/>
        </w:rPr>
        <w:t>）：</w:t>
      </w:r>
    </w:p>
    <w:p>
      <w:pPr>
        <w:spacing w:line="360" w:lineRule="auto"/>
        <w:rPr>
          <w:rFonts w:asciiTheme="minorEastAsia" w:hAnsiTheme="minorEastAsia" w:eastAsiaTheme="minorEastAsia"/>
          <w:color w:val="auto"/>
          <w:highlight w:val="none"/>
          <w:u w:val="single" w:color="0D0D0D"/>
        </w:rPr>
      </w:pPr>
      <w:r>
        <w:rPr>
          <w:rFonts w:asciiTheme="minorEastAsia" w:hAnsiTheme="minorEastAsia" w:eastAsiaTheme="minorEastAsia"/>
          <w:color w:val="auto"/>
          <w:highlight w:val="none"/>
        </w:rPr>
        <w:t>日    期：</w:t>
      </w:r>
    </w:p>
    <w:p>
      <w:pPr>
        <w:pStyle w:val="18"/>
        <w:rPr>
          <w:color w:val="auto"/>
          <w:highlight w:val="none"/>
        </w:rPr>
      </w:pPr>
    </w:p>
    <w:p>
      <w:pPr>
        <w:rPr>
          <w:b/>
          <w:color w:val="auto"/>
          <w:highlight w:val="none"/>
        </w:rPr>
      </w:pPr>
      <w:r>
        <w:rPr>
          <w:b/>
          <w:color w:val="auto"/>
          <w:highlight w:val="none"/>
        </w:rPr>
        <w:br w:type="page"/>
      </w:r>
    </w:p>
    <w:p>
      <w:pPr>
        <w:spacing w:line="360" w:lineRule="auto"/>
        <w:ind w:right="480" w:firstLine="723" w:firstLineChars="300"/>
        <w:rPr>
          <w:b/>
          <w:color w:val="auto"/>
          <w:highlight w:val="none"/>
        </w:rPr>
      </w:pPr>
      <w:r>
        <w:rPr>
          <w:b/>
          <w:color w:val="auto"/>
          <w:highlight w:val="none"/>
        </w:rPr>
        <w:t>附件1－</w:t>
      </w:r>
      <w:r>
        <w:rPr>
          <w:rFonts w:hint="eastAsia"/>
          <w:b/>
          <w:color w:val="auto"/>
          <w:highlight w:val="none"/>
        </w:rPr>
        <w:t>3</w:t>
      </w:r>
    </w:p>
    <w:p>
      <w:pPr>
        <w:spacing w:line="360" w:lineRule="auto"/>
        <w:ind w:right="480"/>
        <w:jc w:val="center"/>
        <w:rPr>
          <w:b/>
          <w:color w:val="auto"/>
          <w:sz w:val="28"/>
          <w:szCs w:val="28"/>
          <w:highlight w:val="none"/>
        </w:rPr>
      </w:pPr>
      <w:r>
        <w:rPr>
          <w:b/>
          <w:color w:val="auto"/>
          <w:sz w:val="28"/>
          <w:szCs w:val="28"/>
          <w:highlight w:val="none"/>
        </w:rPr>
        <w:t>法人营业执照、税务登记证、组织机构代码证</w:t>
      </w:r>
    </w:p>
    <w:p>
      <w:pPr>
        <w:spacing w:after="120" w:line="360" w:lineRule="auto"/>
        <w:ind w:firstLine="480"/>
        <w:rPr>
          <w:rFonts w:hAnsi="宋体"/>
          <w:color w:val="auto"/>
          <w:highlight w:val="none"/>
        </w:rPr>
      </w:pPr>
      <w:r>
        <w:rPr>
          <w:rFonts w:hAnsi="宋体"/>
          <w:color w:val="auto"/>
          <w:highlight w:val="none"/>
        </w:rPr>
        <w:t>（注：法人营业执照、税务登记证、组织代码证等相关证明文件提供复印件。</w:t>
      </w:r>
      <w:r>
        <w:rPr>
          <w:rFonts w:hint="eastAsia" w:hAnsi="宋体"/>
          <w:bCs/>
          <w:color w:val="auto"/>
          <w:highlight w:val="none"/>
        </w:rPr>
        <w:t>三证合一的按国家相关主管部门最新要求执行</w:t>
      </w:r>
      <w:r>
        <w:rPr>
          <w:rFonts w:hAnsi="宋体"/>
          <w:color w:val="auto"/>
          <w:highlight w:val="none"/>
        </w:rPr>
        <w:t>）</w:t>
      </w:r>
    </w:p>
    <w:p>
      <w:pPr>
        <w:spacing w:line="360" w:lineRule="auto"/>
        <w:rPr>
          <w:color w:val="auto"/>
          <w:highlight w:val="none"/>
        </w:rPr>
      </w:pPr>
    </w:p>
    <w:p>
      <w:pPr>
        <w:spacing w:line="360" w:lineRule="auto"/>
        <w:rPr>
          <w:color w:val="auto"/>
          <w:highlight w:val="none"/>
          <w:u w:val="single"/>
        </w:rPr>
      </w:pPr>
    </w:p>
    <w:p>
      <w:pPr>
        <w:spacing w:line="360" w:lineRule="auto"/>
        <w:rPr>
          <w:color w:val="auto"/>
          <w:highlight w:val="none"/>
          <w:u w:val="single"/>
        </w:rPr>
      </w:pPr>
    </w:p>
    <w:p>
      <w:pPr>
        <w:spacing w:line="360" w:lineRule="auto"/>
        <w:rPr>
          <w:color w:val="auto"/>
          <w:highlight w:val="none"/>
          <w:u w:val="single"/>
        </w:rPr>
      </w:pPr>
    </w:p>
    <w:p>
      <w:pPr>
        <w:spacing w:line="360" w:lineRule="auto"/>
        <w:rPr>
          <w:color w:val="auto"/>
          <w:highlight w:val="none"/>
          <w:u w:val="single"/>
        </w:rPr>
      </w:pPr>
    </w:p>
    <w:p>
      <w:pPr>
        <w:spacing w:line="360" w:lineRule="auto"/>
        <w:rPr>
          <w:color w:val="auto"/>
          <w:highlight w:val="none"/>
          <w:u w:val="single"/>
        </w:rPr>
      </w:pPr>
    </w:p>
    <w:p>
      <w:pPr>
        <w:spacing w:line="360" w:lineRule="auto"/>
        <w:rPr>
          <w:b/>
          <w:color w:val="auto"/>
          <w:highlight w:val="none"/>
        </w:rPr>
      </w:pPr>
    </w:p>
    <w:p>
      <w:pPr>
        <w:pStyle w:val="18"/>
        <w:rPr>
          <w:b/>
          <w:color w:val="auto"/>
          <w:highlight w:val="none"/>
        </w:rPr>
      </w:pPr>
    </w:p>
    <w:p>
      <w:pPr>
        <w:pStyle w:val="18"/>
        <w:rPr>
          <w:b/>
          <w:color w:val="auto"/>
          <w:highlight w:val="none"/>
        </w:rPr>
      </w:pPr>
    </w:p>
    <w:p>
      <w:pPr>
        <w:pStyle w:val="18"/>
        <w:rPr>
          <w:b/>
          <w:color w:val="auto"/>
          <w:highlight w:val="none"/>
        </w:rPr>
      </w:pPr>
    </w:p>
    <w:p>
      <w:pPr>
        <w:spacing w:line="360" w:lineRule="auto"/>
        <w:ind w:right="480"/>
        <w:rPr>
          <w:rFonts w:hAnsi="宋体"/>
          <w:color w:val="auto"/>
          <w:highlight w:val="none"/>
          <w:u w:val="single" w:color="0D0D0D"/>
        </w:rPr>
      </w:pPr>
      <w:r>
        <w:rPr>
          <w:b/>
          <w:color w:val="auto"/>
          <w:highlight w:val="none"/>
        </w:rPr>
        <w:br w:type="page"/>
      </w:r>
    </w:p>
    <w:p>
      <w:pPr>
        <w:spacing w:line="400" w:lineRule="exact"/>
        <w:ind w:firstLine="432"/>
        <w:rPr>
          <w:rFonts w:hAnsi="宋体"/>
          <w:b/>
          <w:color w:val="auto"/>
          <w:highlight w:val="none"/>
        </w:rPr>
      </w:pPr>
      <w:r>
        <w:rPr>
          <w:rFonts w:hAnsi="宋体"/>
          <w:b/>
          <w:color w:val="auto"/>
          <w:highlight w:val="none"/>
        </w:rPr>
        <w:t>附件1－</w:t>
      </w:r>
      <w:r>
        <w:rPr>
          <w:rFonts w:hint="eastAsia" w:hAnsi="宋体"/>
          <w:b/>
          <w:color w:val="auto"/>
          <w:highlight w:val="none"/>
        </w:rPr>
        <w:t>4</w:t>
      </w:r>
    </w:p>
    <w:p>
      <w:pPr>
        <w:pStyle w:val="18"/>
        <w:rPr>
          <w:color w:val="auto"/>
          <w:highlight w:val="none"/>
        </w:rPr>
      </w:pPr>
    </w:p>
    <w:p>
      <w:pPr>
        <w:spacing w:line="360" w:lineRule="auto"/>
        <w:jc w:val="center"/>
        <w:rPr>
          <w:rFonts w:hAnsi="宋体"/>
          <w:color w:val="auto"/>
          <w:highlight w:val="none"/>
        </w:rPr>
      </w:pPr>
      <w:bookmarkStart w:name="_Toc5373_WPSOffice_Level1" w:id="74"/>
    </w:p>
    <w:p>
      <w:pPr>
        <w:spacing w:line="360" w:lineRule="auto"/>
        <w:jc w:val="center"/>
        <w:rPr>
          <w:rFonts w:hAnsi="宋体"/>
          <w:color w:val="auto"/>
          <w:highlight w:val="none"/>
        </w:rPr>
      </w:pPr>
      <w:r>
        <w:rPr>
          <w:rFonts w:hAnsi="宋体"/>
          <w:color w:val="auto"/>
          <w:highlight w:val="none"/>
        </w:rPr>
        <w:t>谈判文件要求提供的其他证明文件。</w:t>
      </w:r>
    </w:p>
    <w:p>
      <w:pPr>
        <w:rPr>
          <w:rFonts w:hAnsi="宋体"/>
          <w:color w:val="auto"/>
          <w:highlight w:val="none"/>
        </w:rPr>
      </w:pPr>
      <w:r>
        <w:rPr>
          <w:rFonts w:hAnsi="宋体"/>
          <w:color w:val="auto"/>
          <w:highlight w:val="none"/>
        </w:rPr>
        <w:br w:type="page"/>
      </w:r>
    </w:p>
    <w:p>
      <w:pPr>
        <w:spacing w:line="360" w:lineRule="auto"/>
        <w:jc w:val="center"/>
        <w:rPr>
          <w:b/>
          <w:color w:val="auto"/>
          <w:sz w:val="32"/>
          <w:highlight w:val="none"/>
        </w:rPr>
      </w:pPr>
      <w:r>
        <w:rPr>
          <w:b/>
          <w:color w:val="auto"/>
          <w:sz w:val="32"/>
          <w:highlight w:val="none"/>
        </w:rPr>
        <w:t>第二部分     技术</w:t>
      </w:r>
      <w:r>
        <w:rPr>
          <w:rFonts w:hint="eastAsia"/>
          <w:b/>
          <w:color w:val="auto"/>
          <w:sz w:val="32"/>
          <w:highlight w:val="none"/>
        </w:rPr>
        <w:t>、服务</w:t>
      </w:r>
      <w:r>
        <w:rPr>
          <w:b/>
          <w:color w:val="auto"/>
          <w:sz w:val="32"/>
          <w:highlight w:val="none"/>
        </w:rPr>
        <w:t>性响应文件（格式）</w:t>
      </w:r>
      <w:bookmarkEnd w:id="74"/>
    </w:p>
    <w:p>
      <w:pPr>
        <w:spacing w:line="360" w:lineRule="auto"/>
        <w:rPr>
          <w:b/>
          <w:color w:val="auto"/>
          <w:sz w:val="28"/>
          <w:highlight w:val="none"/>
        </w:rPr>
      </w:pPr>
      <w:r>
        <w:rPr>
          <w:b/>
          <w:color w:val="auto"/>
          <w:highlight w:val="none"/>
        </w:rPr>
        <w:t xml:space="preserve">                            一、</w:t>
      </w:r>
      <w:r>
        <w:rPr>
          <w:b/>
          <w:color w:val="auto"/>
          <w:sz w:val="28"/>
          <w:highlight w:val="none"/>
        </w:rPr>
        <w:t>响 应 函</w:t>
      </w:r>
    </w:p>
    <w:p>
      <w:pPr>
        <w:pStyle w:val="23"/>
        <w:spacing w:line="360" w:lineRule="auto"/>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致：</w:t>
      </w:r>
      <w:r>
        <w:rPr>
          <w:rFonts w:hAnsi="宋体"/>
          <w:b/>
          <w:color w:val="auto"/>
          <w:sz w:val="24"/>
          <w:szCs w:val="24"/>
          <w:highlight w:val="none"/>
          <w:u w:val="single" w:color="0D0D0D"/>
        </w:rPr>
        <w:t>四川国际招标有限责任公司</w:t>
      </w:r>
    </w:p>
    <w:p>
      <w:pPr>
        <w:pStyle w:val="335"/>
        <w:ind w:firstLineChars="0"/>
        <w:jc w:val="left"/>
        <w:rPr>
          <w:color w:val="auto"/>
          <w:szCs w:val="24"/>
          <w:highlight w:val="none"/>
          <w:u w:val="single" w:color="0D0D0D"/>
        </w:rPr>
      </w:pPr>
      <w:r>
        <w:rPr>
          <w:color w:val="auto"/>
          <w:highlight w:val="none"/>
        </w:rPr>
        <w:t>根据贵方</w:t>
      </w:r>
      <w:r>
        <w:rPr>
          <w:rFonts w:hint="eastAsia"/>
          <w:color w:val="auto"/>
          <w:highlight w:val="none"/>
          <w:u w:val="single"/>
        </w:rPr>
        <w:t>（项目名称）</w:t>
      </w:r>
      <w:r>
        <w:rPr>
          <w:color w:val="auto"/>
          <w:highlight w:val="none"/>
        </w:rPr>
        <w:t>项目，编号为</w:t>
      </w:r>
      <w:r>
        <w:rPr>
          <w:rFonts w:hint="eastAsia"/>
          <w:color w:val="auto"/>
          <w:highlight w:val="none"/>
          <w:u w:val="single"/>
        </w:rPr>
        <w:t>（项目编号）</w:t>
      </w:r>
      <w:r>
        <w:rPr>
          <w:color w:val="auto"/>
          <w:highlight w:val="none"/>
        </w:rPr>
        <w:t>的谈判邀请，正</w:t>
      </w:r>
      <w:r>
        <w:rPr>
          <w:color w:val="auto"/>
          <w:szCs w:val="24"/>
          <w:highlight w:val="none"/>
        </w:rPr>
        <w:t>式授权的下述签字人(姓名和职务)代表供应商</w:t>
      </w:r>
      <w:r>
        <w:rPr>
          <w:rFonts w:hint="eastAsia"/>
          <w:color w:val="auto"/>
          <w:szCs w:val="24"/>
          <w:highlight w:val="none"/>
          <w:u w:val="single" w:color="0D0D0D"/>
        </w:rPr>
        <w:t>（供应商的名称）</w:t>
      </w:r>
      <w:r>
        <w:rPr>
          <w:color w:val="auto"/>
          <w:szCs w:val="24"/>
          <w:highlight w:val="none"/>
        </w:rPr>
        <w:t>，提交文件正本1份，副本</w:t>
      </w:r>
      <w:r>
        <w:rPr>
          <w:rFonts w:hint="eastAsia"/>
          <w:color w:val="auto"/>
          <w:szCs w:val="24"/>
          <w:highlight w:val="none"/>
          <w:u w:val="single"/>
        </w:rPr>
        <w:t xml:space="preserve"> 2 </w:t>
      </w:r>
      <w:r>
        <w:rPr>
          <w:color w:val="auto"/>
          <w:szCs w:val="24"/>
          <w:highlight w:val="none"/>
        </w:rPr>
        <w:t>份。</w:t>
      </w:r>
    </w:p>
    <w:p>
      <w:pPr>
        <w:spacing w:line="480" w:lineRule="exact"/>
        <w:ind w:left="398" w:hanging="398"/>
        <w:rPr>
          <w:rFonts w:hAnsi="宋体"/>
          <w:color w:val="auto"/>
          <w:highlight w:val="none"/>
        </w:rPr>
      </w:pPr>
      <w:r>
        <w:rPr>
          <w:rFonts w:hAnsi="宋体"/>
          <w:color w:val="auto"/>
          <w:highlight w:val="none"/>
        </w:rPr>
        <w:t>据此函，签字人兹宣布同意如下：</w:t>
      </w:r>
    </w:p>
    <w:p>
      <w:pPr>
        <w:autoSpaceDE w:val="false"/>
        <w:autoSpaceDN w:val="false"/>
        <w:snapToGrid w:val="false"/>
        <w:spacing w:line="360" w:lineRule="auto"/>
        <w:rPr>
          <w:color w:val="auto"/>
          <w:highlight w:val="none"/>
        </w:rPr>
      </w:pPr>
      <w:r>
        <w:rPr>
          <w:color w:val="auto"/>
          <w:highlight w:val="none"/>
        </w:rPr>
        <w:t>(1) 我们根据谈判文件的规定，承担完成合同的责任和义务。</w:t>
      </w:r>
    </w:p>
    <w:p>
      <w:pPr>
        <w:autoSpaceDE w:val="false"/>
        <w:autoSpaceDN w:val="false"/>
        <w:snapToGrid w:val="false"/>
        <w:spacing w:line="360" w:lineRule="auto"/>
        <w:ind w:left="398" w:hanging="398" w:hangingChars="166"/>
        <w:rPr>
          <w:color w:val="auto"/>
          <w:highlight w:val="none"/>
        </w:rPr>
      </w:pPr>
      <w:r>
        <w:rPr>
          <w:color w:val="auto"/>
          <w:highlight w:val="none"/>
        </w:rPr>
        <w:t>(2) 我们已详细审核全部谈判文件，包括谈判文件修改书(如果有的话)，参考资料及有关附件，我们完全理解并放弃提出含糊不清或误解的问题的权利。</w:t>
      </w:r>
    </w:p>
    <w:p>
      <w:pPr>
        <w:autoSpaceDE w:val="false"/>
        <w:autoSpaceDN w:val="false"/>
        <w:snapToGrid w:val="false"/>
        <w:spacing w:line="360" w:lineRule="auto"/>
        <w:rPr>
          <w:color w:val="auto"/>
          <w:highlight w:val="none"/>
        </w:rPr>
      </w:pPr>
      <w:r>
        <w:rPr>
          <w:color w:val="auto"/>
          <w:highlight w:val="none"/>
        </w:rPr>
        <w:t xml:space="preserve">(3) </w:t>
      </w:r>
      <w:r>
        <w:rPr>
          <w:rFonts w:hint="eastAsia"/>
          <w:color w:val="auto"/>
          <w:highlight w:val="none"/>
        </w:rPr>
        <w:t>我们承诺本项目响应文件有效期为递交响应文件截止之日起</w:t>
      </w:r>
      <w:r>
        <w:rPr>
          <w:rFonts w:hint="eastAsia"/>
          <w:color w:val="auto"/>
          <w:highlight w:val="none"/>
          <w:u w:val="single"/>
        </w:rPr>
        <w:t xml:space="preserve"> </w:t>
      </w:r>
      <w:r>
        <w:rPr>
          <w:rFonts w:hint="eastAsia" w:hAnsi="宋体"/>
          <w:color w:val="auto"/>
          <w:highlight w:val="none"/>
          <w:u w:val="single"/>
        </w:rPr>
        <w:t xml:space="preserve">90 </w:t>
      </w:r>
      <w:r>
        <w:rPr>
          <w:rFonts w:hint="eastAsia" w:hAnsi="宋体"/>
          <w:color w:val="auto"/>
          <w:highlight w:val="none"/>
        </w:rPr>
        <w:t>天</w:t>
      </w:r>
      <w:r>
        <w:rPr>
          <w:rFonts w:hint="eastAsia"/>
          <w:color w:val="auto"/>
          <w:highlight w:val="none"/>
        </w:rPr>
        <w:t>（日历日）</w:t>
      </w:r>
      <w:r>
        <w:rPr>
          <w:color w:val="auto"/>
          <w:highlight w:val="none"/>
        </w:rPr>
        <w:t>。</w:t>
      </w:r>
    </w:p>
    <w:p>
      <w:pPr>
        <w:autoSpaceDE w:val="false"/>
        <w:autoSpaceDN w:val="false"/>
        <w:snapToGrid w:val="false"/>
        <w:spacing w:line="360" w:lineRule="auto"/>
        <w:ind w:left="398" w:hanging="398" w:hangingChars="166"/>
        <w:rPr>
          <w:color w:val="auto"/>
          <w:highlight w:val="none"/>
        </w:rPr>
      </w:pPr>
      <w:r>
        <w:rPr>
          <w:color w:val="auto"/>
          <w:highlight w:val="none"/>
        </w:rPr>
        <w:t>(4) 同意按谈判须知中关于不予退还谈判保证金的规定。</w:t>
      </w:r>
    </w:p>
    <w:p>
      <w:pPr>
        <w:autoSpaceDE w:val="false"/>
        <w:autoSpaceDN w:val="false"/>
        <w:snapToGrid w:val="false"/>
        <w:spacing w:line="360" w:lineRule="auto"/>
        <w:ind w:left="398" w:hanging="398" w:hangingChars="166"/>
        <w:rPr>
          <w:color w:val="auto"/>
          <w:highlight w:val="none"/>
        </w:rPr>
      </w:pPr>
      <w:r>
        <w:rPr>
          <w:color w:val="auto"/>
          <w:highlight w:val="none"/>
        </w:rPr>
        <w:t>(5) 同意向贵方提供贵方可能要求的与本报价有关任何证据或资料。</w:t>
      </w:r>
    </w:p>
    <w:p>
      <w:pPr>
        <w:autoSpaceDE w:val="false"/>
        <w:autoSpaceDN w:val="false"/>
        <w:snapToGrid w:val="false"/>
        <w:spacing w:line="360" w:lineRule="auto"/>
        <w:ind w:left="398" w:hanging="398" w:hangingChars="166"/>
        <w:rPr>
          <w:color w:val="auto"/>
          <w:highlight w:val="none"/>
        </w:rPr>
      </w:pPr>
      <w:r>
        <w:rPr>
          <w:color w:val="auto"/>
          <w:highlight w:val="none"/>
        </w:rPr>
        <w:t>与本报价有关的正式通讯地址为：</w:t>
      </w:r>
    </w:p>
    <w:p>
      <w:pPr>
        <w:autoSpaceDE w:val="false"/>
        <w:autoSpaceDN w:val="false"/>
        <w:snapToGrid w:val="false"/>
        <w:spacing w:line="360" w:lineRule="auto"/>
        <w:ind w:firstLine="960" w:firstLineChars="400"/>
        <w:rPr>
          <w:color w:val="auto"/>
          <w:highlight w:val="none"/>
        </w:rPr>
      </w:pPr>
    </w:p>
    <w:p>
      <w:pPr>
        <w:autoSpaceDE w:val="false"/>
        <w:autoSpaceDN w:val="false"/>
        <w:snapToGrid w:val="false"/>
        <w:spacing w:line="360" w:lineRule="auto"/>
        <w:ind w:firstLine="960" w:firstLineChars="400"/>
        <w:rPr>
          <w:color w:val="auto"/>
          <w:highlight w:val="none"/>
        </w:rPr>
      </w:pPr>
    </w:p>
    <w:p>
      <w:pPr>
        <w:autoSpaceDE w:val="false"/>
        <w:autoSpaceDN w:val="false"/>
        <w:snapToGrid w:val="false"/>
        <w:spacing w:line="360" w:lineRule="auto"/>
        <w:ind w:firstLine="960" w:firstLineChars="400"/>
        <w:rPr>
          <w:color w:val="auto"/>
          <w:highlight w:val="none"/>
        </w:rPr>
      </w:pPr>
    </w:p>
    <w:p>
      <w:pPr>
        <w:autoSpaceDE w:val="false"/>
        <w:autoSpaceDN w:val="false"/>
        <w:snapToGrid w:val="false"/>
        <w:spacing w:line="360" w:lineRule="auto"/>
        <w:ind w:firstLine="960" w:firstLineChars="400"/>
        <w:rPr>
          <w:color w:val="auto"/>
          <w:highlight w:val="none"/>
        </w:rPr>
      </w:pPr>
    </w:p>
    <w:p>
      <w:pPr>
        <w:spacing w:line="460" w:lineRule="exact"/>
        <w:rPr>
          <w:rFonts w:hAnsi="宋体"/>
          <w:color w:val="auto"/>
          <w:highlight w:val="none"/>
        </w:rPr>
      </w:pPr>
      <w:r>
        <w:rPr>
          <w:rFonts w:hAnsi="宋体"/>
          <w:color w:val="auto"/>
          <w:highlight w:val="none"/>
        </w:rPr>
        <w:t>供应商</w:t>
      </w:r>
      <w:r>
        <w:rPr>
          <w:rFonts w:hint="eastAsia" w:hAnsi="宋体"/>
          <w:color w:val="auto"/>
          <w:highlight w:val="none"/>
        </w:rPr>
        <w:t>名称</w:t>
      </w:r>
      <w:r>
        <w:rPr>
          <w:rFonts w:hAnsi="宋体"/>
          <w:color w:val="auto"/>
          <w:highlight w:val="none"/>
        </w:rPr>
        <w:t>：（盖公章）</w:t>
      </w:r>
    </w:p>
    <w:p>
      <w:pPr>
        <w:spacing w:line="460" w:lineRule="exact"/>
        <w:rPr>
          <w:rFonts w:hAnsi="宋体"/>
          <w:color w:val="auto"/>
          <w:highlight w:val="none"/>
          <w:u w:val="single" w:color="0D0D0D"/>
        </w:rPr>
      </w:pPr>
      <w:r>
        <w:rPr>
          <w:rFonts w:hAnsi="宋体"/>
          <w:color w:val="auto"/>
          <w:highlight w:val="none"/>
        </w:rPr>
        <w:t>地址：</w:t>
      </w:r>
    </w:p>
    <w:p>
      <w:pPr>
        <w:spacing w:line="460" w:lineRule="exact"/>
        <w:rPr>
          <w:rFonts w:hAnsi="宋体"/>
          <w:color w:val="auto"/>
          <w:highlight w:val="none"/>
          <w:u w:val="single" w:color="0D0D0D"/>
        </w:rPr>
      </w:pPr>
      <w:r>
        <w:rPr>
          <w:rFonts w:hAnsi="宋体"/>
          <w:color w:val="auto"/>
          <w:highlight w:val="none"/>
        </w:rPr>
        <w:t>电话：      传真：</w:t>
      </w:r>
    </w:p>
    <w:p>
      <w:pPr>
        <w:spacing w:line="460" w:lineRule="exact"/>
        <w:rPr>
          <w:rFonts w:hAnsi="宋体"/>
          <w:color w:val="auto"/>
          <w:highlight w:val="none"/>
          <w:u w:val="single" w:color="0D0D0D"/>
        </w:rPr>
      </w:pPr>
      <w:r>
        <w:rPr>
          <w:rFonts w:hAnsi="宋体"/>
          <w:color w:val="auto"/>
          <w:highlight w:val="none"/>
        </w:rPr>
        <w:t>邮政编码：</w:t>
      </w:r>
    </w:p>
    <w:p>
      <w:pPr>
        <w:spacing w:line="400" w:lineRule="exact"/>
        <w:rPr>
          <w:rFonts w:hAnsi="宋体"/>
          <w:color w:val="auto"/>
          <w:highlight w:val="none"/>
          <w:u w:val="single" w:color="0D0D0D"/>
        </w:rPr>
      </w:pPr>
      <w:r>
        <w:rPr>
          <w:rFonts w:hAnsi="宋体"/>
          <w:color w:val="auto"/>
          <w:highlight w:val="none"/>
        </w:rPr>
        <w:t>法定代表人或</w:t>
      </w:r>
      <w:r>
        <w:rPr>
          <w:rFonts w:hint="eastAsia" w:hAnsi="宋体"/>
          <w:color w:val="auto"/>
          <w:highlight w:val="none"/>
        </w:rPr>
        <w:t>委托代理人</w:t>
      </w:r>
      <w:r>
        <w:rPr>
          <w:rFonts w:hAnsi="宋体"/>
          <w:color w:val="auto"/>
          <w:highlight w:val="none"/>
        </w:rPr>
        <w:t>（签字</w:t>
      </w:r>
      <w:r>
        <w:rPr>
          <w:rFonts w:hint="eastAsia" w:hAnsi="宋体"/>
          <w:color w:val="auto"/>
          <w:highlight w:val="none"/>
        </w:rPr>
        <w:t>或盖章</w:t>
      </w:r>
      <w:r>
        <w:rPr>
          <w:rFonts w:hAnsi="宋体"/>
          <w:color w:val="auto"/>
          <w:highlight w:val="none"/>
        </w:rPr>
        <w:t>）：</w:t>
      </w:r>
    </w:p>
    <w:p>
      <w:pPr>
        <w:spacing w:line="360" w:lineRule="auto"/>
        <w:rPr>
          <w:color w:val="auto"/>
          <w:highlight w:val="none"/>
        </w:rPr>
      </w:pPr>
      <w:r>
        <w:rPr>
          <w:rFonts w:hAnsi="宋体"/>
          <w:color w:val="auto"/>
          <w:highlight w:val="none"/>
        </w:rPr>
        <w:t xml:space="preserve">日期：        年      月      日    </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420" w:lineRule="exact"/>
        <w:jc w:val="center"/>
        <w:rPr>
          <w:rFonts w:asciiTheme="minorEastAsia" w:hAnsiTheme="minorEastAsia" w:eastAsiaTheme="minorEastAsia"/>
          <w:b/>
          <w:color w:val="auto"/>
          <w:highlight w:val="none"/>
        </w:rPr>
      </w:pPr>
      <w:r>
        <w:rPr>
          <w:b/>
          <w:color w:val="auto"/>
          <w:highlight w:val="none"/>
        </w:rPr>
        <w:br w:type="page"/>
      </w:r>
      <w:r>
        <w:rPr>
          <w:rFonts w:hint="eastAsia" w:asciiTheme="minorEastAsia" w:hAnsiTheme="minorEastAsia" w:eastAsiaTheme="minorEastAsia"/>
          <w:b/>
          <w:color w:val="auto"/>
          <w:highlight w:val="none"/>
        </w:rPr>
        <w:t>二、承诺函</w:t>
      </w:r>
    </w:p>
    <w:p>
      <w:pPr>
        <w:spacing w:line="360" w:lineRule="atLeast"/>
        <w:jc w:val="center"/>
        <w:outlineLvl w:val="1"/>
        <w:rPr>
          <w:b/>
          <w:color w:val="auto"/>
          <w:sz w:val="22"/>
          <w:szCs w:val="21"/>
          <w:highlight w:val="none"/>
        </w:rPr>
      </w:pPr>
    </w:p>
    <w:p>
      <w:pPr>
        <w:spacing w:line="360" w:lineRule="atLeast"/>
        <w:outlineLvl w:val="1"/>
        <w:rPr>
          <w:color w:val="auto"/>
          <w:sz w:val="22"/>
          <w:szCs w:val="21"/>
          <w:highlight w:val="none"/>
        </w:rPr>
      </w:pPr>
      <w:r>
        <w:rPr>
          <w:rFonts w:hint="eastAsia"/>
          <w:color w:val="auto"/>
          <w:sz w:val="22"/>
          <w:szCs w:val="21"/>
          <w:highlight w:val="none"/>
          <w:u w:val="single"/>
        </w:rPr>
        <w:t>（</w:t>
      </w:r>
      <w:r>
        <w:rPr>
          <w:b/>
          <w:color w:val="auto"/>
          <w:sz w:val="22"/>
          <w:szCs w:val="21"/>
          <w:highlight w:val="none"/>
          <w:u w:val="single"/>
        </w:rPr>
        <w:t>四川国际招标有限责任公司</w:t>
      </w:r>
      <w:r>
        <w:rPr>
          <w:rFonts w:hint="eastAsia"/>
          <w:color w:val="auto"/>
          <w:sz w:val="22"/>
          <w:szCs w:val="21"/>
          <w:highlight w:val="none"/>
          <w:u w:val="single"/>
        </w:rPr>
        <w:t>）</w:t>
      </w:r>
      <w:r>
        <w:rPr>
          <w:rFonts w:hint="eastAsia"/>
          <w:color w:val="auto"/>
          <w:sz w:val="22"/>
          <w:szCs w:val="21"/>
          <w:highlight w:val="none"/>
        </w:rPr>
        <w:t>：</w:t>
      </w:r>
    </w:p>
    <w:p>
      <w:pPr>
        <w:spacing w:line="360" w:lineRule="atLeast"/>
        <w:ind w:firstLine="440" w:firstLineChars="200"/>
        <w:outlineLvl w:val="1"/>
        <w:rPr>
          <w:color w:val="auto"/>
          <w:sz w:val="22"/>
          <w:szCs w:val="21"/>
          <w:highlight w:val="none"/>
        </w:rPr>
      </w:pPr>
      <w:r>
        <w:rPr>
          <w:rFonts w:hint="eastAsia"/>
          <w:color w:val="auto"/>
          <w:sz w:val="22"/>
          <w:szCs w:val="21"/>
          <w:highlight w:val="none"/>
        </w:rPr>
        <w:t>我单位作为本次采购项目的供应商，根据文件要求，现郑重承诺如下：</w:t>
      </w:r>
    </w:p>
    <w:p>
      <w:pPr>
        <w:spacing w:line="360" w:lineRule="atLeast"/>
        <w:ind w:firstLine="440" w:firstLineChars="200"/>
        <w:outlineLvl w:val="1"/>
        <w:rPr>
          <w:color w:val="auto"/>
          <w:sz w:val="22"/>
          <w:szCs w:val="21"/>
          <w:highlight w:val="none"/>
        </w:rPr>
      </w:pPr>
      <w:r>
        <w:rPr>
          <w:rFonts w:hint="eastAsia"/>
          <w:color w:val="auto"/>
          <w:sz w:val="22"/>
          <w:szCs w:val="21"/>
          <w:highlight w:val="none"/>
        </w:rPr>
        <w:t>一、完全接受和满足本项目谈判文件中规定的实质性要求，如对文件有异议，已依法进行维权救济，不存在对招标文件有异议的同时又参加谈判以求侥幸成交或者为实现其他非法目的的行为。</w:t>
      </w:r>
    </w:p>
    <w:p>
      <w:pPr>
        <w:spacing w:line="360" w:lineRule="atLeast"/>
        <w:ind w:firstLine="440" w:firstLineChars="200"/>
        <w:outlineLvl w:val="1"/>
        <w:rPr>
          <w:color w:val="auto"/>
          <w:sz w:val="22"/>
          <w:szCs w:val="21"/>
          <w:highlight w:val="none"/>
        </w:rPr>
      </w:pPr>
      <w:r>
        <w:rPr>
          <w:rFonts w:hint="eastAsia"/>
          <w:color w:val="auto"/>
          <w:sz w:val="22"/>
          <w:szCs w:val="21"/>
          <w:highlight w:val="none"/>
        </w:rPr>
        <w:t>二、参加本次采购活动，为采购项目提供整体设计、规范编制或者项目管理、监理、检测等服务的供应商，不得再参加该采购项目的其他采购活动。</w:t>
      </w:r>
    </w:p>
    <w:p>
      <w:pPr>
        <w:spacing w:line="360" w:lineRule="atLeast"/>
        <w:ind w:firstLine="440" w:firstLineChars="200"/>
        <w:outlineLvl w:val="1"/>
        <w:rPr>
          <w:color w:val="auto"/>
          <w:sz w:val="22"/>
          <w:szCs w:val="21"/>
          <w:highlight w:val="none"/>
        </w:rPr>
      </w:pPr>
      <w:r>
        <w:rPr>
          <w:rFonts w:hint="eastAsia"/>
          <w:color w:val="auto"/>
          <w:sz w:val="22"/>
          <w:szCs w:val="21"/>
          <w:highlight w:val="none"/>
        </w:rPr>
        <w:t>三、参加本次招标采购活动，不存在和其他供应商在同一合同项下的采购项目中，同时委托同一个自然人、同一家庭的人员、同一单位的人员作为代理人的行为。</w:t>
      </w:r>
    </w:p>
    <w:p>
      <w:pPr>
        <w:spacing w:line="360" w:lineRule="atLeast"/>
        <w:ind w:firstLine="440" w:firstLineChars="200"/>
        <w:outlineLvl w:val="1"/>
        <w:rPr>
          <w:color w:val="auto"/>
          <w:sz w:val="22"/>
          <w:szCs w:val="21"/>
          <w:highlight w:val="none"/>
        </w:rPr>
      </w:pPr>
      <w:r>
        <w:rPr>
          <w:rFonts w:hint="eastAsia"/>
          <w:color w:val="auto"/>
          <w:sz w:val="22"/>
          <w:szCs w:val="21"/>
          <w:highlight w:val="none"/>
        </w:rPr>
        <w:t>四、响应文件中提供的能够给予我单位带来优惠、好处的任何材料资料和技术、服务、商务、响应产品等响应承诺情况都是真实的、有效的、合法的。</w:t>
      </w:r>
    </w:p>
    <w:p>
      <w:pPr>
        <w:spacing w:line="360" w:lineRule="atLeast"/>
        <w:ind w:firstLine="440" w:firstLineChars="200"/>
        <w:outlineLvl w:val="1"/>
        <w:rPr>
          <w:color w:val="auto"/>
          <w:sz w:val="22"/>
          <w:szCs w:val="21"/>
          <w:highlight w:val="none"/>
        </w:rPr>
      </w:pPr>
      <w:r>
        <w:rPr>
          <w:rFonts w:hint="eastAsia"/>
          <w:color w:val="auto"/>
          <w:sz w:val="22"/>
          <w:szCs w:val="21"/>
          <w:highlight w:val="none"/>
        </w:rPr>
        <w:t>五、如本项目评审过程中需要提供样品，则我单位提供的样品即为成交后将要提供的成交产品，我单位对提供样品的性能和质量负责，因样品存在缺陷或者不符合文件要求导致未能成交的，我单位愿意承担相应不利后果。</w:t>
      </w:r>
    </w:p>
    <w:p>
      <w:pPr>
        <w:spacing w:line="360" w:lineRule="atLeast"/>
        <w:ind w:firstLine="440" w:firstLineChars="200"/>
        <w:outlineLvl w:val="1"/>
        <w:rPr>
          <w:color w:val="auto"/>
          <w:sz w:val="22"/>
          <w:szCs w:val="21"/>
          <w:highlight w:val="none"/>
        </w:rPr>
      </w:pPr>
      <w:r>
        <w:rPr>
          <w:rFonts w:hint="eastAsia"/>
          <w:color w:val="auto"/>
          <w:sz w:val="22"/>
          <w:szCs w:val="21"/>
          <w:highlight w:val="none"/>
        </w:rPr>
        <w:t>本单位对上述承诺的内容事项真实性负责。如经查实上述承诺的内容事项存在虚假，我单位愿意接受以提供虚假材料谋取成交追究法律责任。</w:t>
      </w:r>
    </w:p>
    <w:p>
      <w:pPr>
        <w:spacing w:line="360" w:lineRule="atLeast"/>
        <w:ind w:firstLine="431" w:firstLineChars="196"/>
        <w:outlineLvl w:val="1"/>
        <w:rPr>
          <w:color w:val="auto"/>
          <w:sz w:val="22"/>
          <w:szCs w:val="21"/>
          <w:highlight w:val="none"/>
        </w:rPr>
      </w:pPr>
    </w:p>
    <w:p>
      <w:pPr>
        <w:pStyle w:val="18"/>
        <w:rPr>
          <w:color w:val="auto"/>
          <w:sz w:val="22"/>
          <w:szCs w:val="22"/>
          <w:highlight w:val="none"/>
        </w:rPr>
      </w:pPr>
    </w:p>
    <w:p>
      <w:pPr>
        <w:pStyle w:val="18"/>
        <w:rPr>
          <w:color w:val="auto"/>
          <w:sz w:val="22"/>
          <w:szCs w:val="22"/>
          <w:highlight w:val="none"/>
        </w:rPr>
      </w:pPr>
    </w:p>
    <w:p>
      <w:pPr>
        <w:pStyle w:val="18"/>
        <w:rPr>
          <w:color w:val="auto"/>
          <w:sz w:val="22"/>
          <w:szCs w:val="22"/>
          <w:highlight w:val="none"/>
        </w:rPr>
      </w:pPr>
    </w:p>
    <w:p>
      <w:pPr>
        <w:spacing w:line="360" w:lineRule="atLeast"/>
        <w:ind w:firstLine="431" w:firstLineChars="196"/>
        <w:outlineLvl w:val="1"/>
        <w:rPr>
          <w:color w:val="auto"/>
          <w:sz w:val="22"/>
          <w:szCs w:val="21"/>
          <w:highlight w:val="none"/>
        </w:rPr>
      </w:pPr>
      <w:r>
        <w:rPr>
          <w:color w:val="auto"/>
          <w:sz w:val="22"/>
          <w:szCs w:val="21"/>
          <w:highlight w:val="none"/>
        </w:rPr>
        <w:t>供应商</w:t>
      </w:r>
      <w:r>
        <w:rPr>
          <w:rFonts w:hint="eastAsia"/>
          <w:color w:val="auto"/>
          <w:sz w:val="22"/>
          <w:szCs w:val="21"/>
          <w:highlight w:val="none"/>
        </w:rPr>
        <w:t>名称：（单位公章）</w:t>
      </w:r>
    </w:p>
    <w:p>
      <w:pPr>
        <w:spacing w:line="360" w:lineRule="atLeast"/>
        <w:ind w:firstLine="431" w:firstLineChars="196"/>
        <w:outlineLvl w:val="1"/>
        <w:rPr>
          <w:color w:val="auto"/>
          <w:sz w:val="22"/>
          <w:szCs w:val="21"/>
          <w:highlight w:val="none"/>
        </w:rPr>
      </w:pPr>
      <w:r>
        <w:rPr>
          <w:rFonts w:hint="eastAsia"/>
          <w:color w:val="auto"/>
          <w:sz w:val="22"/>
          <w:szCs w:val="21"/>
          <w:highlight w:val="none"/>
        </w:rPr>
        <w:t>法定代表人或委托代理人：（签字或盖章）：</w:t>
      </w:r>
    </w:p>
    <w:p>
      <w:pPr>
        <w:spacing w:line="360" w:lineRule="atLeast"/>
        <w:ind w:firstLine="431" w:firstLineChars="196"/>
        <w:outlineLvl w:val="1"/>
        <w:rPr>
          <w:color w:val="auto"/>
          <w:sz w:val="22"/>
          <w:szCs w:val="21"/>
          <w:highlight w:val="none"/>
        </w:rPr>
      </w:pPr>
      <w:r>
        <w:rPr>
          <w:rFonts w:hint="eastAsia"/>
          <w:color w:val="auto"/>
          <w:sz w:val="22"/>
          <w:szCs w:val="21"/>
          <w:highlight w:val="none"/>
        </w:rPr>
        <w:t>日期：</w:t>
      </w:r>
    </w:p>
    <w:p>
      <w:pPr>
        <w:rPr>
          <w:b/>
          <w:color w:val="auto"/>
          <w:sz w:val="28"/>
          <w:szCs w:val="28"/>
          <w:highlight w:val="none"/>
        </w:rPr>
      </w:pPr>
      <w:r>
        <w:rPr>
          <w:b/>
          <w:color w:val="auto"/>
          <w:sz w:val="28"/>
          <w:szCs w:val="28"/>
          <w:highlight w:val="none"/>
        </w:rPr>
        <w:br w:type="page"/>
      </w:r>
    </w:p>
    <w:p>
      <w:pPr>
        <w:spacing w:line="360" w:lineRule="auto"/>
        <w:jc w:val="center"/>
        <w:rPr>
          <w:b/>
          <w:color w:val="auto"/>
          <w:sz w:val="28"/>
          <w:szCs w:val="28"/>
          <w:highlight w:val="none"/>
        </w:rPr>
      </w:pPr>
      <w:r>
        <w:rPr>
          <w:rFonts w:hint="eastAsia"/>
          <w:b/>
          <w:color w:val="auto"/>
          <w:sz w:val="28"/>
          <w:szCs w:val="28"/>
          <w:highlight w:val="none"/>
        </w:rPr>
        <w:t>三</w:t>
      </w:r>
      <w:r>
        <w:rPr>
          <w:b/>
          <w:color w:val="auto"/>
          <w:sz w:val="28"/>
          <w:szCs w:val="28"/>
          <w:highlight w:val="none"/>
        </w:rPr>
        <w:t>、技术</w:t>
      </w:r>
      <w:r>
        <w:rPr>
          <w:rFonts w:hint="eastAsia"/>
          <w:b/>
          <w:color w:val="auto"/>
          <w:sz w:val="28"/>
          <w:szCs w:val="28"/>
          <w:highlight w:val="none"/>
        </w:rPr>
        <w:t>、服务</w:t>
      </w:r>
      <w:r>
        <w:rPr>
          <w:b/>
          <w:color w:val="auto"/>
          <w:sz w:val="28"/>
          <w:szCs w:val="28"/>
          <w:highlight w:val="none"/>
        </w:rPr>
        <w:t>响应/偏离表</w:t>
      </w:r>
    </w:p>
    <w:p>
      <w:pPr>
        <w:spacing w:after="120"/>
        <w:rPr>
          <w:b/>
          <w:color w:val="auto"/>
          <w:highlight w:val="none"/>
        </w:rPr>
      </w:pPr>
    </w:p>
    <w:p>
      <w:pPr>
        <w:spacing w:after="120" w:line="360" w:lineRule="auto"/>
        <w:jc w:val="both"/>
        <w:rPr>
          <w:b/>
          <w:color w:val="auto"/>
          <w:highlight w:val="none"/>
        </w:rPr>
      </w:pPr>
      <w:r>
        <w:rPr>
          <w:b/>
          <w:color w:val="auto"/>
          <w:highlight w:val="none"/>
        </w:rPr>
        <w:t>项目名称：</w:t>
      </w:r>
      <w:r>
        <w:rPr>
          <w:rFonts w:hint="eastAsia"/>
          <w:b/>
          <w:color w:val="auto"/>
          <w:highlight w:val="none"/>
        </w:rPr>
        <w:t>项目</w:t>
      </w:r>
      <w:r>
        <w:rPr>
          <w:b/>
          <w:color w:val="auto"/>
          <w:highlight w:val="none"/>
        </w:rPr>
        <w:t>编号：</w:t>
      </w:r>
    </w:p>
    <w:tbl>
      <w:tblPr>
        <w:tblStyle w:val="43"/>
        <w:tblW w:w="8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49"/>
        <w:gridCol w:w="1812"/>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pPr>
              <w:spacing w:before="60" w:after="60" w:line="360" w:lineRule="auto"/>
              <w:jc w:val="center"/>
              <w:rPr>
                <w:rFonts w:hAnsi="宋体"/>
                <w:b/>
                <w:color w:val="auto"/>
                <w:highlight w:val="none"/>
              </w:rPr>
            </w:pPr>
            <w:r>
              <w:rPr>
                <w:rFonts w:hAnsi="宋体"/>
                <w:b/>
                <w:color w:val="auto"/>
                <w:highlight w:val="none"/>
              </w:rPr>
              <w:t>序号</w:t>
            </w:r>
          </w:p>
        </w:tc>
        <w:tc>
          <w:tcPr>
            <w:tcW w:w="2649" w:type="dxa"/>
            <w:vAlign w:val="center"/>
          </w:tcPr>
          <w:p>
            <w:pPr>
              <w:spacing w:before="60" w:after="60" w:line="360" w:lineRule="auto"/>
              <w:jc w:val="center"/>
              <w:rPr>
                <w:rFonts w:hAnsi="宋体"/>
                <w:b/>
                <w:color w:val="auto"/>
                <w:highlight w:val="none"/>
              </w:rPr>
            </w:pPr>
            <w:r>
              <w:rPr>
                <w:rFonts w:hAnsi="宋体"/>
                <w:b/>
                <w:color w:val="auto"/>
                <w:highlight w:val="none"/>
              </w:rPr>
              <w:t>谈判文件要求</w:t>
            </w:r>
          </w:p>
        </w:tc>
        <w:tc>
          <w:tcPr>
            <w:tcW w:w="1812" w:type="dxa"/>
            <w:vAlign w:val="center"/>
          </w:tcPr>
          <w:p>
            <w:pPr>
              <w:spacing w:before="60" w:after="60" w:line="360" w:lineRule="auto"/>
              <w:jc w:val="center"/>
              <w:rPr>
                <w:rFonts w:hAnsi="宋体"/>
                <w:b/>
                <w:color w:val="auto"/>
                <w:highlight w:val="none"/>
              </w:rPr>
            </w:pPr>
            <w:r>
              <w:rPr>
                <w:rFonts w:hAnsi="宋体"/>
                <w:b/>
                <w:color w:val="auto"/>
                <w:highlight w:val="none"/>
              </w:rPr>
              <w:t>谈判响应文件响应说明</w:t>
            </w:r>
          </w:p>
        </w:tc>
        <w:tc>
          <w:tcPr>
            <w:tcW w:w="3048" w:type="dxa"/>
            <w:vAlign w:val="center"/>
          </w:tcPr>
          <w:p>
            <w:pPr>
              <w:spacing w:before="60" w:after="60" w:line="360" w:lineRule="auto"/>
              <w:jc w:val="center"/>
              <w:rPr>
                <w:rFonts w:hAnsi="宋体"/>
                <w:b/>
                <w:color w:val="auto"/>
                <w:highlight w:val="none"/>
              </w:rPr>
            </w:pPr>
            <w:r>
              <w:rPr>
                <w:rFonts w:hAnsi="宋体"/>
                <w:b/>
                <w:color w:val="auto"/>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line="360" w:lineRule="auto"/>
              <w:rPr>
                <w:color w:val="auto"/>
                <w:highlight w:val="none"/>
              </w:rPr>
            </w:pPr>
          </w:p>
        </w:tc>
        <w:tc>
          <w:tcPr>
            <w:tcW w:w="2649" w:type="dxa"/>
          </w:tcPr>
          <w:p>
            <w:pPr>
              <w:spacing w:before="120" w:after="120" w:line="360" w:lineRule="auto"/>
              <w:rPr>
                <w:color w:val="auto"/>
                <w:highlight w:val="none"/>
              </w:rPr>
            </w:pPr>
          </w:p>
        </w:tc>
        <w:tc>
          <w:tcPr>
            <w:tcW w:w="1812" w:type="dxa"/>
          </w:tcPr>
          <w:p>
            <w:pPr>
              <w:spacing w:before="120" w:after="120" w:line="360" w:lineRule="auto"/>
              <w:rPr>
                <w:color w:val="auto"/>
                <w:highlight w:val="none"/>
              </w:rPr>
            </w:pPr>
          </w:p>
        </w:tc>
        <w:tc>
          <w:tcPr>
            <w:tcW w:w="3048" w:type="dxa"/>
          </w:tcPr>
          <w:p>
            <w:pPr>
              <w:spacing w:before="120" w:after="120"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line="360" w:lineRule="auto"/>
              <w:rPr>
                <w:color w:val="auto"/>
                <w:highlight w:val="none"/>
              </w:rPr>
            </w:pPr>
          </w:p>
        </w:tc>
        <w:tc>
          <w:tcPr>
            <w:tcW w:w="2649" w:type="dxa"/>
          </w:tcPr>
          <w:p>
            <w:pPr>
              <w:spacing w:before="120" w:after="120" w:line="360" w:lineRule="auto"/>
              <w:rPr>
                <w:color w:val="auto"/>
                <w:highlight w:val="none"/>
              </w:rPr>
            </w:pPr>
          </w:p>
        </w:tc>
        <w:tc>
          <w:tcPr>
            <w:tcW w:w="1812" w:type="dxa"/>
          </w:tcPr>
          <w:p>
            <w:pPr>
              <w:spacing w:before="120" w:after="120" w:line="360" w:lineRule="auto"/>
              <w:rPr>
                <w:color w:val="auto"/>
                <w:highlight w:val="none"/>
              </w:rPr>
            </w:pPr>
          </w:p>
        </w:tc>
        <w:tc>
          <w:tcPr>
            <w:tcW w:w="3048" w:type="dxa"/>
          </w:tcPr>
          <w:p>
            <w:pPr>
              <w:spacing w:before="120" w:after="120"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line="360" w:lineRule="auto"/>
              <w:rPr>
                <w:color w:val="auto"/>
                <w:highlight w:val="none"/>
              </w:rPr>
            </w:pPr>
          </w:p>
        </w:tc>
        <w:tc>
          <w:tcPr>
            <w:tcW w:w="2649" w:type="dxa"/>
          </w:tcPr>
          <w:p>
            <w:pPr>
              <w:spacing w:before="120" w:after="120" w:line="360" w:lineRule="auto"/>
              <w:rPr>
                <w:color w:val="auto"/>
                <w:highlight w:val="none"/>
              </w:rPr>
            </w:pPr>
          </w:p>
        </w:tc>
        <w:tc>
          <w:tcPr>
            <w:tcW w:w="1812" w:type="dxa"/>
          </w:tcPr>
          <w:p>
            <w:pPr>
              <w:spacing w:before="120" w:after="120" w:line="360" w:lineRule="auto"/>
              <w:rPr>
                <w:color w:val="auto"/>
                <w:highlight w:val="none"/>
              </w:rPr>
            </w:pPr>
          </w:p>
        </w:tc>
        <w:tc>
          <w:tcPr>
            <w:tcW w:w="3048" w:type="dxa"/>
          </w:tcPr>
          <w:p>
            <w:pPr>
              <w:spacing w:before="120" w:after="120"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line="360" w:lineRule="auto"/>
              <w:rPr>
                <w:color w:val="auto"/>
                <w:highlight w:val="none"/>
              </w:rPr>
            </w:pPr>
          </w:p>
        </w:tc>
        <w:tc>
          <w:tcPr>
            <w:tcW w:w="2649" w:type="dxa"/>
          </w:tcPr>
          <w:p>
            <w:pPr>
              <w:spacing w:before="120" w:after="120" w:line="360" w:lineRule="auto"/>
              <w:rPr>
                <w:color w:val="auto"/>
                <w:highlight w:val="none"/>
              </w:rPr>
            </w:pPr>
          </w:p>
        </w:tc>
        <w:tc>
          <w:tcPr>
            <w:tcW w:w="1812" w:type="dxa"/>
          </w:tcPr>
          <w:p>
            <w:pPr>
              <w:spacing w:before="120" w:after="120" w:line="360" w:lineRule="auto"/>
              <w:rPr>
                <w:color w:val="auto"/>
                <w:highlight w:val="none"/>
              </w:rPr>
            </w:pPr>
          </w:p>
        </w:tc>
        <w:tc>
          <w:tcPr>
            <w:tcW w:w="3048" w:type="dxa"/>
          </w:tcPr>
          <w:p>
            <w:pPr>
              <w:spacing w:before="120" w:after="120"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line="360" w:lineRule="auto"/>
              <w:rPr>
                <w:color w:val="auto"/>
                <w:highlight w:val="none"/>
              </w:rPr>
            </w:pPr>
          </w:p>
        </w:tc>
        <w:tc>
          <w:tcPr>
            <w:tcW w:w="2649" w:type="dxa"/>
          </w:tcPr>
          <w:p>
            <w:pPr>
              <w:spacing w:before="120" w:after="120" w:line="360" w:lineRule="auto"/>
              <w:rPr>
                <w:color w:val="auto"/>
                <w:highlight w:val="none"/>
              </w:rPr>
            </w:pPr>
          </w:p>
        </w:tc>
        <w:tc>
          <w:tcPr>
            <w:tcW w:w="1812" w:type="dxa"/>
          </w:tcPr>
          <w:p>
            <w:pPr>
              <w:spacing w:before="120" w:after="120" w:line="360" w:lineRule="auto"/>
              <w:rPr>
                <w:color w:val="auto"/>
                <w:highlight w:val="none"/>
              </w:rPr>
            </w:pPr>
          </w:p>
        </w:tc>
        <w:tc>
          <w:tcPr>
            <w:tcW w:w="3048" w:type="dxa"/>
          </w:tcPr>
          <w:p>
            <w:pPr>
              <w:spacing w:before="120" w:after="120"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line="360" w:lineRule="auto"/>
              <w:rPr>
                <w:color w:val="auto"/>
                <w:highlight w:val="none"/>
              </w:rPr>
            </w:pPr>
          </w:p>
        </w:tc>
        <w:tc>
          <w:tcPr>
            <w:tcW w:w="2649" w:type="dxa"/>
          </w:tcPr>
          <w:p>
            <w:pPr>
              <w:spacing w:before="120" w:after="120" w:line="360" w:lineRule="auto"/>
              <w:rPr>
                <w:color w:val="auto"/>
                <w:highlight w:val="none"/>
              </w:rPr>
            </w:pPr>
          </w:p>
        </w:tc>
        <w:tc>
          <w:tcPr>
            <w:tcW w:w="1812" w:type="dxa"/>
          </w:tcPr>
          <w:p>
            <w:pPr>
              <w:spacing w:before="120" w:after="120" w:line="360" w:lineRule="auto"/>
              <w:rPr>
                <w:color w:val="auto"/>
                <w:highlight w:val="none"/>
              </w:rPr>
            </w:pPr>
          </w:p>
        </w:tc>
        <w:tc>
          <w:tcPr>
            <w:tcW w:w="3048" w:type="dxa"/>
          </w:tcPr>
          <w:p>
            <w:pPr>
              <w:spacing w:before="120" w:after="120"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line="360" w:lineRule="auto"/>
              <w:rPr>
                <w:color w:val="auto"/>
                <w:highlight w:val="none"/>
              </w:rPr>
            </w:pPr>
          </w:p>
        </w:tc>
        <w:tc>
          <w:tcPr>
            <w:tcW w:w="2649" w:type="dxa"/>
          </w:tcPr>
          <w:p>
            <w:pPr>
              <w:spacing w:before="120" w:after="120" w:line="360" w:lineRule="auto"/>
              <w:rPr>
                <w:color w:val="auto"/>
                <w:highlight w:val="none"/>
              </w:rPr>
            </w:pPr>
          </w:p>
        </w:tc>
        <w:tc>
          <w:tcPr>
            <w:tcW w:w="1812" w:type="dxa"/>
          </w:tcPr>
          <w:p>
            <w:pPr>
              <w:spacing w:before="120" w:after="120" w:line="360" w:lineRule="auto"/>
              <w:rPr>
                <w:color w:val="auto"/>
                <w:highlight w:val="none"/>
              </w:rPr>
            </w:pPr>
          </w:p>
        </w:tc>
        <w:tc>
          <w:tcPr>
            <w:tcW w:w="3048" w:type="dxa"/>
          </w:tcPr>
          <w:p>
            <w:pPr>
              <w:spacing w:before="120" w:after="120" w:line="360" w:lineRule="auto"/>
              <w:rPr>
                <w:color w:val="auto"/>
                <w:highlight w:val="none"/>
              </w:rPr>
            </w:pPr>
          </w:p>
        </w:tc>
      </w:tr>
    </w:tbl>
    <w:p>
      <w:pPr>
        <w:spacing w:line="360" w:lineRule="auto"/>
        <w:ind w:firstLine="420" w:firstLineChars="175"/>
        <w:rPr>
          <w:rFonts w:hAnsi="宋体"/>
          <w:color w:val="auto"/>
          <w:highlight w:val="none"/>
        </w:rPr>
      </w:pPr>
    </w:p>
    <w:p>
      <w:pPr>
        <w:spacing w:line="360" w:lineRule="auto"/>
        <w:ind w:firstLine="420" w:firstLineChars="175"/>
        <w:rPr>
          <w:rFonts w:hAnsi="宋体"/>
          <w:color w:val="auto"/>
          <w:highlight w:val="none"/>
        </w:rPr>
      </w:pPr>
    </w:p>
    <w:p>
      <w:pPr>
        <w:spacing w:line="360" w:lineRule="auto"/>
        <w:ind w:firstLine="360" w:firstLineChars="150"/>
        <w:rPr>
          <w:rFonts w:hAnsi="宋体"/>
          <w:color w:val="auto"/>
          <w:highlight w:val="none"/>
        </w:rPr>
      </w:pPr>
      <w:r>
        <w:rPr>
          <w:rFonts w:hAnsi="宋体"/>
          <w:color w:val="auto"/>
          <w:highlight w:val="none"/>
        </w:rPr>
        <w:t>供应商</w:t>
      </w:r>
      <w:r>
        <w:rPr>
          <w:rFonts w:hint="eastAsia" w:hAnsi="宋体"/>
          <w:color w:val="auto"/>
          <w:highlight w:val="none"/>
        </w:rPr>
        <w:t>名称</w:t>
      </w:r>
      <w:r>
        <w:rPr>
          <w:rFonts w:hAnsi="宋体"/>
          <w:color w:val="auto"/>
          <w:highlight w:val="none"/>
        </w:rPr>
        <w:t>：                 （盖公章）</w:t>
      </w:r>
    </w:p>
    <w:p>
      <w:pPr>
        <w:spacing w:line="400" w:lineRule="exact"/>
        <w:ind w:firstLine="360" w:firstLineChars="150"/>
        <w:rPr>
          <w:rFonts w:hAnsi="宋体"/>
          <w:color w:val="auto"/>
          <w:highlight w:val="none"/>
        </w:rPr>
      </w:pPr>
      <w:r>
        <w:rPr>
          <w:rFonts w:hAnsi="宋体"/>
          <w:color w:val="auto"/>
          <w:highlight w:val="none"/>
        </w:rPr>
        <w:t>法定代表人或</w:t>
      </w:r>
      <w:r>
        <w:rPr>
          <w:rFonts w:hint="eastAsia" w:hAnsi="宋体"/>
          <w:color w:val="auto"/>
          <w:highlight w:val="none"/>
        </w:rPr>
        <w:t>委托代理人</w:t>
      </w:r>
      <w:r>
        <w:rPr>
          <w:rFonts w:hAnsi="宋体"/>
          <w:color w:val="auto"/>
          <w:highlight w:val="none"/>
        </w:rPr>
        <w:t>（签字</w:t>
      </w:r>
      <w:r>
        <w:rPr>
          <w:rFonts w:hint="eastAsia" w:hAnsi="宋体"/>
          <w:color w:val="auto"/>
          <w:highlight w:val="none"/>
        </w:rPr>
        <w:t>或盖章</w:t>
      </w:r>
      <w:r>
        <w:rPr>
          <w:rFonts w:hAnsi="宋体"/>
          <w:color w:val="auto"/>
          <w:highlight w:val="none"/>
        </w:rPr>
        <w:t>）：</w:t>
      </w:r>
    </w:p>
    <w:p>
      <w:pPr>
        <w:spacing w:line="360" w:lineRule="auto"/>
        <w:rPr>
          <w:rFonts w:hAnsi="宋体"/>
          <w:color w:val="auto"/>
          <w:highlight w:val="none"/>
          <w:u w:val="single" w:color="0D0D0D"/>
        </w:rPr>
      </w:pPr>
      <w:r>
        <w:rPr>
          <w:rFonts w:hint="eastAsia" w:hAnsi="宋体"/>
          <w:color w:val="auto"/>
          <w:highlight w:val="none"/>
        </w:rPr>
        <w:t xml:space="preserve">    日</w:t>
      </w:r>
      <w:r>
        <w:rPr>
          <w:rFonts w:hAnsi="宋体"/>
          <w:color w:val="auto"/>
          <w:highlight w:val="none"/>
        </w:rPr>
        <w:t xml:space="preserve">  期：</w:t>
      </w:r>
    </w:p>
    <w:p>
      <w:pPr>
        <w:spacing w:line="400" w:lineRule="exact"/>
        <w:ind w:firstLine="480" w:firstLineChars="200"/>
        <w:rPr>
          <w:rFonts w:asciiTheme="minorEastAsia" w:hAnsiTheme="minorEastAsia" w:eastAsiaTheme="minorEastAsia"/>
          <w:color w:val="auto"/>
          <w:highlight w:val="none"/>
        </w:rPr>
      </w:pPr>
      <w:r>
        <w:rPr>
          <w:rFonts w:hAnsi="宋体"/>
          <w:color w:val="auto"/>
          <w:highlight w:val="none"/>
        </w:rPr>
        <w:t>注：</w:t>
      </w:r>
      <w:r>
        <w:rPr>
          <w:rFonts w:hint="eastAsia" w:asciiTheme="minorEastAsia" w:hAnsiTheme="minorEastAsia" w:eastAsiaTheme="minorEastAsia"/>
          <w:color w:val="auto"/>
          <w:highlight w:val="none"/>
        </w:rPr>
        <w:t>供应商必须据实填写，不得虚假应答，否则将取消其报价或成交资格。</w:t>
      </w:r>
      <w:r>
        <w:rPr>
          <w:rFonts w:asciiTheme="minorEastAsia" w:hAnsiTheme="minorEastAsia" w:eastAsiaTheme="minorEastAsia"/>
          <w:color w:val="auto"/>
          <w:highlight w:val="none"/>
        </w:rPr>
        <w:t>采购文件中涉及的条款，供应商须逐条响应</w:t>
      </w:r>
      <w:r>
        <w:rPr>
          <w:rFonts w:hint="eastAsia" w:asciiTheme="minorEastAsia" w:hAnsiTheme="minorEastAsia" w:eastAsiaTheme="minorEastAsia"/>
          <w:color w:val="auto"/>
          <w:highlight w:val="none"/>
        </w:rPr>
        <w:t>。</w:t>
      </w:r>
    </w:p>
    <w:p>
      <w:pPr>
        <w:spacing w:line="400" w:lineRule="exact"/>
        <w:rPr>
          <w:color w:val="auto"/>
          <w:highlight w:val="none"/>
        </w:rPr>
      </w:pPr>
    </w:p>
    <w:p>
      <w:pPr>
        <w:spacing w:line="360" w:lineRule="auto"/>
        <w:rPr>
          <w:rFonts w:hAnsi="宋体"/>
          <w:color w:val="auto"/>
          <w:highlight w:val="none"/>
        </w:rPr>
      </w:pPr>
    </w:p>
    <w:p>
      <w:pPr>
        <w:pStyle w:val="23"/>
        <w:spacing w:line="580" w:lineRule="exact"/>
        <w:ind w:left="420" w:hanging="420" w:hangingChars="200"/>
        <w:rPr>
          <w:rFonts w:hint="default" w:ascii="Times New Roman" w:hAnsi="Times New Roman"/>
          <w:bCs/>
          <w:color w:val="auto"/>
          <w:szCs w:val="24"/>
          <w:highlight w:val="none"/>
        </w:rPr>
      </w:pPr>
    </w:p>
    <w:p>
      <w:pPr>
        <w:spacing w:before="120"/>
        <w:jc w:val="center"/>
        <w:rPr>
          <w:b/>
          <w:color w:val="auto"/>
          <w:sz w:val="28"/>
          <w:szCs w:val="28"/>
          <w:highlight w:val="none"/>
        </w:rPr>
      </w:pPr>
      <w:r>
        <w:rPr>
          <w:b/>
          <w:color w:val="auto"/>
          <w:highlight w:val="none"/>
        </w:rPr>
        <w:br w:type="page"/>
      </w:r>
      <w:r>
        <w:rPr>
          <w:rFonts w:hint="eastAsia"/>
          <w:b/>
          <w:color w:val="auto"/>
          <w:sz w:val="28"/>
          <w:szCs w:val="28"/>
          <w:highlight w:val="none"/>
        </w:rPr>
        <w:t>四</w:t>
      </w:r>
      <w:r>
        <w:rPr>
          <w:b/>
          <w:color w:val="auto"/>
          <w:sz w:val="28"/>
          <w:szCs w:val="28"/>
          <w:highlight w:val="none"/>
        </w:rPr>
        <w:t>、商务要求响应/偏离表</w:t>
      </w:r>
    </w:p>
    <w:p>
      <w:pPr>
        <w:jc w:val="center"/>
        <w:rPr>
          <w:color w:val="auto"/>
          <w:highlight w:val="none"/>
        </w:rPr>
      </w:pPr>
    </w:p>
    <w:p>
      <w:pPr>
        <w:spacing w:after="120"/>
        <w:ind w:firstLine="482" w:firstLineChars="200"/>
        <w:rPr>
          <w:b/>
          <w:color w:val="auto"/>
          <w:highlight w:val="none"/>
        </w:rPr>
      </w:pPr>
      <w:r>
        <w:rPr>
          <w:b/>
          <w:color w:val="auto"/>
          <w:highlight w:val="none"/>
        </w:rPr>
        <w:t>项目名称：</w:t>
      </w:r>
      <w:r>
        <w:rPr>
          <w:rFonts w:hint="eastAsia"/>
          <w:b/>
          <w:color w:val="auto"/>
          <w:highlight w:val="none"/>
        </w:rPr>
        <w:t xml:space="preserve">       项目</w:t>
      </w:r>
      <w:r>
        <w:rPr>
          <w:b/>
          <w:color w:val="auto"/>
          <w:highlight w:val="none"/>
        </w:rPr>
        <w:t>编号：</w:t>
      </w:r>
    </w:p>
    <w:tbl>
      <w:tblPr>
        <w:tblStyle w:val="43"/>
        <w:tblW w:w="7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764"/>
        <w:gridCol w:w="270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48" w:type="dxa"/>
            <w:vAlign w:val="center"/>
          </w:tcPr>
          <w:p>
            <w:pPr>
              <w:jc w:val="center"/>
              <w:rPr>
                <w:b/>
                <w:color w:val="auto"/>
                <w:highlight w:val="none"/>
              </w:rPr>
            </w:pPr>
            <w:r>
              <w:rPr>
                <w:b/>
                <w:color w:val="auto"/>
                <w:highlight w:val="none"/>
              </w:rPr>
              <w:t>序号</w:t>
            </w:r>
          </w:p>
        </w:tc>
        <w:tc>
          <w:tcPr>
            <w:tcW w:w="2764" w:type="dxa"/>
            <w:vAlign w:val="center"/>
          </w:tcPr>
          <w:p>
            <w:pPr>
              <w:ind w:firstLine="99" w:firstLineChars="41"/>
              <w:jc w:val="center"/>
              <w:rPr>
                <w:b/>
                <w:color w:val="auto"/>
                <w:highlight w:val="none"/>
              </w:rPr>
            </w:pPr>
            <w:r>
              <w:rPr>
                <w:b/>
                <w:color w:val="auto"/>
                <w:highlight w:val="none"/>
              </w:rPr>
              <w:t>谈判文件商务条款</w:t>
            </w:r>
          </w:p>
        </w:tc>
        <w:tc>
          <w:tcPr>
            <w:tcW w:w="2704" w:type="dxa"/>
            <w:vAlign w:val="center"/>
          </w:tcPr>
          <w:p>
            <w:pPr>
              <w:jc w:val="center"/>
              <w:rPr>
                <w:b/>
                <w:color w:val="auto"/>
                <w:highlight w:val="none"/>
              </w:rPr>
            </w:pPr>
            <w:r>
              <w:rPr>
                <w:b/>
                <w:color w:val="auto"/>
                <w:highlight w:val="none"/>
              </w:rPr>
              <w:t>谈判响应文件商务条款</w:t>
            </w:r>
          </w:p>
        </w:tc>
        <w:tc>
          <w:tcPr>
            <w:tcW w:w="1484" w:type="dxa"/>
            <w:vAlign w:val="center"/>
          </w:tcPr>
          <w:p>
            <w:pPr>
              <w:jc w:val="center"/>
              <w:rPr>
                <w:b/>
                <w:color w:val="auto"/>
                <w:highlight w:val="none"/>
              </w:rPr>
            </w:pPr>
            <w:r>
              <w:rPr>
                <w:b/>
                <w:color w:val="auto"/>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8" w:type="dxa"/>
            <w:vAlign w:val="center"/>
          </w:tcPr>
          <w:p>
            <w:pPr>
              <w:rPr>
                <w:color w:val="auto"/>
                <w:highlight w:val="none"/>
              </w:rPr>
            </w:pPr>
          </w:p>
        </w:tc>
        <w:tc>
          <w:tcPr>
            <w:tcW w:w="2764" w:type="dxa"/>
            <w:vAlign w:val="center"/>
          </w:tcPr>
          <w:p>
            <w:pPr>
              <w:rPr>
                <w:color w:val="auto"/>
                <w:highlight w:val="none"/>
              </w:rPr>
            </w:pPr>
          </w:p>
        </w:tc>
        <w:tc>
          <w:tcPr>
            <w:tcW w:w="2704" w:type="dxa"/>
            <w:vAlign w:val="center"/>
          </w:tcPr>
          <w:p>
            <w:pPr>
              <w:rPr>
                <w:color w:val="auto"/>
                <w:highlight w:val="none"/>
              </w:rPr>
            </w:pPr>
          </w:p>
        </w:tc>
        <w:tc>
          <w:tcPr>
            <w:tcW w:w="148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8" w:type="dxa"/>
            <w:vAlign w:val="center"/>
          </w:tcPr>
          <w:p>
            <w:pPr>
              <w:rPr>
                <w:color w:val="auto"/>
                <w:highlight w:val="none"/>
              </w:rPr>
            </w:pPr>
          </w:p>
        </w:tc>
        <w:tc>
          <w:tcPr>
            <w:tcW w:w="2764" w:type="dxa"/>
            <w:vAlign w:val="center"/>
          </w:tcPr>
          <w:p>
            <w:pPr>
              <w:rPr>
                <w:color w:val="auto"/>
                <w:highlight w:val="none"/>
              </w:rPr>
            </w:pPr>
          </w:p>
        </w:tc>
        <w:tc>
          <w:tcPr>
            <w:tcW w:w="2704" w:type="dxa"/>
            <w:vAlign w:val="center"/>
          </w:tcPr>
          <w:p>
            <w:pPr>
              <w:rPr>
                <w:color w:val="auto"/>
                <w:highlight w:val="none"/>
              </w:rPr>
            </w:pPr>
          </w:p>
        </w:tc>
        <w:tc>
          <w:tcPr>
            <w:tcW w:w="148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8" w:type="dxa"/>
            <w:vAlign w:val="center"/>
          </w:tcPr>
          <w:p>
            <w:pPr>
              <w:rPr>
                <w:color w:val="auto"/>
                <w:highlight w:val="none"/>
              </w:rPr>
            </w:pPr>
          </w:p>
        </w:tc>
        <w:tc>
          <w:tcPr>
            <w:tcW w:w="2764" w:type="dxa"/>
            <w:vAlign w:val="center"/>
          </w:tcPr>
          <w:p>
            <w:pPr>
              <w:rPr>
                <w:color w:val="auto"/>
                <w:highlight w:val="none"/>
              </w:rPr>
            </w:pPr>
          </w:p>
        </w:tc>
        <w:tc>
          <w:tcPr>
            <w:tcW w:w="2704" w:type="dxa"/>
            <w:vAlign w:val="center"/>
          </w:tcPr>
          <w:p>
            <w:pPr>
              <w:rPr>
                <w:color w:val="auto"/>
                <w:highlight w:val="none"/>
              </w:rPr>
            </w:pPr>
          </w:p>
        </w:tc>
        <w:tc>
          <w:tcPr>
            <w:tcW w:w="148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8" w:type="dxa"/>
            <w:vAlign w:val="center"/>
          </w:tcPr>
          <w:p>
            <w:pPr>
              <w:rPr>
                <w:color w:val="auto"/>
                <w:highlight w:val="none"/>
              </w:rPr>
            </w:pPr>
          </w:p>
        </w:tc>
        <w:tc>
          <w:tcPr>
            <w:tcW w:w="2764" w:type="dxa"/>
            <w:vAlign w:val="center"/>
          </w:tcPr>
          <w:p>
            <w:pPr>
              <w:rPr>
                <w:color w:val="auto"/>
                <w:highlight w:val="none"/>
              </w:rPr>
            </w:pPr>
          </w:p>
        </w:tc>
        <w:tc>
          <w:tcPr>
            <w:tcW w:w="2704" w:type="dxa"/>
            <w:vAlign w:val="center"/>
          </w:tcPr>
          <w:p>
            <w:pPr>
              <w:rPr>
                <w:color w:val="auto"/>
                <w:highlight w:val="none"/>
              </w:rPr>
            </w:pPr>
          </w:p>
        </w:tc>
        <w:tc>
          <w:tcPr>
            <w:tcW w:w="148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8" w:type="dxa"/>
            <w:vAlign w:val="center"/>
          </w:tcPr>
          <w:p>
            <w:pPr>
              <w:rPr>
                <w:color w:val="auto"/>
                <w:highlight w:val="none"/>
              </w:rPr>
            </w:pPr>
          </w:p>
        </w:tc>
        <w:tc>
          <w:tcPr>
            <w:tcW w:w="2764" w:type="dxa"/>
            <w:vAlign w:val="center"/>
          </w:tcPr>
          <w:p>
            <w:pPr>
              <w:rPr>
                <w:color w:val="auto"/>
                <w:highlight w:val="none"/>
              </w:rPr>
            </w:pPr>
          </w:p>
        </w:tc>
        <w:tc>
          <w:tcPr>
            <w:tcW w:w="2704" w:type="dxa"/>
            <w:vAlign w:val="center"/>
          </w:tcPr>
          <w:p>
            <w:pPr>
              <w:rPr>
                <w:color w:val="auto"/>
                <w:highlight w:val="none"/>
              </w:rPr>
            </w:pPr>
          </w:p>
        </w:tc>
        <w:tc>
          <w:tcPr>
            <w:tcW w:w="148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8" w:type="dxa"/>
            <w:vAlign w:val="center"/>
          </w:tcPr>
          <w:p>
            <w:pPr>
              <w:rPr>
                <w:color w:val="auto"/>
                <w:highlight w:val="none"/>
              </w:rPr>
            </w:pPr>
          </w:p>
        </w:tc>
        <w:tc>
          <w:tcPr>
            <w:tcW w:w="2764" w:type="dxa"/>
            <w:vAlign w:val="center"/>
          </w:tcPr>
          <w:p>
            <w:pPr>
              <w:rPr>
                <w:color w:val="auto"/>
                <w:highlight w:val="none"/>
              </w:rPr>
            </w:pPr>
          </w:p>
        </w:tc>
        <w:tc>
          <w:tcPr>
            <w:tcW w:w="2704" w:type="dxa"/>
            <w:vAlign w:val="center"/>
          </w:tcPr>
          <w:p>
            <w:pPr>
              <w:rPr>
                <w:color w:val="auto"/>
                <w:highlight w:val="none"/>
              </w:rPr>
            </w:pPr>
          </w:p>
        </w:tc>
        <w:tc>
          <w:tcPr>
            <w:tcW w:w="148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48" w:type="dxa"/>
            <w:vAlign w:val="center"/>
          </w:tcPr>
          <w:p>
            <w:pPr>
              <w:rPr>
                <w:color w:val="auto"/>
                <w:highlight w:val="none"/>
              </w:rPr>
            </w:pPr>
          </w:p>
        </w:tc>
        <w:tc>
          <w:tcPr>
            <w:tcW w:w="2764" w:type="dxa"/>
            <w:vAlign w:val="center"/>
          </w:tcPr>
          <w:p>
            <w:pPr>
              <w:rPr>
                <w:color w:val="auto"/>
                <w:highlight w:val="none"/>
              </w:rPr>
            </w:pPr>
          </w:p>
        </w:tc>
        <w:tc>
          <w:tcPr>
            <w:tcW w:w="2704" w:type="dxa"/>
            <w:vAlign w:val="center"/>
          </w:tcPr>
          <w:p>
            <w:pPr>
              <w:rPr>
                <w:color w:val="auto"/>
                <w:highlight w:val="none"/>
              </w:rPr>
            </w:pPr>
          </w:p>
        </w:tc>
        <w:tc>
          <w:tcPr>
            <w:tcW w:w="1484" w:type="dxa"/>
            <w:vAlign w:val="center"/>
          </w:tcPr>
          <w:p>
            <w:pPr>
              <w:rPr>
                <w:color w:val="auto"/>
                <w:highlight w:val="none"/>
              </w:rPr>
            </w:pPr>
          </w:p>
        </w:tc>
      </w:tr>
    </w:tbl>
    <w:p>
      <w:pPr>
        <w:spacing w:line="360" w:lineRule="auto"/>
        <w:ind w:firstLine="330" w:firstLineChars="150"/>
        <w:rPr>
          <w:rFonts w:hAnsi="宋体"/>
          <w:color w:val="auto"/>
          <w:sz w:val="22"/>
          <w:szCs w:val="22"/>
          <w:highlight w:val="none"/>
        </w:rPr>
      </w:pPr>
    </w:p>
    <w:p>
      <w:pPr>
        <w:spacing w:line="360" w:lineRule="auto"/>
        <w:ind w:firstLine="330" w:firstLineChars="150"/>
        <w:rPr>
          <w:rFonts w:hAnsi="宋体"/>
          <w:color w:val="auto"/>
          <w:sz w:val="22"/>
          <w:szCs w:val="22"/>
          <w:highlight w:val="none"/>
        </w:rPr>
      </w:pPr>
    </w:p>
    <w:p>
      <w:pPr>
        <w:spacing w:line="360" w:lineRule="auto"/>
        <w:ind w:firstLine="330" w:firstLineChars="150"/>
        <w:rPr>
          <w:rFonts w:hAnsi="宋体"/>
          <w:color w:val="auto"/>
          <w:sz w:val="22"/>
          <w:szCs w:val="22"/>
          <w:highlight w:val="none"/>
        </w:rPr>
      </w:pPr>
    </w:p>
    <w:p>
      <w:pPr>
        <w:spacing w:line="360" w:lineRule="auto"/>
        <w:ind w:firstLine="360" w:firstLineChars="150"/>
        <w:rPr>
          <w:rFonts w:hAnsi="宋体"/>
          <w:color w:val="auto"/>
          <w:highlight w:val="none"/>
        </w:rPr>
      </w:pPr>
      <w:r>
        <w:rPr>
          <w:rFonts w:hAnsi="宋体"/>
          <w:color w:val="auto"/>
          <w:highlight w:val="none"/>
        </w:rPr>
        <w:t>供应商</w:t>
      </w:r>
      <w:r>
        <w:rPr>
          <w:rFonts w:hint="eastAsia" w:hAnsi="宋体"/>
          <w:color w:val="auto"/>
          <w:highlight w:val="none"/>
        </w:rPr>
        <w:t>名称</w:t>
      </w:r>
      <w:r>
        <w:rPr>
          <w:rFonts w:hAnsi="宋体"/>
          <w:color w:val="auto"/>
          <w:highlight w:val="none"/>
        </w:rPr>
        <w:t>：                 （盖公章）</w:t>
      </w:r>
    </w:p>
    <w:p>
      <w:pPr>
        <w:spacing w:line="400" w:lineRule="exact"/>
        <w:ind w:firstLine="360" w:firstLineChars="150"/>
        <w:rPr>
          <w:rFonts w:hAnsi="宋体"/>
          <w:color w:val="auto"/>
          <w:highlight w:val="none"/>
        </w:rPr>
      </w:pPr>
      <w:r>
        <w:rPr>
          <w:rFonts w:hAnsi="宋体"/>
          <w:color w:val="auto"/>
          <w:highlight w:val="none"/>
        </w:rPr>
        <w:t>法定代表人或</w:t>
      </w:r>
      <w:r>
        <w:rPr>
          <w:rFonts w:hint="eastAsia" w:hAnsi="宋体"/>
          <w:color w:val="auto"/>
          <w:highlight w:val="none"/>
        </w:rPr>
        <w:t>委托代理人</w:t>
      </w:r>
      <w:r>
        <w:rPr>
          <w:rFonts w:hAnsi="宋体"/>
          <w:color w:val="auto"/>
          <w:highlight w:val="none"/>
        </w:rPr>
        <w:t>（签字</w:t>
      </w:r>
      <w:r>
        <w:rPr>
          <w:rFonts w:hint="eastAsia" w:hAnsi="宋体"/>
          <w:color w:val="auto"/>
          <w:highlight w:val="none"/>
        </w:rPr>
        <w:t>或盖章</w:t>
      </w:r>
      <w:r>
        <w:rPr>
          <w:rFonts w:hAnsi="宋体"/>
          <w:color w:val="auto"/>
          <w:highlight w:val="none"/>
        </w:rPr>
        <w:t>）：</w:t>
      </w:r>
    </w:p>
    <w:p>
      <w:pPr>
        <w:spacing w:line="360" w:lineRule="auto"/>
        <w:rPr>
          <w:rFonts w:hAnsi="宋体"/>
          <w:color w:val="auto"/>
          <w:highlight w:val="none"/>
          <w:u w:val="single" w:color="0D0D0D"/>
        </w:rPr>
      </w:pPr>
      <w:r>
        <w:rPr>
          <w:rFonts w:hint="eastAsia" w:hAnsi="宋体"/>
          <w:color w:val="auto"/>
          <w:highlight w:val="none"/>
        </w:rPr>
        <w:t xml:space="preserve">    日</w:t>
      </w:r>
      <w:r>
        <w:rPr>
          <w:rFonts w:hAnsi="宋体"/>
          <w:color w:val="auto"/>
          <w:highlight w:val="none"/>
        </w:rPr>
        <w:t xml:space="preserve">  期：</w:t>
      </w:r>
    </w:p>
    <w:p>
      <w:pPr>
        <w:pStyle w:val="23"/>
        <w:rPr>
          <w:rFonts w:hint="default" w:ascii="Times New Roman" w:hAnsi="Times New Roman"/>
          <w:color w:val="auto"/>
          <w:highlight w:val="none"/>
        </w:rPr>
      </w:pPr>
    </w:p>
    <w:p>
      <w:pPr>
        <w:spacing w:line="400" w:lineRule="exact"/>
        <w:ind w:firstLine="720" w:firstLineChars="300"/>
        <w:rPr>
          <w:color w:val="auto"/>
          <w:highlight w:val="none"/>
        </w:rPr>
      </w:pPr>
      <w:r>
        <w:rPr>
          <w:rFonts w:hint="eastAsia"/>
          <w:color w:val="auto"/>
          <w:highlight w:val="none"/>
        </w:rPr>
        <w:t>注：1、</w:t>
      </w:r>
      <w:r>
        <w:rPr>
          <w:color w:val="auto"/>
          <w:highlight w:val="none"/>
        </w:rPr>
        <w:t>供应商必须据实逐条填写，不得虚假应答，否则将取消其报价或成交资格。</w:t>
      </w:r>
    </w:p>
    <w:p>
      <w:pPr>
        <w:spacing w:line="400" w:lineRule="exact"/>
        <w:ind w:left="684" w:leftChars="285" w:firstLine="240" w:firstLineChars="100"/>
        <w:rPr>
          <w:rFonts w:hAnsi="宋体"/>
          <w:color w:val="auto"/>
          <w:highlight w:val="none"/>
        </w:rPr>
      </w:pPr>
      <w:r>
        <w:rPr>
          <w:rFonts w:hint="eastAsia" w:hAnsi="宋体"/>
          <w:color w:val="auto"/>
          <w:highlight w:val="none"/>
        </w:rPr>
        <w:t>2、商务条款不允许负偏离， 否则被视为无效文件处理。</w:t>
      </w:r>
    </w:p>
    <w:p>
      <w:pPr>
        <w:pStyle w:val="23"/>
        <w:spacing w:line="360" w:lineRule="auto"/>
        <w:jc w:val="center"/>
        <w:rPr>
          <w:rFonts w:hint="default" w:ascii="Times New Roman" w:hAnsi="Times New Roman"/>
          <w:b/>
          <w:color w:val="auto"/>
          <w:sz w:val="28"/>
          <w:szCs w:val="28"/>
          <w:highlight w:val="none"/>
        </w:rPr>
      </w:pPr>
      <w:r>
        <w:rPr>
          <w:b/>
          <w:color w:val="auto"/>
          <w:highlight w:val="none"/>
        </w:rPr>
        <w:br w:type="page"/>
      </w:r>
      <w:r>
        <w:rPr>
          <w:rFonts w:ascii="Times New Roman" w:hAnsi="Times New Roman"/>
          <w:b/>
          <w:color w:val="auto"/>
          <w:sz w:val="28"/>
          <w:szCs w:val="28"/>
          <w:highlight w:val="none"/>
        </w:rPr>
        <w:t>五</w:t>
      </w:r>
      <w:r>
        <w:rPr>
          <w:rFonts w:hint="default" w:ascii="Times New Roman" w:hAnsi="Times New Roman"/>
          <w:b/>
          <w:color w:val="auto"/>
          <w:sz w:val="28"/>
          <w:szCs w:val="28"/>
          <w:highlight w:val="none"/>
        </w:rPr>
        <w:t>、初</w:t>
      </w:r>
      <w:r>
        <w:rPr>
          <w:rFonts w:ascii="Times New Roman" w:hAnsi="Times New Roman"/>
          <w:b/>
          <w:color w:val="auto"/>
          <w:sz w:val="28"/>
          <w:szCs w:val="28"/>
          <w:highlight w:val="none"/>
        </w:rPr>
        <w:t>始</w:t>
      </w:r>
      <w:r>
        <w:rPr>
          <w:rFonts w:hint="default" w:ascii="Times New Roman" w:hAnsi="Times New Roman"/>
          <w:b/>
          <w:color w:val="auto"/>
          <w:sz w:val="28"/>
          <w:szCs w:val="28"/>
          <w:highlight w:val="none"/>
        </w:rPr>
        <w:t>报价清单</w:t>
      </w:r>
    </w:p>
    <w:p>
      <w:pPr>
        <w:spacing w:line="480" w:lineRule="exact"/>
        <w:ind w:firstLine="480" w:firstLineChars="200"/>
        <w:rPr>
          <w:rFonts w:hAnsi="宋体"/>
          <w:color w:val="auto"/>
          <w:sz w:val="24"/>
          <w:szCs w:val="24"/>
          <w:highlight w:val="none"/>
        </w:rPr>
      </w:pPr>
      <w:r>
        <w:rPr>
          <w:rFonts w:hint="eastAsia" w:hAnsi="宋体"/>
          <w:color w:val="auto"/>
          <w:sz w:val="24"/>
          <w:szCs w:val="24"/>
          <w:highlight w:val="none"/>
        </w:rPr>
        <w:t>项目名称：                             项目编号/包号：</w:t>
      </w:r>
    </w:p>
    <w:tbl>
      <w:tblPr>
        <w:tblStyle w:val="43"/>
        <w:tblW w:w="890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7"/>
        <w:gridCol w:w="1716"/>
        <w:gridCol w:w="1550"/>
        <w:gridCol w:w="1867"/>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617" w:type="dxa"/>
            <w:noWrap w:val="false"/>
            <w:tcMar>
              <w:left w:w="0" w:type="dxa"/>
              <w:right w:w="0" w:type="dxa"/>
            </w:tcMar>
            <w:vAlign w:val="center"/>
          </w:tcPr>
          <w:p>
            <w:pPr>
              <w:spacing w:line="400" w:lineRule="exact"/>
              <w:rPr>
                <w:rFonts w:hint="eastAsia" w:hAnsi="宋体"/>
                <w:color w:val="auto"/>
                <w:sz w:val="24"/>
                <w:highlight w:val="none"/>
              </w:rPr>
            </w:pPr>
            <w:r>
              <w:rPr>
                <w:rFonts w:hint="eastAsia" w:hAnsi="宋体"/>
                <w:color w:val="auto"/>
                <w:sz w:val="24"/>
                <w:highlight w:val="none"/>
              </w:rPr>
              <w:t>序号</w:t>
            </w:r>
          </w:p>
        </w:tc>
        <w:tc>
          <w:tcPr>
            <w:tcW w:w="1716" w:type="dxa"/>
            <w:noWrap w:val="false"/>
            <w:tcMar>
              <w:left w:w="0" w:type="dxa"/>
              <w:right w:w="0" w:type="dxa"/>
            </w:tcMar>
            <w:vAlign w:val="center"/>
          </w:tcPr>
          <w:p>
            <w:pPr>
              <w:spacing w:line="400" w:lineRule="exact"/>
              <w:ind w:firstLine="480"/>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服务内容</w:t>
            </w:r>
          </w:p>
        </w:tc>
        <w:tc>
          <w:tcPr>
            <w:tcW w:w="1550" w:type="dxa"/>
            <w:noWrap w:val="false"/>
            <w:tcMar>
              <w:left w:w="0" w:type="dxa"/>
              <w:right w:w="0" w:type="dxa"/>
            </w:tcMar>
            <w:vAlign w:val="center"/>
          </w:tcPr>
          <w:p>
            <w:pPr>
              <w:spacing w:line="400" w:lineRule="exact"/>
              <w:ind w:firstLine="480"/>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服务期</w:t>
            </w:r>
          </w:p>
        </w:tc>
        <w:tc>
          <w:tcPr>
            <w:tcW w:w="1867" w:type="dxa"/>
            <w:noWrap w:val="false"/>
            <w:tcMar>
              <w:left w:w="0" w:type="dxa"/>
              <w:right w:w="0" w:type="dxa"/>
            </w:tcMar>
            <w:vAlign w:val="center"/>
          </w:tcPr>
          <w:p>
            <w:pPr>
              <w:spacing w:line="400" w:lineRule="exact"/>
              <w:rPr>
                <w:rFonts w:hint="eastAsia" w:hAnsi="宋体"/>
                <w:color w:val="auto"/>
                <w:sz w:val="24"/>
                <w:highlight w:val="none"/>
              </w:rPr>
            </w:pPr>
            <w:r>
              <w:rPr>
                <w:rFonts w:hint="eastAsia" w:hAnsi="宋体"/>
                <w:color w:val="auto"/>
                <w:sz w:val="24"/>
                <w:highlight w:val="none"/>
              </w:rPr>
              <w:t>报价（下浮率%）</w:t>
            </w:r>
          </w:p>
        </w:tc>
        <w:tc>
          <w:tcPr>
            <w:tcW w:w="3150" w:type="dxa"/>
            <w:noWrap w:val="false"/>
            <w:tcMar>
              <w:left w:w="0" w:type="dxa"/>
              <w:right w:w="0" w:type="dxa"/>
            </w:tcMar>
            <w:vAlign w:val="center"/>
          </w:tcPr>
          <w:p>
            <w:pPr>
              <w:spacing w:line="400" w:lineRule="exact"/>
              <w:ind w:firstLine="480"/>
              <w:rPr>
                <w:rFonts w:hint="eastAsia" w:hAnsi="宋体"/>
                <w:color w:val="auto"/>
                <w:sz w:val="24"/>
                <w:highlight w:val="none"/>
              </w:rPr>
            </w:pPr>
            <w:r>
              <w:rPr>
                <w:rFonts w:hint="eastAsia"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rPr>
        <w:tc>
          <w:tcPr>
            <w:tcW w:w="617" w:type="dxa"/>
            <w:noWrap w:val="false"/>
            <w:tcMar>
              <w:left w:w="0" w:type="dxa"/>
              <w:right w:w="0" w:type="dxa"/>
            </w:tcMar>
            <w:vAlign w:val="center"/>
          </w:tcPr>
          <w:p>
            <w:pPr>
              <w:spacing w:line="400" w:lineRule="exact"/>
              <w:jc w:val="center"/>
              <w:rPr>
                <w:rFonts w:hint="eastAsia" w:hAnsi="宋体"/>
                <w:color w:val="auto"/>
                <w:sz w:val="24"/>
                <w:highlight w:val="none"/>
              </w:rPr>
            </w:pPr>
            <w:r>
              <w:rPr>
                <w:rFonts w:hint="eastAsia" w:hAnsi="宋体"/>
                <w:color w:val="auto"/>
                <w:sz w:val="24"/>
                <w:highlight w:val="none"/>
              </w:rPr>
              <w:t>1</w:t>
            </w:r>
          </w:p>
        </w:tc>
        <w:tc>
          <w:tcPr>
            <w:tcW w:w="1716" w:type="dxa"/>
            <w:noWrap w:val="false"/>
            <w:tcMar>
              <w:left w:w="0" w:type="dxa"/>
              <w:right w:w="0" w:type="dxa"/>
            </w:tcMar>
            <w:vAlign w:val="center"/>
          </w:tcPr>
          <w:p>
            <w:pPr>
              <w:spacing w:line="400" w:lineRule="exact"/>
              <w:ind w:firstLine="480"/>
              <w:rPr>
                <w:rFonts w:hint="eastAsia" w:ascii="Times New Roman" w:hAnsi="宋体" w:eastAsia="宋体" w:cs="Times New Roman"/>
                <w:color w:val="auto"/>
                <w:sz w:val="24"/>
                <w:highlight w:val="none"/>
                <w:lang w:eastAsia="zh-CN"/>
              </w:rPr>
            </w:pPr>
            <w:r>
              <w:rPr>
                <w:rFonts w:hint="eastAsia" w:ascii="Times New Roman" w:hAnsi="宋体" w:eastAsia="宋体" w:cs="Times New Roman"/>
                <w:color w:val="auto"/>
                <w:sz w:val="24"/>
                <w:highlight w:val="none"/>
                <w:lang w:val="en-US" w:eastAsia="zh-CN"/>
              </w:rPr>
              <w:t>营养午餐改善计划服务</w:t>
            </w:r>
          </w:p>
        </w:tc>
        <w:tc>
          <w:tcPr>
            <w:tcW w:w="1550" w:type="dxa"/>
            <w:noWrap w:val="false"/>
            <w:tcMar>
              <w:left w:w="0" w:type="dxa"/>
              <w:right w:w="0" w:type="dxa"/>
            </w:tcMar>
            <w:vAlign w:val="center"/>
          </w:tcPr>
          <w:p>
            <w:pPr>
              <w:spacing w:line="400" w:lineRule="exact"/>
              <w:ind w:firstLine="480"/>
              <w:rPr>
                <w:rFonts w:hint="default" w:ascii="Times New Roman" w:hAnsi="宋体" w:eastAsia="宋体" w:cs="Times New Roman"/>
                <w:color w:val="auto"/>
                <w:sz w:val="24"/>
                <w:highlight w:val="none"/>
                <w:lang w:val="en-US" w:eastAsia="zh-CN"/>
              </w:rPr>
            </w:pPr>
            <w:r>
              <w:rPr>
                <w:rFonts w:hint="eastAsia" w:ascii="Times New Roman" w:hAnsi="宋体" w:eastAsia="宋体" w:cs="Times New Roman"/>
                <w:color w:val="auto"/>
                <w:sz w:val="24"/>
                <w:highlight w:val="none"/>
                <w:lang w:val="en-US" w:eastAsia="zh-CN"/>
              </w:rPr>
              <w:t>1年</w:t>
            </w:r>
          </w:p>
        </w:tc>
        <w:tc>
          <w:tcPr>
            <w:tcW w:w="1867" w:type="dxa"/>
            <w:noWrap w:val="false"/>
            <w:tcMar>
              <w:left w:w="0" w:type="dxa"/>
              <w:right w:w="0" w:type="dxa"/>
            </w:tcMar>
            <w:vAlign w:val="center"/>
          </w:tcPr>
          <w:p>
            <w:pPr>
              <w:spacing w:line="400" w:lineRule="exact"/>
              <w:rPr>
                <w:rFonts w:hAnsi="宋体"/>
                <w:color w:val="auto"/>
                <w:sz w:val="24"/>
                <w:highlight w:val="none"/>
                <w:u w:val="single"/>
              </w:rPr>
            </w:pPr>
            <w:r>
              <w:rPr>
                <w:rFonts w:hint="eastAsia" w:hAnsi="宋体"/>
                <w:color w:val="auto"/>
                <w:sz w:val="24"/>
                <w:highlight w:val="none"/>
                <w:u w:val="single"/>
              </w:rPr>
              <w:t xml:space="preserve">             </w:t>
            </w:r>
            <w:r>
              <w:rPr>
                <w:rFonts w:hint="eastAsia" w:hAnsi="宋体"/>
                <w:color w:val="auto"/>
                <w:sz w:val="24"/>
                <w:highlight w:val="none"/>
              </w:rPr>
              <w:t>%</w:t>
            </w:r>
          </w:p>
        </w:tc>
        <w:tc>
          <w:tcPr>
            <w:tcW w:w="3150" w:type="dxa"/>
            <w:noWrap w:val="false"/>
            <w:tcMar>
              <w:left w:w="0" w:type="dxa"/>
              <w:right w:w="0" w:type="dxa"/>
            </w:tcMar>
            <w:vAlign w:val="center"/>
          </w:tcPr>
          <w:p>
            <w:pPr>
              <w:pStyle w:val="39"/>
              <w:spacing w:before="0" w:beforeAutospacing="false" w:after="0" w:afterAutospacing="false" w:line="360" w:lineRule="auto"/>
              <w:jc w:val="left"/>
              <w:rPr>
                <w:rFonts w:hint="eastAsia" w:cs="Times New Roman" w:asciiTheme="minorEastAsia" w:hAnsiTheme="minorEastAsia" w:eastAsiaTheme="minorEastAsia"/>
                <w:color w:val="auto"/>
                <w:sz w:val="21"/>
                <w:szCs w:val="21"/>
                <w:highlight w:val="none"/>
                <w:lang w:eastAsia="zh-CN"/>
              </w:rPr>
            </w:pPr>
            <w:r>
              <w:rPr>
                <w:rFonts w:hint="eastAsia" w:cs="Times New Roman" w:asciiTheme="minorEastAsia" w:hAnsiTheme="minorEastAsia" w:eastAsiaTheme="minorEastAsia"/>
                <w:color w:val="auto"/>
                <w:sz w:val="21"/>
                <w:szCs w:val="21"/>
                <w:highlight w:val="none"/>
                <w:lang w:eastAsia="zh-CN"/>
              </w:rPr>
              <w:t>1、供应商在</w:t>
            </w:r>
            <w:r>
              <w:rPr>
                <w:rFonts w:hint="eastAsia" w:cs="Times New Roman" w:asciiTheme="minorEastAsia" w:hAnsiTheme="minorEastAsia" w:eastAsiaTheme="minorEastAsia"/>
                <w:color w:val="auto"/>
                <w:sz w:val="21"/>
                <w:szCs w:val="21"/>
                <w:highlight w:val="none"/>
                <w:lang w:val="en-US" w:eastAsia="zh-CN"/>
              </w:rPr>
              <w:t>市场基准价格的基础上</w:t>
            </w:r>
            <w:r>
              <w:rPr>
                <w:rFonts w:hint="eastAsia" w:cs="Times New Roman" w:asciiTheme="minorEastAsia" w:hAnsiTheme="minorEastAsia" w:eastAsiaTheme="minorEastAsia"/>
                <w:color w:val="auto"/>
                <w:sz w:val="21"/>
                <w:szCs w:val="21"/>
                <w:highlight w:val="none"/>
                <w:lang w:eastAsia="zh-CN"/>
              </w:rPr>
              <w:t>按照下浮率报价，以1个百分点为最小浮动单位。</w:t>
            </w:r>
          </w:p>
          <w:p>
            <w:pPr>
              <w:pStyle w:val="39"/>
              <w:spacing w:before="0" w:beforeAutospacing="false" w:after="0" w:afterAutospacing="false" w:line="360" w:lineRule="auto"/>
              <w:jc w:val="left"/>
              <w:rPr>
                <w:rFonts w:hint="eastAsia" w:cs="Times New Roman" w:asciiTheme="minorEastAsia" w:hAnsiTheme="minorEastAsia" w:eastAsiaTheme="minorEastAsia"/>
                <w:color w:val="auto"/>
                <w:sz w:val="21"/>
                <w:szCs w:val="21"/>
                <w:highlight w:val="none"/>
                <w:lang w:eastAsia="zh-CN"/>
              </w:rPr>
            </w:pPr>
            <w:r>
              <w:rPr>
                <w:rFonts w:hint="eastAsia" w:cs="Times New Roman" w:asciiTheme="minorEastAsia" w:hAnsiTheme="minorEastAsia" w:eastAsiaTheme="minorEastAsia"/>
                <w:color w:val="auto"/>
                <w:sz w:val="21"/>
                <w:szCs w:val="21"/>
                <w:highlight w:val="none"/>
                <w:lang w:eastAsia="zh-CN"/>
              </w:rPr>
              <w:t>2、</w:t>
            </w:r>
            <w:r>
              <w:rPr>
                <w:rFonts w:hint="eastAsia" w:cs="Times New Roman" w:asciiTheme="minorEastAsia" w:hAnsiTheme="minorEastAsia" w:eastAsiaTheme="minorEastAsia"/>
                <w:color w:val="auto"/>
                <w:sz w:val="21"/>
                <w:szCs w:val="21"/>
                <w:highlight w:val="none"/>
                <w:lang w:val="en-US" w:eastAsia="zh-CN"/>
              </w:rPr>
              <w:t>按照询价小组采用市场询价的方式确认的市场基准价格为准</w:t>
            </w:r>
            <w:r>
              <w:rPr>
                <w:rFonts w:hint="eastAsia" w:cs="Times New Roman" w:asciiTheme="minorEastAsia" w:hAnsiTheme="minorEastAsia" w:eastAsiaTheme="minorEastAsia"/>
                <w:color w:val="auto"/>
                <w:sz w:val="21"/>
                <w:szCs w:val="21"/>
                <w:highlight w:val="none"/>
                <w:lang w:eastAsia="zh-CN"/>
              </w:rPr>
              <w:t>。</w:t>
            </w:r>
          </w:p>
          <w:p>
            <w:pPr>
              <w:spacing w:line="400" w:lineRule="exact"/>
              <w:rPr>
                <w:rFonts w:hint="default" w:hAnsi="宋体" w:eastAsia="宋体"/>
                <w:color w:val="auto"/>
                <w:sz w:val="24"/>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3.</w:t>
            </w:r>
            <w:r>
              <w:rPr>
                <w:rFonts w:hint="eastAsia" w:cs="Times New Roman" w:asciiTheme="minorEastAsia" w:hAnsiTheme="minorEastAsia" w:eastAsiaTheme="minorEastAsia"/>
                <w:color w:val="auto"/>
                <w:sz w:val="21"/>
                <w:szCs w:val="21"/>
                <w:highlight w:val="none"/>
                <w:lang w:eastAsia="zh-CN"/>
              </w:rPr>
              <w:t>供应商</w:t>
            </w:r>
            <w:r>
              <w:rPr>
                <w:rFonts w:hint="eastAsia" w:cs="Times New Roman" w:asciiTheme="minorEastAsia" w:hAnsiTheme="minorEastAsia" w:eastAsiaTheme="minorEastAsia"/>
                <w:color w:val="auto"/>
                <w:sz w:val="21"/>
                <w:szCs w:val="21"/>
                <w:highlight w:val="none"/>
                <w:lang w:val="en-US" w:eastAsia="zh-CN"/>
              </w:rPr>
              <w:t>报价下浮率不得低于1%，否则视为无效报价。</w:t>
            </w:r>
          </w:p>
        </w:tc>
      </w:tr>
    </w:tbl>
    <w:p>
      <w:pPr>
        <w:spacing w:line="480" w:lineRule="exact"/>
        <w:ind w:firstLine="480" w:firstLineChars="200"/>
        <w:rPr>
          <w:rFonts w:hAnsi="宋体"/>
          <w:color w:val="auto"/>
          <w:sz w:val="24"/>
          <w:szCs w:val="24"/>
          <w:highlight w:val="none"/>
        </w:rPr>
      </w:pPr>
    </w:p>
    <w:p>
      <w:pPr>
        <w:spacing w:line="360" w:lineRule="atLeast"/>
        <w:ind w:firstLine="470" w:firstLineChars="196"/>
        <w:jc w:val="left"/>
        <w:outlineLvl w:val="1"/>
        <w:rPr>
          <w:rFonts w:hAnsi="宋体"/>
          <w:color w:val="auto"/>
          <w:sz w:val="24"/>
          <w:highlight w:val="none"/>
        </w:rPr>
      </w:pPr>
      <w:r>
        <w:rPr>
          <w:rFonts w:hint="eastAsia" w:hAnsi="宋体"/>
          <w:color w:val="auto"/>
          <w:sz w:val="24"/>
          <w:highlight w:val="none"/>
        </w:rPr>
        <w:t xml:space="preserve">注： </w:t>
      </w:r>
    </w:p>
    <w:p>
      <w:pPr>
        <w:spacing w:line="360" w:lineRule="atLeast"/>
        <w:ind w:firstLine="470" w:firstLineChars="196"/>
        <w:jc w:val="left"/>
        <w:outlineLvl w:val="1"/>
        <w:rPr>
          <w:rFonts w:hint="eastAsia" w:hAnsi="宋体"/>
          <w:color w:val="auto"/>
          <w:sz w:val="24"/>
          <w:highlight w:val="none"/>
        </w:rPr>
      </w:pPr>
    </w:p>
    <w:p>
      <w:pPr>
        <w:spacing w:line="360" w:lineRule="atLeast"/>
        <w:ind w:firstLine="470" w:firstLineChars="196"/>
        <w:jc w:val="left"/>
        <w:outlineLvl w:val="1"/>
        <w:rPr>
          <w:rFonts w:hint="eastAsia" w:ascii="Times New Roman" w:hAnsi="宋体" w:eastAsia="宋体" w:cs="Times New Roman"/>
          <w:color w:val="auto"/>
          <w:sz w:val="24"/>
          <w:highlight w:val="none"/>
        </w:rPr>
      </w:pPr>
      <w:r>
        <w:rPr>
          <w:rFonts w:hint="eastAsia" w:hAnsi="宋体"/>
          <w:color w:val="auto"/>
          <w:sz w:val="24"/>
          <w:highlight w:val="none"/>
        </w:rPr>
        <w:t xml:space="preserve"> 1.供应商产品报价采用下浮率报价。例如，报价</w:t>
      </w:r>
      <w:r>
        <w:rPr>
          <w:rFonts w:hint="eastAsia" w:ascii="Times New Roman" w:hAnsi="宋体" w:eastAsia="宋体" w:cs="Times New Roman"/>
          <w:color w:val="auto"/>
          <w:sz w:val="24"/>
          <w:highlight w:val="none"/>
        </w:rPr>
        <w:t>100元的产品，给予2元优惠，则下浮率=2/100=2%；</w:t>
      </w:r>
    </w:p>
    <w:p>
      <w:pPr>
        <w:spacing w:line="360" w:lineRule="atLeast"/>
        <w:ind w:firstLine="470" w:firstLineChars="196"/>
        <w:jc w:val="left"/>
        <w:outlineLvl w:val="1"/>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 xml:space="preserve"> 2.</w:t>
      </w:r>
      <w:r>
        <w:rPr>
          <w:rFonts w:hint="eastAsia" w:ascii="Times New Roman" w:hAnsi="宋体" w:eastAsia="宋体" w:cs="Times New Roman"/>
          <w:color w:val="auto"/>
          <w:sz w:val="24"/>
          <w:highlight w:val="none"/>
          <w:lang w:eastAsia="zh-CN"/>
        </w:rPr>
        <w:t>供应商</w:t>
      </w:r>
      <w:r>
        <w:rPr>
          <w:rFonts w:hint="eastAsia" w:ascii="Times New Roman" w:hAnsi="宋体" w:eastAsia="宋体" w:cs="Times New Roman"/>
          <w:color w:val="auto"/>
          <w:sz w:val="24"/>
          <w:highlight w:val="none"/>
        </w:rPr>
        <w:t>报价包含且包含产品成本价、运输费、人工费、售后服务费、税费、保险费、相关伴随费用等。</w:t>
      </w:r>
    </w:p>
    <w:p>
      <w:pPr>
        <w:spacing w:line="400" w:lineRule="exact"/>
        <w:ind w:firstLine="480" w:firstLineChars="200"/>
        <w:rPr>
          <w:rFonts w:hAnsi="宋体"/>
          <w:bCs/>
          <w:color w:val="auto"/>
          <w:sz w:val="24"/>
          <w:highlight w:val="none"/>
        </w:rPr>
      </w:pPr>
    </w:p>
    <w:p>
      <w:pPr>
        <w:adjustRightInd w:val="false"/>
        <w:spacing w:line="400" w:lineRule="exact"/>
        <w:ind w:firstLine="420" w:firstLineChars="175"/>
        <w:jc w:val="left"/>
        <w:rPr>
          <w:rFonts w:hAnsi="宋体"/>
          <w:bCs/>
          <w:color w:val="auto"/>
          <w:sz w:val="24"/>
          <w:highlight w:val="none"/>
        </w:rPr>
      </w:pPr>
    </w:p>
    <w:p>
      <w:pPr>
        <w:adjustRightInd w:val="false"/>
        <w:spacing w:line="400" w:lineRule="exact"/>
        <w:ind w:firstLine="420" w:firstLineChars="175"/>
        <w:jc w:val="left"/>
        <w:rPr>
          <w:rFonts w:hAnsi="宋体"/>
          <w:bCs/>
          <w:color w:val="auto"/>
          <w:sz w:val="24"/>
          <w:highlight w:val="none"/>
        </w:rPr>
      </w:pPr>
    </w:p>
    <w:p>
      <w:pPr>
        <w:spacing w:line="360" w:lineRule="atLeast"/>
        <w:ind w:firstLine="470" w:firstLineChars="196"/>
        <w:jc w:val="left"/>
        <w:outlineLvl w:val="1"/>
        <w:rPr>
          <w:rFonts w:hAnsi="宋体"/>
          <w:color w:val="auto"/>
          <w:sz w:val="24"/>
          <w:highlight w:val="none"/>
        </w:rPr>
      </w:pPr>
      <w:r>
        <w:rPr>
          <w:rFonts w:hint="eastAsia" w:hAnsi="宋体"/>
          <w:color w:val="auto"/>
          <w:sz w:val="24"/>
          <w:highlight w:val="none"/>
        </w:rPr>
        <w:t>投标人名称：              （盖公章）</w:t>
      </w:r>
    </w:p>
    <w:p>
      <w:pPr>
        <w:spacing w:line="360" w:lineRule="atLeast"/>
        <w:ind w:firstLine="470" w:firstLineChars="196"/>
        <w:jc w:val="left"/>
        <w:outlineLvl w:val="1"/>
        <w:rPr>
          <w:rFonts w:hAnsi="宋体"/>
          <w:color w:val="auto"/>
          <w:sz w:val="24"/>
          <w:highlight w:val="none"/>
        </w:rPr>
      </w:pPr>
      <w:r>
        <w:rPr>
          <w:rFonts w:hint="eastAsia" w:hAnsi="宋体"/>
          <w:color w:val="auto"/>
          <w:sz w:val="24"/>
          <w:highlight w:val="none"/>
        </w:rPr>
        <w:t>法定代表人或委托代理人（签字或盖章）：</w:t>
      </w:r>
    </w:p>
    <w:p>
      <w:pPr>
        <w:adjustRightInd w:val="false"/>
        <w:spacing w:line="400" w:lineRule="exact"/>
        <w:ind w:firstLine="480" w:firstLineChars="200"/>
        <w:jc w:val="left"/>
        <w:rPr>
          <w:rFonts w:hAnsi="宋体"/>
          <w:color w:val="auto"/>
          <w:sz w:val="24"/>
          <w:highlight w:val="none"/>
        </w:rPr>
        <w:sectPr>
          <w:pgSz w:w="11907" w:h="16840"/>
          <w:pgMar w:top="1440" w:right="1474" w:bottom="1440" w:left="1474" w:header="851" w:footer="992" w:gutter="0"/>
          <w:cols w:space="720" w:num="1"/>
          <w:docGrid w:linePitch="312" w:charSpace="0"/>
        </w:sectPr>
      </w:pPr>
      <w:r>
        <w:rPr>
          <w:rFonts w:hint="eastAsia" w:hAnsi="宋体"/>
          <w:color w:val="auto"/>
          <w:sz w:val="24"/>
          <w:szCs w:val="22"/>
          <w:highlight w:val="none"/>
        </w:rPr>
        <w:t>日    期：</w:t>
      </w:r>
    </w:p>
    <w:p>
      <w:pPr>
        <w:rPr>
          <w:b/>
          <w:color w:val="auto"/>
          <w:sz w:val="28"/>
          <w:szCs w:val="28"/>
          <w:highlight w:val="none"/>
        </w:rPr>
      </w:pPr>
    </w:p>
    <w:p>
      <w:pPr>
        <w:ind w:firstLine="2650"/>
        <w:rPr>
          <w:b/>
          <w:color w:val="auto"/>
          <w:sz w:val="28"/>
          <w:szCs w:val="28"/>
          <w:highlight w:val="none"/>
        </w:rPr>
      </w:pPr>
      <w:r>
        <w:rPr>
          <w:rFonts w:hint="eastAsia"/>
          <w:b/>
          <w:color w:val="auto"/>
          <w:sz w:val="28"/>
          <w:szCs w:val="28"/>
          <w:highlight w:val="none"/>
        </w:rPr>
        <w:t>六、质量保证和售后服务承诺</w:t>
      </w:r>
    </w:p>
    <w:p>
      <w:pPr>
        <w:pStyle w:val="25"/>
        <w:tabs>
          <w:tab w:val="left" w:pos="900"/>
        </w:tabs>
        <w:spacing w:line="360" w:lineRule="auto"/>
        <w:ind w:left="6000"/>
        <w:rPr>
          <w:color w:val="auto"/>
          <w:highlight w:val="none"/>
        </w:rPr>
      </w:pPr>
    </w:p>
    <w:p>
      <w:pPr>
        <w:pStyle w:val="25"/>
        <w:tabs>
          <w:tab w:val="left" w:pos="900"/>
        </w:tabs>
        <w:spacing w:line="360" w:lineRule="auto"/>
        <w:ind w:left="0" w:leftChars="0"/>
        <w:rPr>
          <w:color w:val="auto"/>
          <w:highlight w:val="none"/>
        </w:rPr>
      </w:pPr>
      <w:r>
        <w:rPr>
          <w:color w:val="auto"/>
          <w:highlight w:val="none"/>
        </w:rPr>
        <w:t>致：</w:t>
      </w:r>
      <w:r>
        <w:rPr>
          <w:rFonts w:hAnsi="宋体"/>
          <w:b/>
          <w:color w:val="auto"/>
          <w:highlight w:val="none"/>
          <w:u w:val="single" w:color="0D0D0D"/>
        </w:rPr>
        <w:t>四川国际招标有限责任公司</w:t>
      </w:r>
    </w:p>
    <w:p>
      <w:pPr>
        <w:spacing w:line="360" w:lineRule="auto"/>
        <w:ind w:firstLine="477" w:firstLineChars="199"/>
        <w:rPr>
          <w:b/>
          <w:color w:val="auto"/>
          <w:highlight w:val="none"/>
        </w:rPr>
      </w:pPr>
      <w:r>
        <w:rPr>
          <w:color w:val="auto"/>
          <w:highlight w:val="none"/>
        </w:rPr>
        <w:t>我方参与谈判编号为</w:t>
      </w:r>
      <w:r>
        <w:rPr>
          <w:rFonts w:hint="eastAsia"/>
          <w:color w:val="auto"/>
          <w:highlight w:val="none"/>
          <w:u w:val="single"/>
        </w:rPr>
        <w:t xml:space="preserve">        </w:t>
      </w:r>
      <w:r>
        <w:rPr>
          <w:color w:val="auto"/>
          <w:highlight w:val="none"/>
        </w:rPr>
        <w:t>的</w:t>
      </w:r>
      <w:r>
        <w:rPr>
          <w:rFonts w:hint="eastAsia"/>
          <w:color w:val="auto"/>
          <w:highlight w:val="none"/>
        </w:rPr>
        <w:t xml:space="preserve"> </w:t>
      </w:r>
      <w:r>
        <w:rPr>
          <w:rFonts w:hint="eastAsia"/>
          <w:color w:val="auto"/>
          <w:highlight w:val="none"/>
          <w:u w:val="single"/>
        </w:rPr>
        <w:t xml:space="preserve">       </w:t>
      </w:r>
      <w:r>
        <w:rPr>
          <w:color w:val="auto"/>
          <w:highlight w:val="none"/>
          <w:u w:val="single"/>
        </w:rPr>
        <w:t>（项目名称）</w:t>
      </w:r>
      <w:r>
        <w:rPr>
          <w:color w:val="auto"/>
          <w:highlight w:val="none"/>
        </w:rPr>
        <w:t>的服务提供以下质量保证和售后服务承诺：</w:t>
      </w:r>
    </w:p>
    <w:p>
      <w:pPr>
        <w:spacing w:line="360" w:lineRule="auto"/>
        <w:ind w:firstLine="477" w:firstLineChars="199"/>
        <w:rPr>
          <w:color w:val="auto"/>
          <w:highlight w:val="none"/>
        </w:rPr>
      </w:pPr>
    </w:p>
    <w:p>
      <w:pPr>
        <w:pStyle w:val="18"/>
        <w:rPr>
          <w:color w:val="auto"/>
          <w:highlight w:val="none"/>
        </w:rPr>
      </w:pPr>
    </w:p>
    <w:p>
      <w:pPr>
        <w:rPr>
          <w:color w:val="auto"/>
          <w:highlight w:val="none"/>
        </w:rPr>
      </w:pPr>
    </w:p>
    <w:p>
      <w:pPr>
        <w:pStyle w:val="42"/>
        <w:ind w:firstLine="210"/>
        <w:rPr>
          <w:color w:val="auto"/>
          <w:highlight w:val="none"/>
        </w:rPr>
      </w:pPr>
    </w:p>
    <w:p>
      <w:pPr>
        <w:pStyle w:val="42"/>
        <w:ind w:firstLine="210"/>
        <w:rPr>
          <w:color w:val="auto"/>
          <w:highlight w:val="none"/>
        </w:rPr>
      </w:pPr>
    </w:p>
    <w:p>
      <w:pPr>
        <w:pStyle w:val="42"/>
        <w:ind w:firstLine="210"/>
        <w:rPr>
          <w:color w:val="auto"/>
          <w:highlight w:val="none"/>
        </w:rPr>
      </w:pPr>
    </w:p>
    <w:p>
      <w:pPr>
        <w:pStyle w:val="42"/>
        <w:ind w:firstLine="210"/>
        <w:rPr>
          <w:color w:val="auto"/>
          <w:highlight w:val="none"/>
        </w:rPr>
      </w:pPr>
    </w:p>
    <w:p>
      <w:pPr>
        <w:pStyle w:val="42"/>
        <w:ind w:firstLine="210"/>
        <w:rPr>
          <w:color w:val="auto"/>
          <w:highlight w:val="none"/>
        </w:rPr>
      </w:pPr>
    </w:p>
    <w:p>
      <w:pPr>
        <w:pStyle w:val="42"/>
        <w:ind w:firstLine="210"/>
        <w:rPr>
          <w:color w:val="auto"/>
          <w:highlight w:val="none"/>
        </w:rPr>
      </w:pPr>
    </w:p>
    <w:p>
      <w:pPr>
        <w:pStyle w:val="42"/>
        <w:ind w:firstLine="210"/>
        <w:rPr>
          <w:color w:val="auto"/>
          <w:highlight w:val="none"/>
        </w:rPr>
      </w:pPr>
    </w:p>
    <w:p>
      <w:pPr>
        <w:pStyle w:val="42"/>
        <w:ind w:firstLine="210"/>
        <w:rPr>
          <w:color w:val="auto"/>
          <w:highlight w:val="none"/>
        </w:rPr>
      </w:pPr>
    </w:p>
    <w:p>
      <w:pPr>
        <w:pStyle w:val="42"/>
        <w:ind w:firstLine="210"/>
        <w:rPr>
          <w:color w:val="auto"/>
          <w:highlight w:val="none"/>
        </w:rPr>
      </w:pPr>
    </w:p>
    <w:p>
      <w:pPr>
        <w:pStyle w:val="42"/>
        <w:ind w:firstLine="210"/>
        <w:rPr>
          <w:color w:val="auto"/>
          <w:highlight w:val="none"/>
        </w:rPr>
      </w:pPr>
    </w:p>
    <w:p>
      <w:pPr>
        <w:pStyle w:val="42"/>
        <w:ind w:firstLine="210"/>
        <w:rPr>
          <w:color w:val="auto"/>
          <w:highlight w:val="none"/>
        </w:rPr>
      </w:pPr>
    </w:p>
    <w:p>
      <w:pPr>
        <w:pStyle w:val="42"/>
        <w:ind w:firstLine="210"/>
        <w:rPr>
          <w:color w:val="auto"/>
          <w:highlight w:val="none"/>
        </w:rPr>
      </w:pPr>
    </w:p>
    <w:p>
      <w:pPr>
        <w:pStyle w:val="42"/>
        <w:ind w:firstLine="210"/>
        <w:rPr>
          <w:color w:val="auto"/>
          <w:highlight w:val="none"/>
        </w:rPr>
      </w:pPr>
    </w:p>
    <w:p>
      <w:pPr>
        <w:rPr>
          <w:color w:val="auto"/>
          <w:highlight w:val="none"/>
        </w:rPr>
      </w:pPr>
    </w:p>
    <w:p>
      <w:pPr>
        <w:pStyle w:val="18"/>
        <w:rPr>
          <w:color w:val="auto"/>
          <w:highlight w:val="none"/>
        </w:rPr>
      </w:pPr>
    </w:p>
    <w:p>
      <w:pPr>
        <w:spacing w:line="360" w:lineRule="auto"/>
        <w:ind w:firstLine="360" w:firstLineChars="150"/>
        <w:rPr>
          <w:rFonts w:hAnsi="宋体"/>
          <w:color w:val="auto"/>
          <w:highlight w:val="none"/>
        </w:rPr>
      </w:pPr>
      <w:r>
        <w:rPr>
          <w:rFonts w:hAnsi="宋体"/>
          <w:color w:val="auto"/>
          <w:highlight w:val="none"/>
        </w:rPr>
        <w:t>供应商</w:t>
      </w:r>
      <w:r>
        <w:rPr>
          <w:rFonts w:hint="eastAsia" w:hAnsi="宋体"/>
          <w:color w:val="auto"/>
          <w:highlight w:val="none"/>
        </w:rPr>
        <w:t>名称</w:t>
      </w:r>
      <w:r>
        <w:rPr>
          <w:rFonts w:hAnsi="宋体"/>
          <w:color w:val="auto"/>
          <w:highlight w:val="none"/>
        </w:rPr>
        <w:t>：                 （盖公章）</w:t>
      </w:r>
    </w:p>
    <w:p>
      <w:pPr>
        <w:spacing w:line="400" w:lineRule="exact"/>
        <w:ind w:firstLine="360" w:firstLineChars="150"/>
        <w:rPr>
          <w:rFonts w:hAnsi="宋体"/>
          <w:color w:val="auto"/>
          <w:highlight w:val="none"/>
        </w:rPr>
      </w:pPr>
      <w:r>
        <w:rPr>
          <w:rFonts w:hAnsi="宋体"/>
          <w:color w:val="auto"/>
          <w:highlight w:val="none"/>
        </w:rPr>
        <w:t>法定代表人或</w:t>
      </w:r>
      <w:r>
        <w:rPr>
          <w:rFonts w:hint="eastAsia" w:hAnsi="宋体"/>
          <w:color w:val="auto"/>
          <w:highlight w:val="none"/>
        </w:rPr>
        <w:t>委托代理人</w:t>
      </w:r>
      <w:r>
        <w:rPr>
          <w:rFonts w:hAnsi="宋体"/>
          <w:color w:val="auto"/>
          <w:highlight w:val="none"/>
        </w:rPr>
        <w:t>（签字</w:t>
      </w:r>
      <w:r>
        <w:rPr>
          <w:rFonts w:hint="eastAsia" w:hAnsi="宋体"/>
          <w:color w:val="auto"/>
          <w:highlight w:val="none"/>
        </w:rPr>
        <w:t>或盖章</w:t>
      </w:r>
      <w:r>
        <w:rPr>
          <w:rFonts w:hAnsi="宋体"/>
          <w:color w:val="auto"/>
          <w:highlight w:val="none"/>
        </w:rPr>
        <w:t>）：</w:t>
      </w:r>
    </w:p>
    <w:p>
      <w:pPr>
        <w:spacing w:line="360" w:lineRule="auto"/>
        <w:rPr>
          <w:rFonts w:hAnsi="宋体"/>
          <w:color w:val="auto"/>
          <w:highlight w:val="none"/>
          <w:u w:val="single" w:color="0D0D0D"/>
        </w:rPr>
      </w:pPr>
      <w:r>
        <w:rPr>
          <w:rFonts w:hint="eastAsia" w:hAnsi="宋体"/>
          <w:color w:val="auto"/>
          <w:highlight w:val="none"/>
        </w:rPr>
        <w:t xml:space="preserve">    日</w:t>
      </w:r>
      <w:r>
        <w:rPr>
          <w:rFonts w:hAnsi="宋体"/>
          <w:color w:val="auto"/>
          <w:highlight w:val="none"/>
        </w:rPr>
        <w:t xml:space="preserve">  期：</w:t>
      </w:r>
    </w:p>
    <w:p>
      <w:pPr>
        <w:spacing w:line="360" w:lineRule="auto"/>
        <w:rPr>
          <w:color w:val="auto"/>
          <w:highlight w:val="none"/>
          <w:u w:val="single"/>
        </w:rPr>
        <w:sectPr>
          <w:footerReference w:type="default" r:id="rId8"/>
          <w:pgSz w:w="11906" w:h="16838"/>
          <w:pgMar w:top="1440" w:right="1800" w:bottom="1440" w:left="1800" w:header="851" w:footer="992" w:gutter="0"/>
          <w:cols w:space="720" w:num="1"/>
          <w:docGrid w:type="lines" w:linePitch="326" w:charSpace="0"/>
        </w:sectPr>
      </w:pPr>
    </w:p>
    <w:p>
      <w:pPr>
        <w:pStyle w:val="23"/>
        <w:jc w:val="center"/>
        <w:rPr>
          <w:rFonts w:hint="default" w:ascii="Times New Roman" w:hAnsi="Times New Roman"/>
          <w:b/>
          <w:color w:val="auto"/>
          <w:sz w:val="22"/>
          <w:szCs w:val="24"/>
          <w:highlight w:val="none"/>
        </w:rPr>
      </w:pPr>
      <w:bookmarkStart w:name="_Toc214858837" w:id="75"/>
      <w:bookmarkStart w:name="_Toc181520579" w:id="76"/>
      <w:bookmarkStart w:name="_Toc250042668" w:id="77"/>
      <w:r>
        <w:rPr>
          <w:rFonts w:hint="default" w:ascii="Times New Roman" w:hAnsi="Times New Roman"/>
          <w:b/>
          <w:color w:val="auto"/>
          <w:sz w:val="24"/>
          <w:szCs w:val="24"/>
          <w:highlight w:val="none"/>
        </w:rPr>
        <w:br w:type="page"/>
      </w:r>
      <w:r>
        <w:rPr>
          <w:rFonts w:ascii="Times New Roman" w:hAnsi="Times New Roman"/>
          <w:b/>
          <w:color w:val="auto"/>
          <w:sz w:val="28"/>
          <w:szCs w:val="28"/>
          <w:highlight w:val="none"/>
        </w:rPr>
        <w:t>七</w:t>
      </w:r>
      <w:r>
        <w:rPr>
          <w:rFonts w:hint="default" w:ascii="Times New Roman" w:hAnsi="Times New Roman"/>
          <w:b/>
          <w:color w:val="auto"/>
          <w:sz w:val="28"/>
          <w:szCs w:val="28"/>
          <w:highlight w:val="none"/>
        </w:rPr>
        <w:t>、</w:t>
      </w:r>
      <w:bookmarkEnd w:id="75"/>
      <w:bookmarkEnd w:id="76"/>
      <w:bookmarkEnd w:id="77"/>
      <w:r>
        <w:rPr>
          <w:rFonts w:asciiTheme="minorEastAsia" w:hAnsiTheme="minorEastAsia" w:eastAsiaTheme="minorEastAsia"/>
          <w:b/>
          <w:color w:val="auto"/>
          <w:sz w:val="24"/>
          <w:highlight w:val="none"/>
        </w:rPr>
        <w:t>服务计划及承诺</w:t>
      </w:r>
    </w:p>
    <w:p>
      <w:pPr>
        <w:pStyle w:val="23"/>
        <w:jc w:val="center"/>
        <w:rPr>
          <w:rFonts w:hint="default" w:ascii="Times New Roman" w:hAnsi="Times New Roman"/>
          <w:b/>
          <w:color w:val="auto"/>
          <w:sz w:val="24"/>
          <w:szCs w:val="24"/>
          <w:highlight w:val="none"/>
        </w:rPr>
      </w:pPr>
    </w:p>
    <w:p>
      <w:pPr>
        <w:pStyle w:val="23"/>
        <w:jc w:val="center"/>
        <w:rPr>
          <w:rFonts w:hint="default" w:ascii="Times New Roman" w:hAnsi="Times New Roman"/>
          <w:b/>
          <w:color w:val="auto"/>
          <w:sz w:val="24"/>
          <w:szCs w:val="24"/>
          <w:highlight w:val="none"/>
        </w:rPr>
      </w:pPr>
    </w:p>
    <w:p>
      <w:pPr>
        <w:spacing w:line="360" w:lineRule="auto"/>
        <w:rPr>
          <w:color w:val="auto"/>
          <w:highlight w:val="none"/>
          <w:u w:val="single"/>
        </w:rPr>
      </w:pPr>
      <w:r>
        <w:rPr>
          <w:color w:val="auto"/>
          <w:highlight w:val="none"/>
        </w:rPr>
        <w:t>项目名称：</w:t>
      </w:r>
    </w:p>
    <w:p>
      <w:pPr>
        <w:spacing w:line="360" w:lineRule="auto"/>
        <w:rPr>
          <w:color w:val="auto"/>
          <w:highlight w:val="none"/>
          <w:u w:val="single"/>
        </w:rPr>
      </w:pPr>
      <w:r>
        <w:rPr>
          <w:rFonts w:hint="eastAsia"/>
          <w:color w:val="auto"/>
          <w:highlight w:val="none"/>
        </w:rPr>
        <w:t>项目编号</w:t>
      </w:r>
      <w:r>
        <w:rPr>
          <w:color w:val="auto"/>
          <w:highlight w:val="none"/>
        </w:rPr>
        <w:t>：</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ind w:firstLine="360" w:firstLineChars="150"/>
        <w:rPr>
          <w:rFonts w:hAnsi="宋体"/>
          <w:color w:val="auto"/>
          <w:highlight w:val="none"/>
        </w:rPr>
      </w:pPr>
      <w:r>
        <w:rPr>
          <w:rFonts w:hAnsi="宋体"/>
          <w:color w:val="auto"/>
          <w:highlight w:val="none"/>
        </w:rPr>
        <w:t>供应商</w:t>
      </w:r>
      <w:r>
        <w:rPr>
          <w:rFonts w:hint="eastAsia" w:hAnsi="宋体"/>
          <w:color w:val="auto"/>
          <w:highlight w:val="none"/>
        </w:rPr>
        <w:t>名称</w:t>
      </w:r>
      <w:r>
        <w:rPr>
          <w:rFonts w:hAnsi="宋体"/>
          <w:color w:val="auto"/>
          <w:highlight w:val="none"/>
        </w:rPr>
        <w:t>：                 （盖公章）</w:t>
      </w:r>
    </w:p>
    <w:p>
      <w:pPr>
        <w:spacing w:line="400" w:lineRule="exact"/>
        <w:ind w:firstLine="360" w:firstLineChars="150"/>
        <w:rPr>
          <w:rFonts w:hAnsi="宋体"/>
          <w:color w:val="auto"/>
          <w:highlight w:val="none"/>
        </w:rPr>
      </w:pPr>
      <w:r>
        <w:rPr>
          <w:rFonts w:hAnsi="宋体"/>
          <w:color w:val="auto"/>
          <w:highlight w:val="none"/>
        </w:rPr>
        <w:t>法定代表人或</w:t>
      </w:r>
      <w:r>
        <w:rPr>
          <w:rFonts w:hint="eastAsia" w:hAnsi="宋体"/>
          <w:color w:val="auto"/>
          <w:highlight w:val="none"/>
        </w:rPr>
        <w:t>委托代理人</w:t>
      </w:r>
      <w:r>
        <w:rPr>
          <w:rFonts w:hAnsi="宋体"/>
          <w:color w:val="auto"/>
          <w:highlight w:val="none"/>
        </w:rPr>
        <w:t>（签字</w:t>
      </w:r>
      <w:r>
        <w:rPr>
          <w:rFonts w:hint="eastAsia" w:hAnsi="宋体"/>
          <w:color w:val="auto"/>
          <w:highlight w:val="none"/>
        </w:rPr>
        <w:t>或盖章</w:t>
      </w:r>
      <w:r>
        <w:rPr>
          <w:rFonts w:hAnsi="宋体"/>
          <w:color w:val="auto"/>
          <w:highlight w:val="none"/>
        </w:rPr>
        <w:t>）：</w:t>
      </w:r>
    </w:p>
    <w:p>
      <w:pPr>
        <w:spacing w:line="360" w:lineRule="auto"/>
        <w:rPr>
          <w:rFonts w:hAnsi="宋体"/>
          <w:color w:val="auto"/>
          <w:highlight w:val="none"/>
          <w:u w:val="single" w:color="0D0D0D"/>
        </w:rPr>
      </w:pPr>
      <w:r>
        <w:rPr>
          <w:rFonts w:hint="eastAsia" w:hAnsi="宋体"/>
          <w:color w:val="auto"/>
          <w:highlight w:val="none"/>
        </w:rPr>
        <w:t xml:space="preserve">    日</w:t>
      </w:r>
      <w:r>
        <w:rPr>
          <w:rFonts w:hAnsi="宋体"/>
          <w:color w:val="auto"/>
          <w:highlight w:val="none"/>
        </w:rPr>
        <w:t xml:space="preserve">  期：</w:t>
      </w:r>
    </w:p>
    <w:p>
      <w:pPr>
        <w:pStyle w:val="23"/>
        <w:rPr>
          <w:rFonts w:hint="default" w:ascii="Times New Roman" w:hAnsi="Times New Roman"/>
          <w:b/>
          <w:color w:val="auto"/>
          <w:sz w:val="24"/>
          <w:szCs w:val="24"/>
          <w:highlight w:val="none"/>
        </w:rPr>
      </w:pPr>
    </w:p>
    <w:p>
      <w:pPr>
        <w:spacing w:line="400" w:lineRule="exact"/>
        <w:rPr>
          <w:color w:val="auto"/>
          <w:highlight w:val="none"/>
        </w:rPr>
      </w:pPr>
    </w:p>
    <w:p>
      <w:pPr>
        <w:spacing w:line="400" w:lineRule="exact"/>
        <w:rPr>
          <w:color w:val="auto"/>
          <w:highlight w:val="none"/>
        </w:rPr>
        <w:sectPr>
          <w:type w:val="continuous"/>
          <w:pgSz w:w="11906" w:h="16838"/>
          <w:pgMar w:top="1440" w:right="1797" w:bottom="1440" w:left="1797" w:header="851" w:footer="992" w:gutter="0"/>
          <w:cols w:space="720" w:num="1"/>
          <w:docGrid w:type="lines" w:linePitch="326" w:charSpace="0"/>
        </w:sectPr>
      </w:pPr>
    </w:p>
    <w:p>
      <w:pPr>
        <w:pStyle w:val="23"/>
        <w:jc w:val="center"/>
        <w:rPr>
          <w:rFonts w:hint="default" w:ascii="Times New Roman" w:hAnsi="Times New Roman"/>
          <w:color w:val="auto"/>
          <w:highlight w:val="none"/>
        </w:rPr>
      </w:pPr>
      <w:bookmarkStart w:name="PO_默认文件内容_11" w:id="78"/>
    </w:p>
    <w:p>
      <w:pPr>
        <w:rPr>
          <w:color w:val="auto"/>
          <w:highlight w:val="none"/>
        </w:rPr>
      </w:pPr>
    </w:p>
    <w:p>
      <w:pPr>
        <w:spacing w:line="360" w:lineRule="auto"/>
        <w:jc w:val="center"/>
        <w:rPr>
          <w:rFonts w:asciiTheme="minorEastAsia" w:hAnsiTheme="minorEastAsia" w:eastAsiaTheme="minorEastAsia"/>
          <w:color w:val="auto"/>
          <w:highlight w:val="none"/>
          <w:u w:val="single"/>
        </w:rPr>
      </w:pPr>
      <w:r>
        <w:rPr>
          <w:rFonts w:hint="eastAsia" w:asciiTheme="minorEastAsia" w:hAnsiTheme="minorEastAsia" w:eastAsiaTheme="minorEastAsia"/>
          <w:b/>
          <w:color w:val="auto"/>
          <w:highlight w:val="none"/>
        </w:rPr>
        <w:t>八、</w:t>
      </w:r>
      <w:r>
        <w:rPr>
          <w:rFonts w:asciiTheme="minorEastAsia" w:hAnsiTheme="minorEastAsia" w:eastAsiaTheme="minorEastAsia"/>
          <w:b/>
          <w:color w:val="auto"/>
          <w:highlight w:val="none"/>
        </w:rPr>
        <w:t>本项目服务人员情况表</w:t>
      </w:r>
    </w:p>
    <w:p>
      <w:pPr>
        <w:spacing w:line="40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项目名称：                      </w:t>
      </w:r>
      <w:r>
        <w:rPr>
          <w:rFonts w:asciiTheme="minorEastAsia" w:hAnsiTheme="minorEastAsia" w:eastAsiaTheme="minorEastAsia"/>
          <w:color w:val="auto"/>
          <w:highlight w:val="none"/>
        </w:rPr>
        <w:t>项目</w:t>
      </w:r>
      <w:r>
        <w:rPr>
          <w:rFonts w:hint="eastAsia" w:asciiTheme="minorEastAsia" w:hAnsiTheme="minorEastAsia" w:eastAsiaTheme="minorEastAsia"/>
          <w:color w:val="auto"/>
          <w:highlight w:val="none"/>
        </w:rPr>
        <w:t>编号</w:t>
      </w:r>
      <w:r>
        <w:rPr>
          <w:rFonts w:asciiTheme="minorEastAsia" w:hAnsiTheme="minorEastAsia" w:eastAsiaTheme="minorEastAsia"/>
          <w:color w:val="auto"/>
          <w:highlight w:val="none"/>
        </w:rPr>
        <w:t>/包号：</w:t>
      </w:r>
    </w:p>
    <w:tbl>
      <w:tblPr>
        <w:tblStyle w:val="43"/>
        <w:tblW w:w="8694" w:type="dxa"/>
        <w:tblInd w:w="-189" w:type="dxa"/>
        <w:tblLayout w:type="fixed"/>
        <w:tblCellMar>
          <w:top w:w="0" w:type="dxa"/>
          <w:left w:w="0" w:type="dxa"/>
          <w:bottom w:w="0" w:type="dxa"/>
          <w:right w:w="0" w:type="dxa"/>
        </w:tblCellMar>
      </w:tblPr>
      <w:tblGrid>
        <w:gridCol w:w="1137"/>
        <w:gridCol w:w="821"/>
        <w:gridCol w:w="1066"/>
        <w:gridCol w:w="1418"/>
        <w:gridCol w:w="1276"/>
        <w:gridCol w:w="2976"/>
      </w:tblGrid>
      <w:tr>
        <w:tblPrEx>
          <w:tblCellMar>
            <w:top w:w="0" w:type="dxa"/>
            <w:left w:w="0" w:type="dxa"/>
            <w:bottom w:w="0" w:type="dxa"/>
            <w:right w:w="0" w:type="dxa"/>
          </w:tblCellMar>
        </w:tblPrEx>
        <w:trPr>
          <w:trHeight w:val="652" w:hRule="atLeast"/>
        </w:trPr>
        <w:tc>
          <w:tcPr>
            <w:tcW w:w="113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类别</w:t>
            </w: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职务</w:t>
            </w: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姓名</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身份证号码</w:t>
            </w: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联系方式</w:t>
            </w: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人员职称</w:t>
            </w:r>
          </w:p>
        </w:tc>
      </w:tr>
      <w:tr>
        <w:tblPrEx>
          <w:tblCellMar>
            <w:top w:w="0" w:type="dxa"/>
            <w:left w:w="0" w:type="dxa"/>
            <w:bottom w:w="0" w:type="dxa"/>
            <w:right w:w="0" w:type="dxa"/>
          </w:tblCellMar>
        </w:tblPrEx>
        <w:trPr>
          <w:cantSplit/>
          <w:trHeight w:val="736" w:hRule="atLeast"/>
        </w:trPr>
        <w:tc>
          <w:tcPr>
            <w:tcW w:w="113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管理人员</w:t>
            </w: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cantSplit/>
          <w:trHeight w:val="690" w:hRule="atLeast"/>
        </w:trPr>
        <w:tc>
          <w:tcPr>
            <w:tcW w:w="113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cantSplit/>
          <w:trHeight w:val="780" w:hRule="atLeast"/>
        </w:trPr>
        <w:tc>
          <w:tcPr>
            <w:tcW w:w="113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cantSplit/>
          <w:trHeight w:val="816" w:hRule="atLeast"/>
        </w:trPr>
        <w:tc>
          <w:tcPr>
            <w:tcW w:w="113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服务团队人员</w:t>
            </w: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cantSplit/>
          <w:trHeight w:val="838" w:hRule="atLeast"/>
        </w:trPr>
        <w:tc>
          <w:tcPr>
            <w:tcW w:w="113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cantSplit/>
          <w:trHeight w:val="826" w:hRule="atLeast"/>
        </w:trPr>
        <w:tc>
          <w:tcPr>
            <w:tcW w:w="113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pPr>
              <w:spacing w:line="400" w:lineRule="exact"/>
              <w:jc w:val="center"/>
              <w:rPr>
                <w:rFonts w:asciiTheme="minorEastAsia" w:hAnsiTheme="minorEastAsia" w:eastAsiaTheme="minorEastAsia"/>
                <w:color w:val="auto"/>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410" w:firstLine="360"/>
        <w:rPr>
          <w:rFonts w:asciiTheme="minorEastAsia" w:hAnsiTheme="minorEastAsia" w:eastAsiaTheme="minorEastAsia"/>
          <w:color w:val="auto"/>
          <w:highlight w:val="none"/>
        </w:rPr>
      </w:pPr>
    </w:p>
    <w:p>
      <w:pPr>
        <w:spacing w:line="360" w:lineRule="auto"/>
        <w:ind w:firstLine="477" w:firstLineChars="199"/>
        <w:rPr>
          <w:rFonts w:asciiTheme="minorEastAsia" w:hAnsiTheme="minorEastAsia" w:eastAsiaTheme="minorEastAsia"/>
          <w:color w:val="auto"/>
          <w:highlight w:val="none"/>
        </w:rPr>
      </w:pPr>
      <w:r>
        <w:rPr>
          <w:rFonts w:asciiTheme="minorEastAsia" w:hAnsiTheme="minorEastAsia" w:eastAsiaTheme="minorEastAsia"/>
          <w:color w:val="auto"/>
          <w:highlight w:val="none"/>
        </w:rPr>
        <w:t>注：</w:t>
      </w:r>
      <w:r>
        <w:rPr>
          <w:rFonts w:hint="eastAsia" w:asciiTheme="minorEastAsia" w:hAnsiTheme="minorEastAsia" w:eastAsiaTheme="minorEastAsia"/>
          <w:color w:val="auto"/>
          <w:highlight w:val="none"/>
        </w:rPr>
        <w:t>1.供应商</w:t>
      </w:r>
      <w:r>
        <w:rPr>
          <w:rFonts w:asciiTheme="minorEastAsia" w:hAnsiTheme="minorEastAsia" w:eastAsiaTheme="minorEastAsia"/>
          <w:color w:val="auto"/>
          <w:highlight w:val="none"/>
        </w:rPr>
        <w:t>可尽量充分地提供为本案服务的工作人员相关证明材料，以便于</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小组成员综合评定。</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492" w:leftChars="205" w:firstLine="600" w:firstLineChars="25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2.供应商可根据具体人员数量延展表格。</w:t>
      </w:r>
    </w:p>
    <w:p>
      <w:pPr>
        <w:spacing w:line="400" w:lineRule="exact"/>
        <w:jc w:val="center"/>
        <w:rPr>
          <w:rFonts w:asciiTheme="minorEastAsia" w:hAnsiTheme="minorEastAsia" w:eastAsiaTheme="minorEastAsia"/>
          <w:b/>
          <w:color w:val="auto"/>
          <w:highlight w:val="none"/>
        </w:rPr>
      </w:pPr>
    </w:p>
    <w:p>
      <w:pPr>
        <w:spacing w:line="400" w:lineRule="exact"/>
        <w:jc w:val="center"/>
        <w:rPr>
          <w:rFonts w:asciiTheme="minorEastAsia" w:hAnsiTheme="minorEastAsia" w:eastAsiaTheme="minorEastAsia"/>
          <w:b/>
          <w:color w:val="auto"/>
          <w:highlight w:val="none"/>
        </w:rPr>
      </w:pPr>
    </w:p>
    <w:p>
      <w:pPr>
        <w:spacing w:line="400" w:lineRule="exact"/>
        <w:rPr>
          <w:rFonts w:asciiTheme="minorEastAsia" w:hAnsiTheme="minorEastAsia" w:eastAsiaTheme="minorEastAsia"/>
          <w:b/>
          <w:color w:val="auto"/>
          <w:highlight w:val="none"/>
        </w:rPr>
      </w:pPr>
    </w:p>
    <w:p>
      <w:pPr>
        <w:spacing w:line="400" w:lineRule="exact"/>
        <w:rPr>
          <w:rFonts w:asciiTheme="minorEastAsia" w:hAnsiTheme="minorEastAsia" w:eastAsiaTheme="minorEastAsia"/>
          <w:b/>
          <w:color w:val="auto"/>
          <w:highlight w:val="none"/>
        </w:rPr>
      </w:pPr>
    </w:p>
    <w:p>
      <w:pPr>
        <w:spacing w:line="360" w:lineRule="auto"/>
        <w:ind w:firstLine="461"/>
        <w:rPr>
          <w:rFonts w:asciiTheme="minorEastAsia" w:hAnsiTheme="minorEastAsia" w:eastAsiaTheme="minorEastAsia"/>
          <w:color w:val="auto"/>
          <w:highlight w:val="none"/>
        </w:rPr>
      </w:pPr>
      <w:r>
        <w:rPr>
          <w:rFonts w:asciiTheme="minorEastAsia" w:hAnsiTheme="minorEastAsia" w:eastAsiaTheme="minorEastAsia"/>
          <w:color w:val="auto"/>
          <w:highlight w:val="none"/>
        </w:rPr>
        <w:t>供应商名称：</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 xml:space="preserve">      (盖公章)</w:t>
      </w:r>
    </w:p>
    <w:p>
      <w:pPr>
        <w:spacing w:line="360" w:lineRule="auto"/>
        <w:ind w:firstLine="461"/>
        <w:rPr>
          <w:rFonts w:asciiTheme="minorEastAsia" w:hAnsiTheme="minorEastAsia" w:eastAsiaTheme="minorEastAsia"/>
          <w:color w:val="auto"/>
          <w:highlight w:val="none"/>
        </w:rPr>
      </w:pPr>
      <w:r>
        <w:rPr>
          <w:rFonts w:asciiTheme="minorEastAsia" w:hAnsiTheme="minorEastAsia" w:eastAsiaTheme="minorEastAsia"/>
          <w:color w:val="auto"/>
          <w:highlight w:val="none"/>
        </w:rPr>
        <w:t>法定代表人或</w:t>
      </w:r>
      <w:r>
        <w:rPr>
          <w:rFonts w:hint="eastAsia" w:asciiTheme="minorEastAsia" w:hAnsiTheme="minorEastAsia" w:eastAsiaTheme="minorEastAsia"/>
          <w:color w:val="auto"/>
          <w:highlight w:val="none"/>
        </w:rPr>
        <w:t>委托代理人</w:t>
      </w:r>
      <w:r>
        <w:rPr>
          <w:rFonts w:asciiTheme="minorEastAsia" w:hAnsiTheme="minorEastAsia" w:eastAsiaTheme="minorEastAsia"/>
          <w:color w:val="auto"/>
          <w:highlight w:val="none"/>
        </w:rPr>
        <w:t>（签字</w:t>
      </w:r>
      <w:r>
        <w:rPr>
          <w:rFonts w:hint="eastAsia" w:asciiTheme="minorEastAsia" w:hAnsiTheme="minorEastAsia" w:eastAsiaTheme="minorEastAsia"/>
          <w:color w:val="auto"/>
          <w:highlight w:val="none"/>
        </w:rPr>
        <w:t>或盖章</w:t>
      </w:r>
      <w:r>
        <w:rPr>
          <w:rFonts w:asciiTheme="minorEastAsia" w:hAnsiTheme="minorEastAsia" w:eastAsiaTheme="minorEastAsia"/>
          <w:color w:val="auto"/>
          <w:highlight w:val="none"/>
        </w:rPr>
        <w:t>）：</w:t>
      </w:r>
    </w:p>
    <w:p>
      <w:pPr>
        <w:spacing w:line="360" w:lineRule="auto"/>
        <w:ind w:firstLine="461"/>
        <w:rPr>
          <w:rFonts w:asciiTheme="minorEastAsia" w:hAnsiTheme="minorEastAsia" w:eastAsiaTheme="minorEastAsia"/>
          <w:color w:val="auto"/>
          <w:highlight w:val="none"/>
        </w:rPr>
      </w:pPr>
      <w:r>
        <w:rPr>
          <w:rFonts w:asciiTheme="minorEastAsia" w:hAnsiTheme="minorEastAsia" w:eastAsiaTheme="minorEastAsia"/>
          <w:color w:val="auto"/>
          <w:highlight w:val="none"/>
        </w:rPr>
        <w:t>日</w:t>
      </w:r>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期：</w:t>
      </w:r>
    </w:p>
    <w:p>
      <w:pPr>
        <w:spacing w:line="360" w:lineRule="auto"/>
        <w:ind w:firstLine="461"/>
        <w:jc w:val="center"/>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br w:type="page"/>
      </w:r>
      <w:r>
        <w:rPr>
          <w:rFonts w:hint="eastAsia" w:asciiTheme="minorEastAsia" w:hAnsiTheme="minorEastAsia" w:eastAsiaTheme="minorEastAsia"/>
          <w:b/>
          <w:color w:val="auto"/>
          <w:highlight w:val="none"/>
        </w:rPr>
        <w:t>九</w:t>
      </w:r>
      <w:r>
        <w:rPr>
          <w:rFonts w:asciiTheme="minorEastAsia" w:hAnsiTheme="minorEastAsia" w:eastAsiaTheme="minorEastAsia"/>
          <w:b/>
          <w:color w:val="auto"/>
          <w:highlight w:val="none"/>
        </w:rPr>
        <w:t>、类似项目业绩一览表</w:t>
      </w:r>
    </w:p>
    <w:tbl>
      <w:tblPr>
        <w:tblStyle w:val="43"/>
        <w:tblW w:w="8595" w:type="dxa"/>
        <w:jc w:val="center"/>
        <w:tblLayout w:type="fixed"/>
        <w:tblCellMar>
          <w:top w:w="0" w:type="dxa"/>
          <w:left w:w="0" w:type="dxa"/>
          <w:bottom w:w="0" w:type="dxa"/>
          <w:right w:w="0" w:type="dxa"/>
        </w:tblCellMar>
      </w:tblPr>
      <w:tblGrid>
        <w:gridCol w:w="640"/>
        <w:gridCol w:w="1281"/>
        <w:gridCol w:w="1173"/>
        <w:gridCol w:w="1032"/>
        <w:gridCol w:w="1120"/>
        <w:gridCol w:w="9"/>
        <w:gridCol w:w="1412"/>
        <w:gridCol w:w="1928"/>
      </w:tblGrid>
      <w:tr>
        <w:tblPrEx>
          <w:tblCellMar>
            <w:top w:w="0" w:type="dxa"/>
            <w:left w:w="0" w:type="dxa"/>
            <w:bottom w:w="0" w:type="dxa"/>
            <w:right w:w="0" w:type="dxa"/>
          </w:tblCellMar>
        </w:tblPrEx>
        <w:trPr>
          <w:trHeight w:val="819" w:hRule="atLeast"/>
          <w:jc w:val="center"/>
        </w:trPr>
        <w:tc>
          <w:tcPr>
            <w:tcW w:w="640" w:type="dxa"/>
            <w:tcBorders>
              <w:top w:val="single" w:color="000000" w:sz="4" w:space="0"/>
              <w:left w:val="single" w:color="000000" w:sz="4"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年份</w:t>
            </w:r>
          </w:p>
        </w:tc>
        <w:tc>
          <w:tcPr>
            <w:tcW w:w="1281"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用户名称</w:t>
            </w:r>
          </w:p>
        </w:tc>
        <w:tc>
          <w:tcPr>
            <w:tcW w:w="1173"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项目名称</w:t>
            </w:r>
          </w:p>
        </w:tc>
        <w:tc>
          <w:tcPr>
            <w:tcW w:w="1032"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完成时间</w:t>
            </w:r>
          </w:p>
        </w:tc>
        <w:tc>
          <w:tcPr>
            <w:tcW w:w="1120"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pPr>
              <w:spacing w:line="400" w:lineRule="exact"/>
              <w:ind w:firstLine="105"/>
              <w:jc w:val="center"/>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合同金额</w:t>
            </w:r>
          </w:p>
        </w:tc>
        <w:tc>
          <w:tcPr>
            <w:tcW w:w="1421" w:type="dxa"/>
            <w:gridSpan w:val="2"/>
            <w:tcBorders>
              <w:top w:val="single" w:color="000000" w:sz="4" w:space="0"/>
              <w:left w:val="single" w:color="000000" w:sz="6"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完成项目质量</w:t>
            </w:r>
          </w:p>
        </w:tc>
        <w:tc>
          <w:tcPr>
            <w:tcW w:w="1928" w:type="dxa"/>
            <w:tcBorders>
              <w:top w:val="single" w:color="000000" w:sz="4" w:space="0"/>
              <w:left w:val="single" w:color="000000" w:sz="4"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备注</w:t>
            </w: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2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421"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2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421"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2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421"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281"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73"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2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421"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rPr>
                <w:rFonts w:asciiTheme="minorEastAsia" w:hAnsiTheme="minorEastAsia" w:eastAsiaTheme="minorEastAsia"/>
                <w:color w:val="auto"/>
                <w:highlight w:val="none"/>
              </w:rPr>
            </w:pPr>
          </w:p>
        </w:tc>
        <w:tc>
          <w:tcPr>
            <w:tcW w:w="1281"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rPr>
                <w:rFonts w:asciiTheme="minorEastAsia" w:hAnsiTheme="minorEastAsia" w:eastAsiaTheme="minorEastAsia"/>
                <w:color w:val="auto"/>
                <w:highlight w:val="none"/>
              </w:rPr>
            </w:pPr>
          </w:p>
        </w:tc>
        <w:tc>
          <w:tcPr>
            <w:tcW w:w="1173"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rPr>
                <w:rFonts w:asciiTheme="minorEastAsia" w:hAnsiTheme="minorEastAsia" w:eastAsiaTheme="minorEastAsia"/>
                <w:color w:val="auto"/>
                <w:highlight w:val="none"/>
              </w:rPr>
            </w:pPr>
          </w:p>
        </w:tc>
        <w:tc>
          <w:tcPr>
            <w:tcW w:w="103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rPr>
                <w:rFonts w:asciiTheme="minorEastAsia" w:hAnsiTheme="minorEastAsia" w:eastAsiaTheme="minorEastAsia"/>
                <w:color w:val="auto"/>
                <w:highlight w:val="none"/>
              </w:rPr>
            </w:pPr>
          </w:p>
        </w:tc>
        <w:tc>
          <w:tcPr>
            <w:tcW w:w="1129" w:type="dxa"/>
            <w:gridSpan w:val="2"/>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rPr>
                <w:rFonts w:asciiTheme="minorEastAsia" w:hAnsiTheme="minorEastAsia" w:eastAsiaTheme="minorEastAsia"/>
                <w:color w:val="auto"/>
                <w:highlight w:val="none"/>
              </w:rPr>
            </w:pPr>
          </w:p>
        </w:tc>
        <w:tc>
          <w:tcPr>
            <w:tcW w:w="141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rPr>
                <w:rFonts w:asciiTheme="minorEastAsia" w:hAnsiTheme="minorEastAsia" w:eastAsiaTheme="minorEastAsia"/>
                <w:color w:val="auto"/>
                <w:highlight w:val="none"/>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spacing w:line="400" w:lineRule="exact"/>
              <w:rPr>
                <w:rFonts w:asciiTheme="minorEastAsia" w:hAnsiTheme="minorEastAsia" w:eastAsiaTheme="minorEastAsia"/>
                <w:color w:val="auto"/>
                <w:highlight w:val="none"/>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rPr>
                <w:rFonts w:asciiTheme="minorEastAsia" w:hAnsiTheme="minorEastAsia" w:eastAsiaTheme="minorEastAsia"/>
                <w:color w:val="auto"/>
                <w:highlight w:val="none"/>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rPr>
                <w:rFonts w:asciiTheme="minorEastAsia" w:hAnsiTheme="minorEastAsia" w:eastAsiaTheme="minorEastAsia"/>
                <w:color w:val="auto"/>
                <w:highlight w:val="none"/>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rPr>
                <w:rFonts w:asciiTheme="minorEastAsia" w:hAnsiTheme="minorEastAsia" w:eastAsiaTheme="minorEastAsia"/>
                <w:color w:val="auto"/>
                <w:highlight w:val="none"/>
              </w:rPr>
            </w:pPr>
          </w:p>
        </w:tc>
        <w:tc>
          <w:tcPr>
            <w:tcW w:w="1129"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spacing w:line="400" w:lineRule="exact"/>
              <w:rPr>
                <w:rFonts w:asciiTheme="minorEastAsia" w:hAnsiTheme="minorEastAsia" w:eastAsiaTheme="minorEastAsia"/>
                <w:color w:val="auto"/>
                <w:highlight w:val="none"/>
              </w:rPr>
            </w:pPr>
          </w:p>
        </w:tc>
        <w:tc>
          <w:tcPr>
            <w:tcW w:w="141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rPr>
                <w:rFonts w:asciiTheme="minorEastAsia" w:hAnsiTheme="minorEastAsia" w:eastAsiaTheme="minorEastAsia"/>
                <w:color w:val="auto"/>
                <w:highlight w:val="none"/>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29"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41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29"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41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trHeight w:val="539" w:hRule="atLeast"/>
          <w:jc w:val="center"/>
        </w:trPr>
        <w:tc>
          <w:tcPr>
            <w:tcW w:w="640" w:type="dxa"/>
            <w:tcBorders>
              <w:top w:val="single" w:color="000000" w:sz="6" w:space="0"/>
              <w:left w:val="single" w:color="000000" w:sz="4"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281"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73"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032"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29" w:type="dxa"/>
            <w:gridSpan w:val="2"/>
            <w:tcBorders>
              <w:top w:val="single" w:color="000000" w:sz="6" w:space="0"/>
              <w:left w:val="single" w:color="000000" w:sz="6" w:space="0"/>
              <w:bottom w:val="single" w:color="000000" w:sz="4"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412" w:type="dxa"/>
            <w:tcBorders>
              <w:top w:val="single" w:color="000000" w:sz="6"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928" w:type="dxa"/>
            <w:tcBorders>
              <w:top w:val="single" w:color="000000" w:sz="6"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trHeight w:val="634" w:hRule="atLeast"/>
          <w:jc w:val="center"/>
        </w:trPr>
        <w:tc>
          <w:tcPr>
            <w:tcW w:w="640"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281"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7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03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29"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41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9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trHeight w:val="634" w:hRule="atLeast"/>
          <w:jc w:val="center"/>
        </w:trPr>
        <w:tc>
          <w:tcPr>
            <w:tcW w:w="640"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281"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7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03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29"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41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9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trHeight w:val="723" w:hRule="atLeast"/>
          <w:jc w:val="center"/>
        </w:trPr>
        <w:tc>
          <w:tcPr>
            <w:tcW w:w="640"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281"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7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03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29"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41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9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r>
      <w:tr>
        <w:tblPrEx>
          <w:tblCellMar>
            <w:top w:w="0" w:type="dxa"/>
            <w:left w:w="0" w:type="dxa"/>
            <w:bottom w:w="0" w:type="dxa"/>
            <w:right w:w="0" w:type="dxa"/>
          </w:tblCellMar>
        </w:tblPrEx>
        <w:trPr>
          <w:trHeight w:val="597" w:hRule="atLeast"/>
          <w:jc w:val="center"/>
        </w:trPr>
        <w:tc>
          <w:tcPr>
            <w:tcW w:w="640"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281"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7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03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129"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41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c>
          <w:tcPr>
            <w:tcW w:w="19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rPr>
                <w:rFonts w:asciiTheme="minorEastAsia" w:hAnsiTheme="minorEastAsia" w:eastAsiaTheme="minorEastAsia"/>
                <w:color w:val="auto"/>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410"/>
        <w:rPr>
          <w:rFonts w:asciiTheme="minorEastAsia" w:hAnsiTheme="minorEastAsia" w:eastAsiaTheme="minorEastAsia"/>
          <w:color w:val="auto"/>
          <w:highlight w:val="none"/>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410"/>
        <w:rPr>
          <w:rFonts w:asciiTheme="minorEastAsia" w:hAnsiTheme="minorEastAsia" w:eastAsiaTheme="minorEastAsia"/>
          <w:color w:val="auto"/>
          <w:highlight w:val="none"/>
        </w:rPr>
      </w:pPr>
      <w:r>
        <w:rPr>
          <w:rFonts w:asciiTheme="minorEastAsia" w:hAnsiTheme="minorEastAsia" w:eastAsiaTheme="minorEastAsia"/>
          <w:color w:val="auto"/>
          <w:highlight w:val="none"/>
        </w:rPr>
        <w:t>注：1.</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（仅限于</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自己实施的）以上业绩需提供有关书面证明材料。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410"/>
        <w:rPr>
          <w:rFonts w:asciiTheme="minorEastAsia" w:hAnsiTheme="minorEastAsia" w:eastAsiaTheme="minorEastAsia"/>
          <w:color w:val="auto"/>
          <w:highlight w:val="none"/>
        </w:rPr>
      </w:pPr>
    </w:p>
    <w:p>
      <w:pPr>
        <w:spacing w:line="400" w:lineRule="exact"/>
        <w:rPr>
          <w:rFonts w:asciiTheme="minorEastAsia" w:hAnsiTheme="minorEastAsia" w:eastAsiaTheme="minorEastAsia"/>
          <w:color w:val="auto"/>
          <w:highlight w:val="none"/>
        </w:rPr>
      </w:pPr>
    </w:p>
    <w:p>
      <w:pPr>
        <w:spacing w:line="360" w:lineRule="auto"/>
        <w:ind w:firstLine="461"/>
        <w:rPr>
          <w:rFonts w:asciiTheme="minorEastAsia" w:hAnsiTheme="minorEastAsia" w:eastAsiaTheme="minorEastAsia"/>
          <w:color w:val="auto"/>
          <w:highlight w:val="none"/>
        </w:rPr>
      </w:pPr>
      <w:r>
        <w:rPr>
          <w:rFonts w:asciiTheme="minorEastAsia" w:hAnsiTheme="minorEastAsia" w:eastAsiaTheme="minorEastAsia"/>
          <w:color w:val="auto"/>
          <w:highlight w:val="none"/>
        </w:rPr>
        <w:t>供应商名称：</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 xml:space="preserve">      (盖公章)</w:t>
      </w:r>
    </w:p>
    <w:p>
      <w:pPr>
        <w:spacing w:line="360" w:lineRule="auto"/>
        <w:ind w:firstLine="461"/>
        <w:rPr>
          <w:rFonts w:asciiTheme="minorEastAsia" w:hAnsiTheme="minorEastAsia" w:eastAsiaTheme="minorEastAsia"/>
          <w:color w:val="auto"/>
          <w:highlight w:val="none"/>
        </w:rPr>
      </w:pPr>
      <w:r>
        <w:rPr>
          <w:rFonts w:asciiTheme="minorEastAsia" w:hAnsiTheme="minorEastAsia" w:eastAsiaTheme="minorEastAsia"/>
          <w:color w:val="auto"/>
          <w:highlight w:val="none"/>
        </w:rPr>
        <w:t>法定代表人或</w:t>
      </w:r>
      <w:r>
        <w:rPr>
          <w:rFonts w:hint="eastAsia" w:asciiTheme="minorEastAsia" w:hAnsiTheme="minorEastAsia" w:eastAsiaTheme="minorEastAsia"/>
          <w:color w:val="auto"/>
          <w:highlight w:val="none"/>
        </w:rPr>
        <w:t>委托代理人</w:t>
      </w:r>
      <w:r>
        <w:rPr>
          <w:rFonts w:asciiTheme="minorEastAsia" w:hAnsiTheme="minorEastAsia" w:eastAsiaTheme="minorEastAsia"/>
          <w:color w:val="auto"/>
          <w:highlight w:val="none"/>
        </w:rPr>
        <w:t>（签字</w:t>
      </w:r>
      <w:r>
        <w:rPr>
          <w:rFonts w:hint="eastAsia" w:asciiTheme="minorEastAsia" w:hAnsiTheme="minorEastAsia" w:eastAsiaTheme="minorEastAsia"/>
          <w:color w:val="auto"/>
          <w:highlight w:val="none"/>
        </w:rPr>
        <w:t>或盖章</w:t>
      </w:r>
      <w:r>
        <w:rPr>
          <w:rFonts w:asciiTheme="minorEastAsia" w:hAnsiTheme="minorEastAsia" w:eastAsiaTheme="minorEastAsia"/>
          <w:color w:val="auto"/>
          <w:highlight w:val="none"/>
        </w:rPr>
        <w:t>）：</w:t>
      </w:r>
    </w:p>
    <w:p>
      <w:pPr>
        <w:spacing w:line="360" w:lineRule="auto"/>
        <w:ind w:firstLine="461"/>
        <w:rPr>
          <w:rFonts w:asciiTheme="minorEastAsia" w:hAnsiTheme="minorEastAsia" w:eastAsiaTheme="minorEastAsia"/>
          <w:color w:val="auto"/>
          <w:highlight w:val="none"/>
        </w:rPr>
      </w:pPr>
      <w:r>
        <w:rPr>
          <w:rFonts w:asciiTheme="minorEastAsia" w:hAnsiTheme="minorEastAsia" w:eastAsiaTheme="minorEastAsia"/>
          <w:color w:val="auto"/>
          <w:highlight w:val="none"/>
        </w:rPr>
        <w:t>日</w:t>
      </w:r>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期：</w:t>
      </w:r>
    </w:p>
    <w:p>
      <w:pPr>
        <w:rPr>
          <w:rFonts w:asciiTheme="minorEastAsia" w:hAnsiTheme="minorEastAsia" w:eastAsiaTheme="minorEastAsia"/>
          <w:b/>
          <w:color w:val="auto"/>
          <w:highlight w:val="none"/>
        </w:rPr>
      </w:pPr>
    </w:p>
    <w:bookmarkEnd w:id="78"/>
    <w:p>
      <w:pPr>
        <w:rPr>
          <w:b/>
          <w:color w:val="auto"/>
          <w:highlight w:val="none"/>
        </w:rPr>
      </w:pPr>
      <w:r>
        <w:rPr>
          <w:b/>
          <w:color w:val="auto"/>
          <w:highlight w:val="none"/>
        </w:rPr>
        <w:br w:type="page"/>
      </w:r>
    </w:p>
    <w:p>
      <w:pPr>
        <w:numPr>
          <w:ilvl w:val="0"/>
          <w:numId w:val="2"/>
        </w:numPr>
        <w:jc w:val="center"/>
        <w:rPr>
          <w:rFonts w:hint="eastAsia"/>
          <w:b/>
          <w:color w:val="auto"/>
          <w:sz w:val="22"/>
          <w:szCs w:val="22"/>
          <w:highlight w:val="none"/>
          <w:u w:val="single"/>
          <w:lang w:val="en-US" w:eastAsia="zh-CN"/>
        </w:rPr>
      </w:pPr>
      <w:r>
        <w:rPr>
          <w:rFonts w:hint="eastAsia"/>
          <w:b/>
          <w:color w:val="auto"/>
          <w:sz w:val="22"/>
          <w:szCs w:val="22"/>
          <w:highlight w:val="none"/>
          <w:u w:val="single"/>
          <w:lang w:val="en-US" w:eastAsia="zh-CN"/>
        </w:rPr>
        <w:t>供应商认为应该提供的其他资料</w:t>
      </w:r>
    </w:p>
    <w:p>
      <w:pPr>
        <w:numPr>
          <w:ilvl w:val="0"/>
          <w:numId w:val="0"/>
        </w:numPr>
        <w:jc w:val="center"/>
        <w:rPr>
          <w:rFonts w:hint="eastAsia"/>
          <w:b/>
          <w:color w:val="auto"/>
          <w:sz w:val="22"/>
          <w:szCs w:val="22"/>
          <w:highlight w:val="none"/>
          <w:u w:val="single"/>
          <w:lang w:val="en-US" w:eastAsia="zh-CN"/>
        </w:rPr>
        <w:sectPr>
          <w:headerReference w:type="default" r:id="rId9"/>
          <w:footerReference w:type="default" r:id="rId10"/>
          <w:pgSz w:w="11906" w:h="16838"/>
          <w:pgMar w:top="1440" w:right="1797" w:bottom="1440" w:left="1797" w:header="851" w:footer="992" w:gutter="0"/>
          <w:cols w:space="720" w:num="1"/>
          <w:docGrid w:linePitch="326" w:charSpace="0"/>
        </w:sectPr>
      </w:pPr>
    </w:p>
    <w:p>
      <w:pPr>
        <w:spacing w:line="400" w:lineRule="exact"/>
        <w:ind w:firstLine="432"/>
        <w:rPr>
          <w:rFonts w:hAnsi="宋体"/>
          <w:b/>
          <w:color w:val="auto"/>
          <w:highlight w:val="none"/>
        </w:rPr>
      </w:pPr>
      <w:r>
        <w:rPr>
          <w:rFonts w:hAnsi="宋体"/>
          <w:b/>
          <w:color w:val="auto"/>
          <w:highlight w:val="none"/>
        </w:rPr>
        <w:t>附件1</w:t>
      </w:r>
    </w:p>
    <w:p>
      <w:pPr>
        <w:jc w:val="center"/>
        <w:rPr>
          <w:rFonts w:hAnsi="宋体" w:cs="宋体"/>
          <w:color w:val="auto"/>
          <w:sz w:val="24"/>
          <w:highlight w:val="none"/>
        </w:rPr>
      </w:pPr>
      <w:r>
        <w:rPr>
          <w:rFonts w:hint="eastAsia" w:hAnsi="宋体"/>
          <w:b/>
          <w:color w:val="auto"/>
          <w:sz w:val="28"/>
          <w:highlight w:val="none"/>
          <w:lang w:val="en-US" w:eastAsia="zh-CN"/>
        </w:rPr>
        <w:t>十、</w:t>
      </w:r>
      <w:r>
        <w:rPr>
          <w:rFonts w:hint="eastAsia" w:hAnsi="宋体"/>
          <w:b/>
          <w:color w:val="auto"/>
          <w:sz w:val="28"/>
          <w:highlight w:val="none"/>
        </w:rPr>
        <w:t>中小企业声明函</w:t>
      </w:r>
    </w:p>
    <w:p>
      <w:pPr>
        <w:spacing w:line="360" w:lineRule="auto"/>
        <w:ind w:firstLine="480" w:firstLineChars="200"/>
        <w:jc w:val="left"/>
        <w:rPr>
          <w:rFonts w:hAnsi="宋体" w:cs="宋体"/>
          <w:color w:val="auto"/>
          <w:sz w:val="24"/>
          <w:highlight w:val="none"/>
          <w:lang w:eastAsia="zh-CN"/>
        </w:rPr>
      </w:pPr>
      <w:r>
        <w:rPr>
          <w:rFonts w:hint="eastAsia" w:hAnsi="宋体" w:cs="宋体"/>
          <w:color w:val="auto"/>
          <w:sz w:val="24"/>
          <w:highlight w:val="none"/>
        </w:rPr>
        <w:t>本公司（联合体）郑重声明，根据《政府采购促进中小企业发展管理办法》（财库〔2020</w:t>
      </w:r>
      <w:r>
        <w:rPr>
          <w:rFonts w:hAnsi="宋体" w:cs="宋体"/>
          <w:color w:val="auto"/>
          <w:sz w:val="24"/>
          <w:highlight w:val="none"/>
        </w:rPr>
        <w:t>〕</w:t>
      </w:r>
      <w:r>
        <w:rPr>
          <w:rFonts w:hint="eastAsia" w:hAnsi="宋体" w:cs="宋体"/>
          <w:color w:val="auto"/>
          <w:sz w:val="24"/>
          <w:highlight w:val="none"/>
        </w:rPr>
        <w:t>46 号）</w:t>
      </w:r>
      <w:r>
        <w:rPr>
          <w:rFonts w:hAnsi="宋体" w:cs="宋体"/>
          <w:color w:val="auto"/>
          <w:sz w:val="24"/>
          <w:highlight w:val="none"/>
        </w:rPr>
        <w:t>的规定，</w:t>
      </w:r>
      <w:r>
        <w:rPr>
          <w:rFonts w:hint="eastAsia" w:hAnsi="宋体" w:cs="宋体"/>
          <w:color w:val="auto"/>
          <w:sz w:val="24"/>
          <w:highlight w:val="none"/>
        </w:rPr>
        <w:t xml:space="preserve">本公司（联合体）参加 </w:t>
      </w:r>
      <w:r>
        <w:rPr>
          <w:rFonts w:hint="eastAsia" w:hAnsi="宋体" w:cs="宋体"/>
          <w:color w:val="auto"/>
          <w:sz w:val="24"/>
          <w:highlight w:val="none"/>
          <w:u w:val="single"/>
        </w:rPr>
        <w:t xml:space="preserve">（单位名称） </w:t>
      </w:r>
      <w:r>
        <w:rPr>
          <w:rFonts w:hint="eastAsia" w:hAnsi="宋体" w:cs="宋体"/>
          <w:color w:val="auto"/>
          <w:sz w:val="24"/>
          <w:highlight w:val="none"/>
        </w:rPr>
        <w:t xml:space="preserve">的 </w:t>
      </w:r>
      <w:r>
        <w:rPr>
          <w:rFonts w:hint="eastAsia" w:hAnsi="宋体" w:cs="宋体"/>
          <w:color w:val="auto"/>
          <w:sz w:val="24"/>
          <w:highlight w:val="none"/>
          <w:u w:val="single"/>
        </w:rPr>
        <w:t xml:space="preserve">（项目名称） </w:t>
      </w:r>
      <w:r>
        <w:rPr>
          <w:rFonts w:hint="eastAsia" w:hAnsi="宋体" w:cs="宋体"/>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　　1.</w:t>
      </w:r>
      <w:r>
        <w:rPr>
          <w:rFonts w:hint="eastAsia" w:hAnsi="宋体" w:cs="宋体"/>
          <w:color w:val="auto"/>
          <w:sz w:val="24"/>
          <w:highlight w:val="none"/>
          <w:u w:val="single"/>
        </w:rPr>
        <w:t xml:space="preserve">（标的名称） </w:t>
      </w:r>
      <w:r>
        <w:rPr>
          <w:rFonts w:hint="eastAsia" w:hAnsi="宋体" w:cs="宋体"/>
          <w:color w:val="auto"/>
          <w:sz w:val="24"/>
          <w:highlight w:val="none"/>
        </w:rPr>
        <w:t>，属于</w:t>
      </w:r>
      <w:r>
        <w:rPr>
          <w:rFonts w:hint="eastAsia" w:hAnsi="宋体" w:cs="宋体"/>
          <w:color w:val="auto"/>
          <w:sz w:val="24"/>
          <w:highlight w:val="none"/>
          <w:u w:val="single"/>
        </w:rPr>
        <w:t xml:space="preserve"> （采购文件中明确的所属行业） </w:t>
      </w:r>
      <w:r>
        <w:rPr>
          <w:rFonts w:hint="eastAsia" w:hAnsi="宋体" w:cs="宋体"/>
          <w:color w:val="auto"/>
          <w:sz w:val="24"/>
          <w:highlight w:val="none"/>
        </w:rPr>
        <w:t>；制造商为</w:t>
      </w:r>
      <w:r>
        <w:rPr>
          <w:rFonts w:hint="eastAsia" w:hAnsi="宋体" w:cs="宋体"/>
          <w:color w:val="auto"/>
          <w:sz w:val="24"/>
          <w:highlight w:val="none"/>
          <w:u w:val="single"/>
        </w:rPr>
        <w:t xml:space="preserve"> （企业名称） </w:t>
      </w:r>
      <w:r>
        <w:rPr>
          <w:rFonts w:hint="eastAsia" w:hAnsi="宋体" w:cs="宋体"/>
          <w:color w:val="auto"/>
          <w:sz w:val="24"/>
          <w:highlight w:val="none"/>
        </w:rPr>
        <w:t>，从业人员</w:t>
      </w:r>
      <w:r>
        <w:rPr>
          <w:rFonts w:hAnsi="宋体" w:cs="宋体"/>
          <w:color w:val="auto"/>
          <w:sz w:val="24"/>
          <w:highlight w:val="none"/>
          <w:u w:val="single"/>
        </w:rPr>
        <w:t xml:space="preserve">   </w:t>
      </w:r>
      <w:r>
        <w:rPr>
          <w:rFonts w:hint="eastAsia" w:hAnsi="宋体" w:cs="宋体"/>
          <w:color w:val="auto"/>
          <w:sz w:val="24"/>
          <w:highlight w:val="none"/>
        </w:rPr>
        <w:t>人，营业收入为</w:t>
      </w:r>
      <w:r>
        <w:rPr>
          <w:rFonts w:hAnsi="宋体" w:cs="宋体"/>
          <w:color w:val="auto"/>
          <w:sz w:val="24"/>
          <w:highlight w:val="none"/>
          <w:u w:val="single"/>
        </w:rPr>
        <w:t xml:space="preserve">    </w:t>
      </w:r>
      <w:r>
        <w:rPr>
          <w:rFonts w:hint="eastAsia" w:hAnsi="宋体" w:cs="宋体"/>
          <w:color w:val="auto"/>
          <w:sz w:val="24"/>
          <w:highlight w:val="none"/>
        </w:rPr>
        <w:t>万元，资产总额为</w:t>
      </w:r>
      <w:r>
        <w:rPr>
          <w:rFonts w:hAnsi="宋体" w:cs="宋体"/>
          <w:color w:val="auto"/>
          <w:sz w:val="24"/>
          <w:highlight w:val="none"/>
          <w:u w:val="single"/>
        </w:rPr>
        <w:t xml:space="preserve">   </w:t>
      </w:r>
      <w:r>
        <w:rPr>
          <w:rFonts w:hint="eastAsia" w:hAnsi="宋体" w:cs="宋体"/>
          <w:color w:val="auto"/>
          <w:sz w:val="24"/>
          <w:highlight w:val="none"/>
        </w:rPr>
        <w:t>万元，属于</w:t>
      </w:r>
      <w:r>
        <w:rPr>
          <w:rFonts w:hint="eastAsia" w:hAnsi="宋体" w:cs="宋体"/>
          <w:color w:val="auto"/>
          <w:sz w:val="24"/>
          <w:highlight w:val="none"/>
          <w:u w:val="single"/>
        </w:rPr>
        <w:t xml:space="preserve"> （中型企业、小型企业、微型企业） </w:t>
      </w:r>
      <w:r>
        <w:rPr>
          <w:rFonts w:hint="eastAsia" w:hAnsi="宋体" w:cs="宋体"/>
          <w:color w:val="auto"/>
          <w:sz w:val="24"/>
          <w:highlight w:val="none"/>
        </w:rPr>
        <w:t>；</w:t>
      </w:r>
    </w:p>
    <w:p>
      <w:pPr>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u w:val="single"/>
        </w:rPr>
        <w:t xml:space="preserve">（标的名称） </w:t>
      </w:r>
      <w:r>
        <w:rPr>
          <w:rFonts w:hint="eastAsia" w:hAnsi="宋体" w:cs="宋体"/>
          <w:color w:val="auto"/>
          <w:sz w:val="24"/>
          <w:highlight w:val="none"/>
        </w:rPr>
        <w:t>，属于</w:t>
      </w:r>
      <w:r>
        <w:rPr>
          <w:rFonts w:hint="eastAsia" w:hAnsi="宋体" w:cs="宋体"/>
          <w:color w:val="auto"/>
          <w:sz w:val="24"/>
          <w:highlight w:val="none"/>
          <w:u w:val="single"/>
        </w:rPr>
        <w:t xml:space="preserve"> （采购文件中明确的所属行业） </w:t>
      </w:r>
      <w:r>
        <w:rPr>
          <w:rFonts w:hint="eastAsia" w:hAnsi="宋体" w:cs="宋体"/>
          <w:color w:val="auto"/>
          <w:sz w:val="24"/>
          <w:highlight w:val="none"/>
        </w:rPr>
        <w:t>；制造商为</w:t>
      </w:r>
      <w:r>
        <w:rPr>
          <w:rFonts w:hint="eastAsia" w:hAnsi="宋体" w:cs="宋体"/>
          <w:color w:val="auto"/>
          <w:sz w:val="24"/>
          <w:highlight w:val="none"/>
          <w:u w:val="single"/>
        </w:rPr>
        <w:t xml:space="preserve"> （企业名称） </w:t>
      </w:r>
      <w:r>
        <w:rPr>
          <w:rFonts w:hint="eastAsia" w:hAnsi="宋体" w:cs="宋体"/>
          <w:color w:val="auto"/>
          <w:sz w:val="24"/>
          <w:highlight w:val="none"/>
        </w:rPr>
        <w:t>，从业人员</w:t>
      </w:r>
      <w:r>
        <w:rPr>
          <w:rFonts w:hAnsi="宋体" w:cs="宋体"/>
          <w:color w:val="auto"/>
          <w:sz w:val="24"/>
          <w:highlight w:val="none"/>
          <w:u w:val="single"/>
        </w:rPr>
        <w:t xml:space="preserve">   </w:t>
      </w:r>
      <w:r>
        <w:rPr>
          <w:rFonts w:hint="eastAsia" w:hAnsi="宋体" w:cs="宋体"/>
          <w:color w:val="auto"/>
          <w:sz w:val="24"/>
          <w:highlight w:val="none"/>
        </w:rPr>
        <w:t>人，营业收入为</w:t>
      </w:r>
      <w:r>
        <w:rPr>
          <w:rFonts w:hAnsi="宋体" w:cs="宋体"/>
          <w:color w:val="auto"/>
          <w:sz w:val="24"/>
          <w:highlight w:val="none"/>
          <w:u w:val="single"/>
        </w:rPr>
        <w:t xml:space="preserve">    </w:t>
      </w:r>
      <w:r>
        <w:rPr>
          <w:rFonts w:hint="eastAsia" w:hAnsi="宋体" w:cs="宋体"/>
          <w:color w:val="auto"/>
          <w:sz w:val="24"/>
          <w:highlight w:val="none"/>
        </w:rPr>
        <w:t>万元，资产总额为</w:t>
      </w:r>
      <w:r>
        <w:rPr>
          <w:rFonts w:hAnsi="宋体" w:cs="宋体"/>
          <w:color w:val="auto"/>
          <w:sz w:val="24"/>
          <w:highlight w:val="none"/>
          <w:u w:val="single"/>
        </w:rPr>
        <w:t xml:space="preserve">   </w:t>
      </w:r>
      <w:r>
        <w:rPr>
          <w:rFonts w:hint="eastAsia" w:hAnsi="宋体" w:cs="宋体"/>
          <w:color w:val="auto"/>
          <w:sz w:val="24"/>
          <w:highlight w:val="none"/>
        </w:rPr>
        <w:t>万元，属于</w:t>
      </w:r>
      <w:r>
        <w:rPr>
          <w:rFonts w:hint="eastAsia" w:hAnsi="宋体" w:cs="宋体"/>
          <w:color w:val="auto"/>
          <w:sz w:val="24"/>
          <w:highlight w:val="none"/>
          <w:u w:val="single"/>
        </w:rPr>
        <w:t xml:space="preserve"> （中型企业、小型企业、微型企业） </w:t>
      </w:r>
      <w:r>
        <w:rPr>
          <w:rFonts w:hint="eastAsia" w:hAnsi="宋体" w:cs="宋体"/>
          <w:color w:val="auto"/>
          <w:sz w:val="24"/>
          <w:highlight w:val="none"/>
        </w:rPr>
        <w:t>；</w:t>
      </w:r>
    </w:p>
    <w:p>
      <w:pPr>
        <w:spacing w:line="360" w:lineRule="auto"/>
        <w:ind w:firstLine="480" w:firstLineChars="200"/>
        <w:jc w:val="left"/>
        <w:rPr>
          <w:rFonts w:hAnsi="宋体" w:cs="宋体"/>
          <w:color w:val="auto"/>
          <w:sz w:val="24"/>
          <w:highlight w:val="none"/>
          <w:lang w:eastAsia="zh-CN"/>
        </w:rPr>
      </w:pPr>
    </w:p>
    <w:p>
      <w:pPr>
        <w:spacing w:line="360" w:lineRule="auto"/>
        <w:ind w:firstLine="480" w:firstLineChars="200"/>
        <w:jc w:val="left"/>
        <w:rPr>
          <w:rFonts w:hAnsi="宋体" w:cs="宋体"/>
          <w:color w:val="auto"/>
          <w:sz w:val="24"/>
          <w:highlight w:val="none"/>
          <w:lang w:eastAsia="zh-CN"/>
        </w:rPr>
      </w:pPr>
      <w:r>
        <w:rPr>
          <w:rFonts w:hAnsi="宋体" w:cs="宋体"/>
          <w:color w:val="auto"/>
          <w:sz w:val="24"/>
          <w:highlight w:val="none"/>
        </w:rPr>
        <w:t>……</w:t>
      </w:r>
    </w:p>
    <w:p>
      <w:pPr>
        <w:spacing w:line="360" w:lineRule="auto"/>
        <w:ind w:firstLine="480" w:firstLineChars="200"/>
        <w:jc w:val="left"/>
        <w:rPr>
          <w:rFonts w:hAnsi="宋体" w:cs="宋体"/>
          <w:color w:val="auto"/>
          <w:sz w:val="24"/>
          <w:highlight w:val="none"/>
          <w:lang w:eastAsia="zh-CN"/>
        </w:rPr>
      </w:pPr>
      <w:r>
        <w:rPr>
          <w:rFonts w:hint="eastAsia" w:hAnsi="宋体" w:cs="宋体"/>
          <w:color w:val="auto"/>
          <w:sz w:val="24"/>
          <w:highlight w:val="none"/>
        </w:rPr>
        <w:t xml:space="preserve">    </w:t>
      </w:r>
      <w:r>
        <w:rPr>
          <w:rFonts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Ansi="宋体" w:cs="宋体"/>
          <w:color w:val="auto"/>
          <w:sz w:val="24"/>
          <w:highlight w:val="none"/>
          <w:lang w:eastAsia="zh-CN"/>
        </w:rPr>
      </w:pPr>
      <w:r>
        <w:rPr>
          <w:rFonts w:hint="eastAsia" w:hAnsi="宋体" w:cs="宋体"/>
          <w:color w:val="auto"/>
          <w:sz w:val="24"/>
          <w:highlight w:val="none"/>
        </w:rPr>
        <w:t xml:space="preserve">   </w:t>
      </w:r>
      <w:r>
        <w:rPr>
          <w:rFonts w:hAnsi="宋体" w:cs="宋体"/>
          <w:color w:val="auto"/>
          <w:sz w:val="24"/>
          <w:highlight w:val="none"/>
        </w:rPr>
        <w:t>本企业对上述声明内容的真实性负责。如有虚假，将依法承担相应责任。</w:t>
      </w:r>
    </w:p>
    <w:p>
      <w:pPr>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 xml:space="preserve">                                              </w:t>
      </w:r>
      <w:r>
        <w:rPr>
          <w:rFonts w:hAnsi="宋体" w:cs="宋体"/>
          <w:color w:val="auto"/>
          <w:sz w:val="24"/>
          <w:highlight w:val="none"/>
        </w:rPr>
        <w:t>企业名称（盖章）：</w:t>
      </w:r>
    </w:p>
    <w:p>
      <w:pPr>
        <w:spacing w:line="360" w:lineRule="auto"/>
        <w:ind w:firstLine="6000" w:firstLineChars="2500"/>
        <w:jc w:val="left"/>
        <w:rPr>
          <w:rFonts w:hAnsi="宋体" w:cs="宋体"/>
          <w:color w:val="auto"/>
          <w:sz w:val="24"/>
          <w:highlight w:val="none"/>
          <w:lang w:eastAsia="zh-CN"/>
        </w:rPr>
      </w:pPr>
      <w:r>
        <w:rPr>
          <w:rFonts w:hAnsi="宋体" w:cs="宋体"/>
          <w:color w:val="auto"/>
          <w:sz w:val="24"/>
          <w:highlight w:val="none"/>
        </w:rPr>
        <w:t>日期：</w:t>
      </w:r>
    </w:p>
    <w:p>
      <w:pPr>
        <w:spacing w:line="360" w:lineRule="auto"/>
        <w:ind w:firstLine="6000" w:firstLineChars="2500"/>
        <w:jc w:val="left"/>
        <w:rPr>
          <w:rFonts w:hAnsi="宋体" w:cs="宋体"/>
          <w:color w:val="auto"/>
          <w:sz w:val="24"/>
          <w:highlight w:val="none"/>
          <w:lang w:eastAsia="zh-CN"/>
        </w:rPr>
      </w:pPr>
    </w:p>
    <w:p>
      <w:pPr>
        <w:numPr>
          <w:ilvl w:val="0"/>
          <w:numId w:val="3"/>
        </w:numPr>
        <w:spacing w:line="360" w:lineRule="auto"/>
        <w:ind w:firstLine="480" w:firstLineChars="200"/>
        <w:jc w:val="left"/>
        <w:rPr>
          <w:rFonts w:hint="eastAsia" w:ascii="Times New Roman" w:hAnsi="宋体" w:eastAsia="宋体" w:cs="宋体"/>
          <w:color w:val="auto"/>
          <w:sz w:val="24"/>
          <w:highlight w:val="none"/>
        </w:rPr>
      </w:pPr>
      <w:r>
        <w:rPr>
          <w:rFonts w:ascii="Times New Roman" w:hAnsi="宋体" w:eastAsia="宋体" w:cs="宋体"/>
          <w:color w:val="auto"/>
          <w:sz w:val="24"/>
          <w:highlight w:val="none"/>
        </w:rPr>
        <w:t>从业人员、营业收入、资产总额填报上一年度数据，无上一年度数据的新成立企业可不填报。</w:t>
      </w:r>
      <w:r>
        <w:rPr>
          <w:rFonts w:hint="eastAsia" w:ascii="Times New Roman" w:hAnsi="宋体" w:eastAsia="宋体" w:cs="宋体"/>
          <w:color w:val="auto"/>
          <w:sz w:val="24"/>
          <w:highlight w:val="none"/>
        </w:rPr>
        <w:t xml:space="preserve"> </w:t>
      </w:r>
    </w:p>
    <w:p>
      <w:pPr>
        <w:rPr>
          <w:rFonts w:hAnsi="宋体"/>
          <w:b/>
          <w:color w:val="auto"/>
          <w:highlight w:val="none"/>
        </w:rPr>
      </w:pPr>
      <w:r>
        <w:rPr>
          <w:rFonts w:hAnsi="宋体"/>
          <w:b/>
          <w:color w:val="auto"/>
          <w:highlight w:val="none"/>
        </w:rPr>
        <w:br w:type="page"/>
      </w:r>
    </w:p>
    <w:p>
      <w:pPr>
        <w:spacing w:line="400" w:lineRule="exact"/>
        <w:ind w:firstLine="432"/>
        <w:rPr>
          <w:rFonts w:hint="eastAsia" w:hAnsi="宋体" w:eastAsia="宋体"/>
          <w:b/>
          <w:color w:val="auto"/>
          <w:highlight w:val="none"/>
          <w:lang w:val="en-US" w:eastAsia="zh-CN"/>
        </w:rPr>
      </w:pPr>
      <w:r>
        <w:rPr>
          <w:rFonts w:hAnsi="宋体"/>
          <w:b/>
          <w:color w:val="auto"/>
          <w:highlight w:val="none"/>
        </w:rPr>
        <w:t>附件</w:t>
      </w:r>
      <w:r>
        <w:rPr>
          <w:rFonts w:hint="eastAsia" w:hAnsi="宋体"/>
          <w:b/>
          <w:color w:val="auto"/>
          <w:highlight w:val="none"/>
          <w:lang w:val="en-US" w:eastAsia="zh-CN"/>
        </w:rPr>
        <w:t>2</w:t>
      </w:r>
    </w:p>
    <w:p>
      <w:pPr>
        <w:rPr>
          <w:color w:val="auto"/>
          <w:highlight w:val="none"/>
        </w:rPr>
      </w:pPr>
    </w:p>
    <w:p>
      <w:pPr>
        <w:spacing w:line="360" w:lineRule="auto"/>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残疾人福利性单位声明函</w:t>
      </w:r>
    </w:p>
    <w:p>
      <w:pPr>
        <w:spacing w:line="588" w:lineRule="exact"/>
        <w:rPr>
          <w:rFonts w:ascii="仿宋" w:hAnsi="仿宋" w:eastAsia="仿宋" w:cs="宋体"/>
          <w:b/>
          <w:color w:val="auto"/>
          <w:spacing w:val="6"/>
          <w:highlight w:val="none"/>
        </w:rPr>
      </w:pPr>
    </w:p>
    <w:p>
      <w:pPr>
        <w:spacing w:line="588" w:lineRule="exact"/>
        <w:ind w:firstLine="504" w:firstLineChars="200"/>
        <w:rPr>
          <w:rFonts w:hAnsi="宋体" w:cs="宋体"/>
          <w:color w:val="auto"/>
          <w:spacing w:val="6"/>
          <w:szCs w:val="18"/>
          <w:highlight w:val="none"/>
        </w:rPr>
      </w:pPr>
      <w:r>
        <w:rPr>
          <w:rFonts w:hint="eastAsia" w:hAnsi="宋体" w:cs="宋体"/>
          <w:color w:val="auto"/>
          <w:spacing w:val="6"/>
          <w:szCs w:val="18"/>
          <w:highlight w:val="none"/>
        </w:rPr>
        <w:t>本单位郑重声明，根据《财政部 民政部 中国残疾人联合会关于促进残疾人就业政府采购政策的通知》（财库</w:t>
      </w:r>
      <w:r>
        <w:rPr>
          <w:rFonts w:hint="eastAsia" w:hAnsi="宋体" w:cs="宋体"/>
          <w:color w:val="auto"/>
          <w:szCs w:val="18"/>
          <w:highlight w:val="none"/>
        </w:rPr>
        <w:t>〔2017〕 141</w:t>
      </w:r>
      <w:r>
        <w:rPr>
          <w:rFonts w:hint="eastAsia" w:hAnsi="宋体" w:cs="宋体"/>
          <w:color w:val="auto"/>
          <w:spacing w:val="6"/>
          <w:szCs w:val="18"/>
          <w:highlight w:val="none"/>
        </w:rPr>
        <w:t>号）的规定，本单位为符合条件的残疾人福利性单位，且本单位参加</w:t>
      </w:r>
      <w:r>
        <w:rPr>
          <w:rFonts w:hint="eastAsia" w:hAnsi="宋体" w:cs="宋体"/>
          <w:color w:val="auto"/>
          <w:szCs w:val="18"/>
          <w:highlight w:val="none"/>
          <w:u w:val="single"/>
        </w:rPr>
        <w:t>XXXX</w:t>
      </w:r>
      <w:r>
        <w:rPr>
          <w:rFonts w:hint="eastAsia" w:hAnsi="宋体" w:cs="宋体"/>
          <w:color w:val="auto"/>
          <w:spacing w:val="6"/>
          <w:szCs w:val="18"/>
          <w:highlight w:val="none"/>
        </w:rPr>
        <w:t>单位的</w:t>
      </w:r>
      <w:r>
        <w:rPr>
          <w:rFonts w:hint="eastAsia" w:hAnsi="宋体" w:cs="宋体"/>
          <w:color w:val="auto"/>
          <w:szCs w:val="18"/>
          <w:highlight w:val="none"/>
          <w:u w:val="single"/>
        </w:rPr>
        <w:t>XXXX</w:t>
      </w:r>
      <w:r>
        <w:rPr>
          <w:rFonts w:hint="eastAsia" w:hAnsi="宋体" w:cs="宋体"/>
          <w:color w:val="auto"/>
          <w:spacing w:val="6"/>
          <w:szCs w:val="18"/>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color w:val="auto"/>
          <w:spacing w:val="6"/>
          <w:szCs w:val="18"/>
          <w:highlight w:val="none"/>
        </w:rPr>
      </w:pPr>
      <w:r>
        <w:rPr>
          <w:rFonts w:hint="eastAsia" w:hAnsi="宋体" w:cs="宋体"/>
          <w:color w:val="auto"/>
          <w:spacing w:val="6"/>
          <w:szCs w:val="18"/>
          <w:highlight w:val="none"/>
        </w:rPr>
        <w:t>本单位对上述声明的真实性负责。如有虚假，将依法承担相应责任。</w:t>
      </w:r>
    </w:p>
    <w:p>
      <w:pPr>
        <w:spacing w:line="588" w:lineRule="exact"/>
        <w:rPr>
          <w:rFonts w:hAnsi="宋体" w:cs="宋体"/>
          <w:color w:val="auto"/>
          <w:spacing w:val="6"/>
          <w:highlight w:val="none"/>
        </w:rPr>
      </w:pPr>
    </w:p>
    <w:p>
      <w:pPr>
        <w:spacing w:line="588" w:lineRule="exact"/>
        <w:rPr>
          <w:rFonts w:hAnsi="宋体" w:cs="宋体"/>
          <w:color w:val="auto"/>
          <w:spacing w:val="6"/>
          <w:highlight w:val="none"/>
        </w:rPr>
      </w:pPr>
    </w:p>
    <w:p>
      <w:pPr>
        <w:tabs>
          <w:tab w:val="left" w:pos="4860"/>
        </w:tabs>
        <w:spacing w:line="588" w:lineRule="exact"/>
        <w:ind w:right="1560"/>
        <w:rPr>
          <w:rFonts w:hAnsi="宋体" w:cs="宋体"/>
          <w:color w:val="auto"/>
          <w:spacing w:val="6"/>
          <w:szCs w:val="18"/>
          <w:highlight w:val="none"/>
        </w:rPr>
      </w:pPr>
      <w:r>
        <w:rPr>
          <w:rFonts w:hint="eastAsia" w:hAnsi="宋体" w:cs="宋体"/>
          <w:color w:val="auto"/>
          <w:spacing w:val="6"/>
          <w:szCs w:val="18"/>
          <w:highlight w:val="none"/>
        </w:rPr>
        <w:t>单位名称（盖章）：</w:t>
      </w:r>
    </w:p>
    <w:p>
      <w:pPr>
        <w:rPr>
          <w:rFonts w:hAnsi="宋体" w:cs="宋体"/>
          <w:color w:val="auto"/>
          <w:spacing w:val="6"/>
          <w:szCs w:val="18"/>
          <w:highlight w:val="none"/>
        </w:rPr>
      </w:pPr>
      <w:r>
        <w:rPr>
          <w:rFonts w:hint="eastAsia" w:hAnsi="宋体" w:cs="宋体"/>
          <w:color w:val="auto"/>
          <w:spacing w:val="6"/>
          <w:szCs w:val="18"/>
          <w:highlight w:val="none"/>
        </w:rPr>
        <w:t>日  期：</w:t>
      </w:r>
    </w:p>
    <w:p>
      <w:pPr>
        <w:spacing w:line="360" w:lineRule="auto"/>
        <w:rPr>
          <w:rFonts w:hAnsi="宋体" w:cs="宋体"/>
          <w:color w:val="auto"/>
          <w:szCs w:val="18"/>
          <w:highlight w:val="none"/>
        </w:rPr>
      </w:pPr>
    </w:p>
    <w:p>
      <w:pPr>
        <w:spacing w:line="360" w:lineRule="auto"/>
        <w:rPr>
          <w:rFonts w:hAnsi="宋体" w:cs="宋体"/>
          <w:color w:val="auto"/>
          <w:szCs w:val="18"/>
          <w:highlight w:val="none"/>
        </w:rPr>
      </w:pPr>
      <w:r>
        <w:rPr>
          <w:rFonts w:hint="eastAsia" w:hAnsi="宋体" w:cs="宋体"/>
          <w:color w:val="auto"/>
          <w:szCs w:val="18"/>
          <w:highlight w:val="none"/>
        </w:rPr>
        <w:t>注：</w:t>
      </w:r>
    </w:p>
    <w:p>
      <w:pPr>
        <w:widowControl w:val="false"/>
        <w:numPr>
          <w:ilvl w:val="0"/>
          <w:numId w:val="4"/>
        </w:numPr>
        <w:wordWrap w:val="false"/>
        <w:autoSpaceDE w:val="false"/>
        <w:autoSpaceDN w:val="false"/>
        <w:spacing w:line="360" w:lineRule="auto"/>
        <w:jc w:val="both"/>
        <w:rPr>
          <w:rFonts w:hAnsi="宋体" w:cs="宋体"/>
          <w:color w:val="auto"/>
          <w:szCs w:val="18"/>
          <w:highlight w:val="none"/>
        </w:rPr>
      </w:pPr>
      <w:r>
        <w:rPr>
          <w:rFonts w:hint="eastAsia" w:hAnsi="宋体" w:cs="宋体"/>
          <w:color w:val="auto"/>
          <w:szCs w:val="18"/>
          <w:highlight w:val="none"/>
        </w:rPr>
        <w:t>残疾人福利性单位视同小型、微型企业，享受预留份额、评审中价格扣除等促进中小企业发展的政府采购政策。残疾人福利性单位属于小型、微型企业的，不重复享受政策。</w:t>
      </w:r>
    </w:p>
    <w:p>
      <w:pPr>
        <w:widowControl w:val="false"/>
        <w:numPr>
          <w:ilvl w:val="0"/>
          <w:numId w:val="4"/>
        </w:numPr>
        <w:wordWrap w:val="false"/>
        <w:autoSpaceDE w:val="false"/>
        <w:autoSpaceDN w:val="false"/>
        <w:spacing w:line="360" w:lineRule="auto"/>
        <w:jc w:val="both"/>
        <w:rPr>
          <w:rFonts w:hAnsi="宋体" w:cs="宋体"/>
          <w:color w:val="auto"/>
          <w:szCs w:val="18"/>
          <w:highlight w:val="none"/>
        </w:rPr>
      </w:pPr>
      <w:r>
        <w:rPr>
          <w:rFonts w:hint="eastAsia" w:hAnsi="宋体" w:cs="宋体"/>
          <w:color w:val="auto"/>
          <w:szCs w:val="18"/>
          <w:highlight w:val="none"/>
        </w:rPr>
        <w:t>供应商为非残疾人福利性单位的，可不提供此声明。</w:t>
      </w:r>
    </w:p>
    <w:p>
      <w:pPr>
        <w:rPr>
          <w:rFonts w:ascii="仿宋" w:hAnsi="仿宋" w:eastAsia="仿宋" w:cs="宋体"/>
          <w:color w:val="auto"/>
          <w:highlight w:val="none"/>
        </w:rPr>
      </w:pPr>
      <w:r>
        <w:rPr>
          <w:rFonts w:ascii="仿宋" w:hAnsi="仿宋" w:eastAsia="仿宋" w:cs="宋体"/>
          <w:color w:val="auto"/>
          <w:highlight w:val="none"/>
        </w:rPr>
        <w:br w:type="page"/>
      </w:r>
    </w:p>
    <w:p>
      <w:pPr>
        <w:spacing w:line="400" w:lineRule="exact"/>
        <w:ind w:firstLine="432"/>
        <w:rPr>
          <w:rFonts w:hint="eastAsia" w:hAnsi="宋体" w:eastAsia="宋体"/>
          <w:b/>
          <w:color w:val="auto"/>
          <w:highlight w:val="none"/>
          <w:lang w:eastAsia="zh-CN"/>
        </w:rPr>
      </w:pPr>
      <w:r>
        <w:rPr>
          <w:rFonts w:hAnsi="宋体"/>
          <w:b/>
          <w:color w:val="auto"/>
          <w:highlight w:val="none"/>
        </w:rPr>
        <w:t>附件</w:t>
      </w:r>
      <w:r>
        <w:rPr>
          <w:rFonts w:hint="eastAsia" w:hAnsi="宋体"/>
          <w:b/>
          <w:color w:val="auto"/>
          <w:highlight w:val="none"/>
          <w:lang w:val="en-US" w:eastAsia="zh-CN"/>
        </w:rPr>
        <w:t>3</w:t>
      </w:r>
    </w:p>
    <w:p>
      <w:pPr>
        <w:spacing w:line="360" w:lineRule="auto"/>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 xml:space="preserve"> 监狱企业</w:t>
      </w:r>
    </w:p>
    <w:p>
      <w:pPr>
        <w:spacing w:line="588" w:lineRule="exact"/>
        <w:rPr>
          <w:rFonts w:ascii="仿宋" w:hAnsi="仿宋" w:eastAsia="仿宋" w:cs="宋体"/>
          <w:b/>
          <w:color w:val="auto"/>
          <w:spacing w:val="6"/>
          <w:highlight w:val="none"/>
        </w:rPr>
      </w:pPr>
    </w:p>
    <w:p>
      <w:pPr>
        <w:spacing w:line="360" w:lineRule="auto"/>
        <w:ind w:firstLine="480" w:firstLineChars="200"/>
        <w:rPr>
          <w:rFonts w:hAnsi="宋体" w:cs="宋体"/>
          <w:color w:val="auto"/>
          <w:szCs w:val="18"/>
          <w:highlight w:val="none"/>
        </w:rPr>
      </w:pPr>
      <w:r>
        <w:rPr>
          <w:rFonts w:hint="eastAsia" w:hAnsi="宋体" w:cs="宋体"/>
          <w:color w:val="auto"/>
          <w:szCs w:val="18"/>
          <w:highlight w:val="none"/>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rPr>
          <w:rFonts w:hAnsi="宋体" w:cs="宋体"/>
          <w:color w:val="auto"/>
          <w:szCs w:val="18"/>
          <w:highlight w:val="none"/>
        </w:rPr>
      </w:pPr>
      <w:r>
        <w:rPr>
          <w:rFonts w:hint="eastAsia" w:hAnsi="宋体" w:cs="宋体"/>
          <w:color w:val="auto"/>
          <w:szCs w:val="18"/>
          <w:highlight w:val="none"/>
        </w:rPr>
        <w:t>注：</w:t>
      </w:r>
    </w:p>
    <w:p>
      <w:pPr>
        <w:spacing w:line="360" w:lineRule="auto"/>
        <w:rPr>
          <w:rFonts w:hAnsi="宋体" w:cs="宋体"/>
          <w:color w:val="auto"/>
          <w:szCs w:val="18"/>
          <w:highlight w:val="none"/>
        </w:rPr>
      </w:pPr>
      <w:r>
        <w:rPr>
          <w:rFonts w:hint="eastAsia" w:hAnsi="宋体" w:cs="宋体"/>
          <w:color w:val="auto"/>
          <w:szCs w:val="18"/>
          <w:highlight w:val="none"/>
        </w:rPr>
        <w:t>1、供应商符合《政府采购支持监狱企业发展有关问题的通知》（财库〔2014〕68号）规定的划分标准为监狱企业适用。</w:t>
      </w:r>
    </w:p>
    <w:p>
      <w:pPr>
        <w:spacing w:line="360" w:lineRule="auto"/>
        <w:rPr>
          <w:rFonts w:hint="eastAsia"/>
          <w:b/>
          <w:color w:val="auto"/>
          <w:sz w:val="22"/>
          <w:szCs w:val="22"/>
          <w:highlight w:val="none"/>
          <w:u w:val="single"/>
          <w:lang w:val="en-US" w:eastAsia="zh-CN"/>
        </w:rPr>
      </w:pPr>
      <w:r>
        <w:rPr>
          <w:rFonts w:hint="eastAsia" w:hAnsi="宋体" w:cs="宋体"/>
          <w:color w:val="auto"/>
          <w:szCs w:val="18"/>
          <w:highlight w:val="none"/>
        </w:rPr>
        <w:t>2、在政府采购活动中，监狱企业视同小型、微型企业，享受预留份额、评审中价格扣除等政府采购促进中小企业发展的政府采购政策</w:t>
      </w:r>
      <w:r>
        <w:rPr>
          <w:rFonts w:hint="eastAsia" w:hAnsi="宋体" w:cs="宋体"/>
          <w:color w:val="auto"/>
          <w:szCs w:val="18"/>
          <w:highlight w:val="none"/>
          <w:lang w:eastAsia="zh-CN"/>
        </w:rPr>
        <w:t>。</w:t>
      </w:r>
    </w:p>
    <w:sectPr>
      <w:footerReference w:type="default" r:id="rId11"/>
      <w:pgSz w:w="11906" w:h="16838"/>
      <w:pgMar w:top="1440" w:right="1797" w:bottom="1440" w:left="1797"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enlo">
    <w:altName w:val="Arial"/>
    <w:panose1 w:val="00000000000000000000"/>
    <w:charset w:val="00"/>
    <w:family w:val="modern"/>
    <w:pitch w:val="default"/>
    <w:sig w:usb0="00000000" w:usb1="00000000" w:usb2="02000028" w:usb3="00000000" w:csb0="000001D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decorative"/>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imes New (W1)">
    <w:altName w:val="Times New Roman"/>
    <w:panose1 w:val="00000000000000000000"/>
    <w:charset w:val="00"/>
    <w:family w:val="swiss"/>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à.ā">
    <w:altName w:val="黑体"/>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14</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39</w:t>
    </w:r>
    <w: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jc w:val="center"/>
      <w:rPr>
        <w:rStyle w:val="47"/>
      </w:rPr>
    </w:pPr>
    <w:r>
      <w:fldChar w:fldCharType="begin"/>
    </w:r>
    <w:r>
      <w:rPr>
        <w:rStyle w:val="47"/>
      </w:rPr>
      <w:instrText xml:space="preserve">PAGE  </w:instrText>
    </w:r>
    <w:r>
      <w:fldChar w:fldCharType="separate"/>
    </w:r>
    <w:r>
      <w:rPr>
        <w:rStyle w:val="47"/>
      </w:rPr>
      <w:t>39</w:t>
    </w:r>
    <w:r>
      <w:fldChar w:fldCharType="end"/>
    </w: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43</w:t>
    </w:r>
    <w:r>
      <w:fldChar w:fldCharType="end"/>
    </w:r>
  </w:p>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jc w:val="center"/>
      <w:rPr>
        <w:rStyle w:val="47"/>
      </w:rPr>
    </w:pPr>
    <w:r>
      <w:fldChar w:fldCharType="begin"/>
    </w:r>
    <w:r>
      <w:rPr>
        <w:rStyle w:val="47"/>
      </w:rPr>
      <w:instrText xml:space="preserve">PAGE  </w:instrText>
    </w:r>
    <w:r>
      <w:fldChar w:fldCharType="separate"/>
    </w:r>
    <w:r>
      <w:rPr>
        <w:rStyle w:val="47"/>
      </w:rPr>
      <w:t>39</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5705"/>
    <w:multiLevelType w:val="singleLevel"/>
    <w:tmpl w:val="AA5E5705"/>
    <w:lvl w:ilvl="0" w:tentative="0">
      <w:start w:val="1"/>
      <w:numFmt w:val="decimal"/>
      <w:lvlText w:val="%1."/>
      <w:lvlJc w:val="left"/>
      <w:pPr>
        <w:tabs>
          <w:tab w:val="left" w:pos="312"/>
        </w:tabs>
      </w:pPr>
    </w:lvl>
  </w:abstractNum>
  <w:abstractNum w:abstractNumId="1">
    <w:nsid w:val="2EE39E2D"/>
    <w:multiLevelType w:val="singleLevel"/>
    <w:tmpl w:val="2EE39E2D"/>
    <w:lvl w:ilvl="0" w:tentative="0">
      <w:start w:val="4"/>
      <w:numFmt w:val="chineseCounting"/>
      <w:suff w:val="nothing"/>
      <w:lvlText w:val="（%1）"/>
      <w:lvlJc w:val="left"/>
      <w:rPr>
        <w:rFonts w:hint="eastAsia"/>
      </w:rPr>
    </w:lvl>
  </w:abstractNum>
  <w:abstractNum w:abstractNumId="2">
    <w:nsid w:val="4C80A2B4"/>
    <w:multiLevelType w:val="singleLevel"/>
    <w:tmpl w:val="4C80A2B4"/>
    <w:lvl w:ilvl="0" w:tentative="0">
      <w:start w:val="10"/>
      <w:numFmt w:val="chineseCounting"/>
      <w:suff w:val="nothing"/>
      <w:lvlText w:val="%1、"/>
      <w:lvlJc w:val="left"/>
      <w:rPr>
        <w:rFonts w:hint="eastAsia"/>
      </w:rPr>
    </w:lvl>
  </w:abstractNum>
  <w:abstractNum w:abstractNumId="3">
    <w:nsid w:val="59C07086"/>
    <w:multiLevelType w:val="singleLevel"/>
    <w:tmpl w:val="59C07086"/>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YWY2ZWZhODk3MGFiMjY0ZjM1OGJjNGMwMzEyZGUifQ=="/>
  </w:docVars>
  <w:rsids>
    <w:rsidRoot w:val="00172A27"/>
    <w:rsid w:val="00000841"/>
    <w:rsid w:val="00004338"/>
    <w:rsid w:val="00006697"/>
    <w:rsid w:val="00007F09"/>
    <w:rsid w:val="00015250"/>
    <w:rsid w:val="00016B2E"/>
    <w:rsid w:val="000262C2"/>
    <w:rsid w:val="00026BEF"/>
    <w:rsid w:val="00027F47"/>
    <w:rsid w:val="00031554"/>
    <w:rsid w:val="00033CCF"/>
    <w:rsid w:val="00035A8C"/>
    <w:rsid w:val="00042334"/>
    <w:rsid w:val="0004456E"/>
    <w:rsid w:val="000447BF"/>
    <w:rsid w:val="00051D28"/>
    <w:rsid w:val="00052526"/>
    <w:rsid w:val="00054E9A"/>
    <w:rsid w:val="000551C0"/>
    <w:rsid w:val="00056169"/>
    <w:rsid w:val="00056DB0"/>
    <w:rsid w:val="00061FB6"/>
    <w:rsid w:val="00062820"/>
    <w:rsid w:val="00063382"/>
    <w:rsid w:val="00065547"/>
    <w:rsid w:val="00070375"/>
    <w:rsid w:val="00075C9D"/>
    <w:rsid w:val="00075FA5"/>
    <w:rsid w:val="00076228"/>
    <w:rsid w:val="00076AF9"/>
    <w:rsid w:val="00083830"/>
    <w:rsid w:val="00083A73"/>
    <w:rsid w:val="00085DFC"/>
    <w:rsid w:val="0009059D"/>
    <w:rsid w:val="00091F54"/>
    <w:rsid w:val="000923DA"/>
    <w:rsid w:val="00092D95"/>
    <w:rsid w:val="00093279"/>
    <w:rsid w:val="00094919"/>
    <w:rsid w:val="000972CF"/>
    <w:rsid w:val="000A181C"/>
    <w:rsid w:val="000A3530"/>
    <w:rsid w:val="000B3692"/>
    <w:rsid w:val="000B3AA1"/>
    <w:rsid w:val="000B5A23"/>
    <w:rsid w:val="000B6467"/>
    <w:rsid w:val="000B6E48"/>
    <w:rsid w:val="000B7C91"/>
    <w:rsid w:val="000C0114"/>
    <w:rsid w:val="000C3FE1"/>
    <w:rsid w:val="000C5206"/>
    <w:rsid w:val="000C52E2"/>
    <w:rsid w:val="000C55F6"/>
    <w:rsid w:val="000C5A85"/>
    <w:rsid w:val="000D22E3"/>
    <w:rsid w:val="000D63B9"/>
    <w:rsid w:val="000E4372"/>
    <w:rsid w:val="000E43C0"/>
    <w:rsid w:val="000E5C90"/>
    <w:rsid w:val="000E7F2C"/>
    <w:rsid w:val="000F4ECD"/>
    <w:rsid w:val="00101E37"/>
    <w:rsid w:val="00104649"/>
    <w:rsid w:val="00105601"/>
    <w:rsid w:val="001059E3"/>
    <w:rsid w:val="00107854"/>
    <w:rsid w:val="00111EC6"/>
    <w:rsid w:val="0011240F"/>
    <w:rsid w:val="00113C7B"/>
    <w:rsid w:val="00114045"/>
    <w:rsid w:val="001222B1"/>
    <w:rsid w:val="001222EE"/>
    <w:rsid w:val="00122706"/>
    <w:rsid w:val="00126F92"/>
    <w:rsid w:val="00130907"/>
    <w:rsid w:val="00134302"/>
    <w:rsid w:val="001364B8"/>
    <w:rsid w:val="00137212"/>
    <w:rsid w:val="0014176A"/>
    <w:rsid w:val="00141DEF"/>
    <w:rsid w:val="00142BBB"/>
    <w:rsid w:val="00147564"/>
    <w:rsid w:val="001522B8"/>
    <w:rsid w:val="00153D72"/>
    <w:rsid w:val="00154AE2"/>
    <w:rsid w:val="00154B7F"/>
    <w:rsid w:val="00155DBF"/>
    <w:rsid w:val="001659A7"/>
    <w:rsid w:val="00167789"/>
    <w:rsid w:val="00171A10"/>
    <w:rsid w:val="00172A27"/>
    <w:rsid w:val="00172A61"/>
    <w:rsid w:val="001735AC"/>
    <w:rsid w:val="001742F8"/>
    <w:rsid w:val="001806D8"/>
    <w:rsid w:val="001824A9"/>
    <w:rsid w:val="00183ABB"/>
    <w:rsid w:val="0018525D"/>
    <w:rsid w:val="00190F31"/>
    <w:rsid w:val="0019331F"/>
    <w:rsid w:val="00194BDF"/>
    <w:rsid w:val="00195B49"/>
    <w:rsid w:val="001A08E3"/>
    <w:rsid w:val="001A649B"/>
    <w:rsid w:val="001B339E"/>
    <w:rsid w:val="001B4DF8"/>
    <w:rsid w:val="001B5C63"/>
    <w:rsid w:val="001C08FB"/>
    <w:rsid w:val="001C28AA"/>
    <w:rsid w:val="001C530A"/>
    <w:rsid w:val="001C7843"/>
    <w:rsid w:val="001D089A"/>
    <w:rsid w:val="001D4760"/>
    <w:rsid w:val="001D48E3"/>
    <w:rsid w:val="001D7B2B"/>
    <w:rsid w:val="001E3546"/>
    <w:rsid w:val="001E3931"/>
    <w:rsid w:val="001E64A1"/>
    <w:rsid w:val="001E6CEF"/>
    <w:rsid w:val="001E7000"/>
    <w:rsid w:val="001F0C15"/>
    <w:rsid w:val="001F2064"/>
    <w:rsid w:val="001F55F4"/>
    <w:rsid w:val="001F7D8F"/>
    <w:rsid w:val="00205A4F"/>
    <w:rsid w:val="00207008"/>
    <w:rsid w:val="00211A31"/>
    <w:rsid w:val="00212B78"/>
    <w:rsid w:val="002144B3"/>
    <w:rsid w:val="00214640"/>
    <w:rsid w:val="00214C96"/>
    <w:rsid w:val="00216660"/>
    <w:rsid w:val="00216BA7"/>
    <w:rsid w:val="00216C76"/>
    <w:rsid w:val="00221CA6"/>
    <w:rsid w:val="00221ECD"/>
    <w:rsid w:val="0022258E"/>
    <w:rsid w:val="002241BB"/>
    <w:rsid w:val="00230556"/>
    <w:rsid w:val="00232FCC"/>
    <w:rsid w:val="002360E2"/>
    <w:rsid w:val="0024152A"/>
    <w:rsid w:val="00245C6F"/>
    <w:rsid w:val="00247769"/>
    <w:rsid w:val="00250167"/>
    <w:rsid w:val="0025323C"/>
    <w:rsid w:val="00253711"/>
    <w:rsid w:val="0025387D"/>
    <w:rsid w:val="00253C5C"/>
    <w:rsid w:val="0025668D"/>
    <w:rsid w:val="00257481"/>
    <w:rsid w:val="0025793B"/>
    <w:rsid w:val="00262066"/>
    <w:rsid w:val="002679FB"/>
    <w:rsid w:val="00275B1A"/>
    <w:rsid w:val="00276F66"/>
    <w:rsid w:val="00281143"/>
    <w:rsid w:val="0028318D"/>
    <w:rsid w:val="00283779"/>
    <w:rsid w:val="002848DE"/>
    <w:rsid w:val="002879E1"/>
    <w:rsid w:val="002901DE"/>
    <w:rsid w:val="0029088A"/>
    <w:rsid w:val="00295AC9"/>
    <w:rsid w:val="00295D0A"/>
    <w:rsid w:val="002A245E"/>
    <w:rsid w:val="002A5552"/>
    <w:rsid w:val="002A5705"/>
    <w:rsid w:val="002A6C91"/>
    <w:rsid w:val="002A72A8"/>
    <w:rsid w:val="002B06C0"/>
    <w:rsid w:val="002B084C"/>
    <w:rsid w:val="002B19F1"/>
    <w:rsid w:val="002B24C7"/>
    <w:rsid w:val="002B25D3"/>
    <w:rsid w:val="002B5B81"/>
    <w:rsid w:val="002C0D8C"/>
    <w:rsid w:val="002C3469"/>
    <w:rsid w:val="002C3860"/>
    <w:rsid w:val="002C4829"/>
    <w:rsid w:val="002E0467"/>
    <w:rsid w:val="002E15FF"/>
    <w:rsid w:val="002E5309"/>
    <w:rsid w:val="002E57A2"/>
    <w:rsid w:val="002E7382"/>
    <w:rsid w:val="002F3B37"/>
    <w:rsid w:val="002F5649"/>
    <w:rsid w:val="002F637A"/>
    <w:rsid w:val="002F6CB5"/>
    <w:rsid w:val="002F70C8"/>
    <w:rsid w:val="002F7856"/>
    <w:rsid w:val="0030084F"/>
    <w:rsid w:val="00302D21"/>
    <w:rsid w:val="00303C14"/>
    <w:rsid w:val="0030501C"/>
    <w:rsid w:val="00305529"/>
    <w:rsid w:val="00305A5E"/>
    <w:rsid w:val="0031307B"/>
    <w:rsid w:val="0031757F"/>
    <w:rsid w:val="00323F2A"/>
    <w:rsid w:val="00324837"/>
    <w:rsid w:val="0032592A"/>
    <w:rsid w:val="00334600"/>
    <w:rsid w:val="003442B5"/>
    <w:rsid w:val="00345A7B"/>
    <w:rsid w:val="00350DDB"/>
    <w:rsid w:val="003527AA"/>
    <w:rsid w:val="00353417"/>
    <w:rsid w:val="003547AA"/>
    <w:rsid w:val="00357063"/>
    <w:rsid w:val="0035713F"/>
    <w:rsid w:val="003572BD"/>
    <w:rsid w:val="00357F28"/>
    <w:rsid w:val="00370510"/>
    <w:rsid w:val="003709DA"/>
    <w:rsid w:val="0037178E"/>
    <w:rsid w:val="00372BE1"/>
    <w:rsid w:val="003731BE"/>
    <w:rsid w:val="00376515"/>
    <w:rsid w:val="0037750A"/>
    <w:rsid w:val="003913CF"/>
    <w:rsid w:val="00392C61"/>
    <w:rsid w:val="0039380E"/>
    <w:rsid w:val="00397D6B"/>
    <w:rsid w:val="003A4741"/>
    <w:rsid w:val="003B05EF"/>
    <w:rsid w:val="003B2C4F"/>
    <w:rsid w:val="003B3DAC"/>
    <w:rsid w:val="003B6C82"/>
    <w:rsid w:val="003C2C1B"/>
    <w:rsid w:val="003C5969"/>
    <w:rsid w:val="003C7205"/>
    <w:rsid w:val="003D14FC"/>
    <w:rsid w:val="003D3E35"/>
    <w:rsid w:val="003D669E"/>
    <w:rsid w:val="003D78EF"/>
    <w:rsid w:val="003E3977"/>
    <w:rsid w:val="003E59C4"/>
    <w:rsid w:val="003E7C89"/>
    <w:rsid w:val="003F7F5C"/>
    <w:rsid w:val="00400402"/>
    <w:rsid w:val="00400B29"/>
    <w:rsid w:val="0040381D"/>
    <w:rsid w:val="00403CCA"/>
    <w:rsid w:val="00404459"/>
    <w:rsid w:val="0041068A"/>
    <w:rsid w:val="00411CEE"/>
    <w:rsid w:val="00413C8B"/>
    <w:rsid w:val="00416263"/>
    <w:rsid w:val="004353BF"/>
    <w:rsid w:val="00440BDF"/>
    <w:rsid w:val="00444E83"/>
    <w:rsid w:val="004457CB"/>
    <w:rsid w:val="00455D9D"/>
    <w:rsid w:val="00457551"/>
    <w:rsid w:val="004612E4"/>
    <w:rsid w:val="00461E63"/>
    <w:rsid w:val="00465DB0"/>
    <w:rsid w:val="00466E73"/>
    <w:rsid w:val="00470AA6"/>
    <w:rsid w:val="00470C7C"/>
    <w:rsid w:val="0047158A"/>
    <w:rsid w:val="00471772"/>
    <w:rsid w:val="00472F5F"/>
    <w:rsid w:val="00473589"/>
    <w:rsid w:val="004757CE"/>
    <w:rsid w:val="00475FDD"/>
    <w:rsid w:val="00476A61"/>
    <w:rsid w:val="00476ADE"/>
    <w:rsid w:val="00482230"/>
    <w:rsid w:val="0048305B"/>
    <w:rsid w:val="00483392"/>
    <w:rsid w:val="0048694B"/>
    <w:rsid w:val="00487418"/>
    <w:rsid w:val="00490C3D"/>
    <w:rsid w:val="00491C66"/>
    <w:rsid w:val="0049248E"/>
    <w:rsid w:val="00496CCD"/>
    <w:rsid w:val="004979E6"/>
    <w:rsid w:val="004A5DBB"/>
    <w:rsid w:val="004A6D09"/>
    <w:rsid w:val="004A6EB8"/>
    <w:rsid w:val="004A750C"/>
    <w:rsid w:val="004C0915"/>
    <w:rsid w:val="004C11D6"/>
    <w:rsid w:val="004C262F"/>
    <w:rsid w:val="004C57F1"/>
    <w:rsid w:val="004C6E9C"/>
    <w:rsid w:val="004C70B3"/>
    <w:rsid w:val="004D0A9A"/>
    <w:rsid w:val="004D1EB3"/>
    <w:rsid w:val="004D409D"/>
    <w:rsid w:val="004D5AC7"/>
    <w:rsid w:val="004E0123"/>
    <w:rsid w:val="004E4507"/>
    <w:rsid w:val="004E4612"/>
    <w:rsid w:val="004E6A2B"/>
    <w:rsid w:val="004E7231"/>
    <w:rsid w:val="004F0880"/>
    <w:rsid w:val="004F0950"/>
    <w:rsid w:val="004F2351"/>
    <w:rsid w:val="004F3D35"/>
    <w:rsid w:val="004F45FE"/>
    <w:rsid w:val="00500936"/>
    <w:rsid w:val="00500CEE"/>
    <w:rsid w:val="00502757"/>
    <w:rsid w:val="00502ADB"/>
    <w:rsid w:val="00506AE7"/>
    <w:rsid w:val="005071A6"/>
    <w:rsid w:val="00507972"/>
    <w:rsid w:val="00512E70"/>
    <w:rsid w:val="0051786B"/>
    <w:rsid w:val="00517C57"/>
    <w:rsid w:val="00523B88"/>
    <w:rsid w:val="005259EB"/>
    <w:rsid w:val="005271C2"/>
    <w:rsid w:val="00530F12"/>
    <w:rsid w:val="00531113"/>
    <w:rsid w:val="0053561F"/>
    <w:rsid w:val="00537BA3"/>
    <w:rsid w:val="00537F28"/>
    <w:rsid w:val="005412EF"/>
    <w:rsid w:val="00542207"/>
    <w:rsid w:val="005427CD"/>
    <w:rsid w:val="00545610"/>
    <w:rsid w:val="00555E25"/>
    <w:rsid w:val="00557C34"/>
    <w:rsid w:val="00557E35"/>
    <w:rsid w:val="005604EB"/>
    <w:rsid w:val="00561079"/>
    <w:rsid w:val="00564CC1"/>
    <w:rsid w:val="00565E34"/>
    <w:rsid w:val="00570955"/>
    <w:rsid w:val="00570A63"/>
    <w:rsid w:val="0057472D"/>
    <w:rsid w:val="00575CAA"/>
    <w:rsid w:val="005767A3"/>
    <w:rsid w:val="005776E5"/>
    <w:rsid w:val="0058246D"/>
    <w:rsid w:val="0058382F"/>
    <w:rsid w:val="005849D0"/>
    <w:rsid w:val="00584A62"/>
    <w:rsid w:val="00585FB8"/>
    <w:rsid w:val="0059149A"/>
    <w:rsid w:val="00594D07"/>
    <w:rsid w:val="00596051"/>
    <w:rsid w:val="005960B1"/>
    <w:rsid w:val="005979E1"/>
    <w:rsid w:val="005A1D2B"/>
    <w:rsid w:val="005A3F89"/>
    <w:rsid w:val="005A47C2"/>
    <w:rsid w:val="005A61B0"/>
    <w:rsid w:val="005B2AF9"/>
    <w:rsid w:val="005B3498"/>
    <w:rsid w:val="005B7D19"/>
    <w:rsid w:val="005C3E31"/>
    <w:rsid w:val="005C79E3"/>
    <w:rsid w:val="005D092A"/>
    <w:rsid w:val="005D1D04"/>
    <w:rsid w:val="005D58BE"/>
    <w:rsid w:val="005D6490"/>
    <w:rsid w:val="005E0AA6"/>
    <w:rsid w:val="005E1EF7"/>
    <w:rsid w:val="005E27EE"/>
    <w:rsid w:val="005E3877"/>
    <w:rsid w:val="005E4CCE"/>
    <w:rsid w:val="005F0486"/>
    <w:rsid w:val="005F0CED"/>
    <w:rsid w:val="005F1D89"/>
    <w:rsid w:val="005F5AE1"/>
    <w:rsid w:val="00600F43"/>
    <w:rsid w:val="0060460F"/>
    <w:rsid w:val="00605256"/>
    <w:rsid w:val="0060774D"/>
    <w:rsid w:val="00607C96"/>
    <w:rsid w:val="00610FBA"/>
    <w:rsid w:val="00613474"/>
    <w:rsid w:val="0061495F"/>
    <w:rsid w:val="00617B3F"/>
    <w:rsid w:val="00621625"/>
    <w:rsid w:val="0062187F"/>
    <w:rsid w:val="00622BD5"/>
    <w:rsid w:val="00622E4F"/>
    <w:rsid w:val="00627A2A"/>
    <w:rsid w:val="00627E48"/>
    <w:rsid w:val="00633F92"/>
    <w:rsid w:val="00636210"/>
    <w:rsid w:val="0064118B"/>
    <w:rsid w:val="00642317"/>
    <w:rsid w:val="00642796"/>
    <w:rsid w:val="0064679F"/>
    <w:rsid w:val="006470FE"/>
    <w:rsid w:val="00657838"/>
    <w:rsid w:val="006608C3"/>
    <w:rsid w:val="00663B8C"/>
    <w:rsid w:val="00665426"/>
    <w:rsid w:val="00665C5F"/>
    <w:rsid w:val="006717AC"/>
    <w:rsid w:val="006724D5"/>
    <w:rsid w:val="0067430B"/>
    <w:rsid w:val="006776A2"/>
    <w:rsid w:val="00677B91"/>
    <w:rsid w:val="006819D0"/>
    <w:rsid w:val="00681CEB"/>
    <w:rsid w:val="00683470"/>
    <w:rsid w:val="006848E3"/>
    <w:rsid w:val="00691CB6"/>
    <w:rsid w:val="00693B81"/>
    <w:rsid w:val="00696622"/>
    <w:rsid w:val="006A21A8"/>
    <w:rsid w:val="006B1705"/>
    <w:rsid w:val="006B2395"/>
    <w:rsid w:val="006B446B"/>
    <w:rsid w:val="006B5F53"/>
    <w:rsid w:val="006B61B0"/>
    <w:rsid w:val="006C30D8"/>
    <w:rsid w:val="006C4943"/>
    <w:rsid w:val="006C5566"/>
    <w:rsid w:val="006D0BD2"/>
    <w:rsid w:val="006D1B3B"/>
    <w:rsid w:val="006D38D1"/>
    <w:rsid w:val="006D7C01"/>
    <w:rsid w:val="006E206E"/>
    <w:rsid w:val="006E2805"/>
    <w:rsid w:val="006E492D"/>
    <w:rsid w:val="006F0EC4"/>
    <w:rsid w:val="006F1AE7"/>
    <w:rsid w:val="006F3A33"/>
    <w:rsid w:val="006F7C9F"/>
    <w:rsid w:val="00702935"/>
    <w:rsid w:val="00704940"/>
    <w:rsid w:val="00705413"/>
    <w:rsid w:val="00707BC5"/>
    <w:rsid w:val="0071028D"/>
    <w:rsid w:val="00715758"/>
    <w:rsid w:val="00716036"/>
    <w:rsid w:val="00721A7D"/>
    <w:rsid w:val="007227E6"/>
    <w:rsid w:val="00724E08"/>
    <w:rsid w:val="007274F1"/>
    <w:rsid w:val="00730606"/>
    <w:rsid w:val="00730B95"/>
    <w:rsid w:val="007310A7"/>
    <w:rsid w:val="00733152"/>
    <w:rsid w:val="00733E13"/>
    <w:rsid w:val="0073446B"/>
    <w:rsid w:val="007345FC"/>
    <w:rsid w:val="00737BBC"/>
    <w:rsid w:val="007410DD"/>
    <w:rsid w:val="00747770"/>
    <w:rsid w:val="007505EB"/>
    <w:rsid w:val="007514F6"/>
    <w:rsid w:val="00753C62"/>
    <w:rsid w:val="0075455D"/>
    <w:rsid w:val="007545D4"/>
    <w:rsid w:val="007552A3"/>
    <w:rsid w:val="00760266"/>
    <w:rsid w:val="00762532"/>
    <w:rsid w:val="007647BF"/>
    <w:rsid w:val="00764C63"/>
    <w:rsid w:val="007650DD"/>
    <w:rsid w:val="0077072E"/>
    <w:rsid w:val="007714AE"/>
    <w:rsid w:val="00771C4F"/>
    <w:rsid w:val="0077530C"/>
    <w:rsid w:val="00776023"/>
    <w:rsid w:val="00782AC9"/>
    <w:rsid w:val="007839B4"/>
    <w:rsid w:val="00784415"/>
    <w:rsid w:val="007847D9"/>
    <w:rsid w:val="00785B4A"/>
    <w:rsid w:val="007879B2"/>
    <w:rsid w:val="00792D56"/>
    <w:rsid w:val="00792FCD"/>
    <w:rsid w:val="007930C2"/>
    <w:rsid w:val="007950F1"/>
    <w:rsid w:val="00795EFE"/>
    <w:rsid w:val="00796A30"/>
    <w:rsid w:val="007A00C8"/>
    <w:rsid w:val="007A0B14"/>
    <w:rsid w:val="007A34B9"/>
    <w:rsid w:val="007A3C1A"/>
    <w:rsid w:val="007A55F0"/>
    <w:rsid w:val="007A6302"/>
    <w:rsid w:val="007A6E0D"/>
    <w:rsid w:val="007A766A"/>
    <w:rsid w:val="007B13DC"/>
    <w:rsid w:val="007B2280"/>
    <w:rsid w:val="007B6BC6"/>
    <w:rsid w:val="007C01CA"/>
    <w:rsid w:val="007C1014"/>
    <w:rsid w:val="007C1CB1"/>
    <w:rsid w:val="007C373F"/>
    <w:rsid w:val="007C672D"/>
    <w:rsid w:val="007D0FEC"/>
    <w:rsid w:val="007D5E8C"/>
    <w:rsid w:val="007D73FA"/>
    <w:rsid w:val="007E4EA8"/>
    <w:rsid w:val="007E756E"/>
    <w:rsid w:val="007F5C93"/>
    <w:rsid w:val="00800589"/>
    <w:rsid w:val="00800948"/>
    <w:rsid w:val="00801C85"/>
    <w:rsid w:val="00801F66"/>
    <w:rsid w:val="00802274"/>
    <w:rsid w:val="008026D0"/>
    <w:rsid w:val="00802AE7"/>
    <w:rsid w:val="008030D2"/>
    <w:rsid w:val="00807880"/>
    <w:rsid w:val="008110BC"/>
    <w:rsid w:val="008113E8"/>
    <w:rsid w:val="00820D33"/>
    <w:rsid w:val="0082190F"/>
    <w:rsid w:val="00822849"/>
    <w:rsid w:val="00822AC9"/>
    <w:rsid w:val="0082442F"/>
    <w:rsid w:val="00824B28"/>
    <w:rsid w:val="00824D5D"/>
    <w:rsid w:val="00824D69"/>
    <w:rsid w:val="0082526D"/>
    <w:rsid w:val="008269ED"/>
    <w:rsid w:val="008275F0"/>
    <w:rsid w:val="00831866"/>
    <w:rsid w:val="00832DED"/>
    <w:rsid w:val="008331A0"/>
    <w:rsid w:val="00833C0F"/>
    <w:rsid w:val="008358E1"/>
    <w:rsid w:val="008364A7"/>
    <w:rsid w:val="0084086D"/>
    <w:rsid w:val="008417F0"/>
    <w:rsid w:val="00842340"/>
    <w:rsid w:val="008424DE"/>
    <w:rsid w:val="008435A9"/>
    <w:rsid w:val="00847C96"/>
    <w:rsid w:val="00853032"/>
    <w:rsid w:val="008546B2"/>
    <w:rsid w:val="00855907"/>
    <w:rsid w:val="0085785E"/>
    <w:rsid w:val="00861C92"/>
    <w:rsid w:val="00864BA7"/>
    <w:rsid w:val="00866594"/>
    <w:rsid w:val="00870866"/>
    <w:rsid w:val="0087143F"/>
    <w:rsid w:val="00871EFB"/>
    <w:rsid w:val="00881016"/>
    <w:rsid w:val="008827C3"/>
    <w:rsid w:val="00883DD4"/>
    <w:rsid w:val="00892C10"/>
    <w:rsid w:val="00894883"/>
    <w:rsid w:val="00895DED"/>
    <w:rsid w:val="008A3027"/>
    <w:rsid w:val="008B01A8"/>
    <w:rsid w:val="008B287E"/>
    <w:rsid w:val="008B47C9"/>
    <w:rsid w:val="008B492D"/>
    <w:rsid w:val="008B4CD4"/>
    <w:rsid w:val="008B60B4"/>
    <w:rsid w:val="008C7975"/>
    <w:rsid w:val="008D16A9"/>
    <w:rsid w:val="008D4879"/>
    <w:rsid w:val="008E0451"/>
    <w:rsid w:val="008E4002"/>
    <w:rsid w:val="008E4151"/>
    <w:rsid w:val="008E5114"/>
    <w:rsid w:val="008E7217"/>
    <w:rsid w:val="008E742E"/>
    <w:rsid w:val="008F0F8C"/>
    <w:rsid w:val="008F40BE"/>
    <w:rsid w:val="008F4107"/>
    <w:rsid w:val="008F4411"/>
    <w:rsid w:val="008F5ACA"/>
    <w:rsid w:val="008F6589"/>
    <w:rsid w:val="008F7B82"/>
    <w:rsid w:val="009036DA"/>
    <w:rsid w:val="009057E9"/>
    <w:rsid w:val="00905A8F"/>
    <w:rsid w:val="00912BA6"/>
    <w:rsid w:val="009158E4"/>
    <w:rsid w:val="0091645B"/>
    <w:rsid w:val="00925A8C"/>
    <w:rsid w:val="00927BE0"/>
    <w:rsid w:val="00927F62"/>
    <w:rsid w:val="009319D3"/>
    <w:rsid w:val="009334C3"/>
    <w:rsid w:val="0093616C"/>
    <w:rsid w:val="00936428"/>
    <w:rsid w:val="00956F14"/>
    <w:rsid w:val="00957AE4"/>
    <w:rsid w:val="0096003B"/>
    <w:rsid w:val="00960619"/>
    <w:rsid w:val="009616E7"/>
    <w:rsid w:val="00961CD6"/>
    <w:rsid w:val="00965F3D"/>
    <w:rsid w:val="0096607A"/>
    <w:rsid w:val="009660F5"/>
    <w:rsid w:val="00966D64"/>
    <w:rsid w:val="00972249"/>
    <w:rsid w:val="0097317E"/>
    <w:rsid w:val="00973F3D"/>
    <w:rsid w:val="00974597"/>
    <w:rsid w:val="00974A22"/>
    <w:rsid w:val="009777A4"/>
    <w:rsid w:val="00977FEA"/>
    <w:rsid w:val="0098057E"/>
    <w:rsid w:val="009921BC"/>
    <w:rsid w:val="00992CB3"/>
    <w:rsid w:val="00993078"/>
    <w:rsid w:val="00995B3F"/>
    <w:rsid w:val="009960A0"/>
    <w:rsid w:val="009A1220"/>
    <w:rsid w:val="009A27F5"/>
    <w:rsid w:val="009A7767"/>
    <w:rsid w:val="009B1FB0"/>
    <w:rsid w:val="009B5D29"/>
    <w:rsid w:val="009C3266"/>
    <w:rsid w:val="009C3268"/>
    <w:rsid w:val="009C41CE"/>
    <w:rsid w:val="009C5238"/>
    <w:rsid w:val="009C7CFF"/>
    <w:rsid w:val="009D0A23"/>
    <w:rsid w:val="009D3727"/>
    <w:rsid w:val="009D3D56"/>
    <w:rsid w:val="009D4090"/>
    <w:rsid w:val="009D461F"/>
    <w:rsid w:val="009E184B"/>
    <w:rsid w:val="009E2160"/>
    <w:rsid w:val="009E2F56"/>
    <w:rsid w:val="009E6CC0"/>
    <w:rsid w:val="009E74F8"/>
    <w:rsid w:val="009F04DE"/>
    <w:rsid w:val="009F2362"/>
    <w:rsid w:val="009F435E"/>
    <w:rsid w:val="009F45CB"/>
    <w:rsid w:val="009F46F3"/>
    <w:rsid w:val="009F5CC4"/>
    <w:rsid w:val="00A01230"/>
    <w:rsid w:val="00A034EB"/>
    <w:rsid w:val="00A04EE1"/>
    <w:rsid w:val="00A12528"/>
    <w:rsid w:val="00A145DA"/>
    <w:rsid w:val="00A150A8"/>
    <w:rsid w:val="00A151B7"/>
    <w:rsid w:val="00A214C5"/>
    <w:rsid w:val="00A22DAE"/>
    <w:rsid w:val="00A23026"/>
    <w:rsid w:val="00A25001"/>
    <w:rsid w:val="00A27EEF"/>
    <w:rsid w:val="00A3240C"/>
    <w:rsid w:val="00A33B5D"/>
    <w:rsid w:val="00A34304"/>
    <w:rsid w:val="00A41515"/>
    <w:rsid w:val="00A419B6"/>
    <w:rsid w:val="00A42133"/>
    <w:rsid w:val="00A425DF"/>
    <w:rsid w:val="00A50FEB"/>
    <w:rsid w:val="00A53F24"/>
    <w:rsid w:val="00A5643D"/>
    <w:rsid w:val="00A60EB5"/>
    <w:rsid w:val="00A60EEB"/>
    <w:rsid w:val="00A61402"/>
    <w:rsid w:val="00A63A68"/>
    <w:rsid w:val="00A66BB3"/>
    <w:rsid w:val="00A679E8"/>
    <w:rsid w:val="00A70097"/>
    <w:rsid w:val="00A72193"/>
    <w:rsid w:val="00A730E9"/>
    <w:rsid w:val="00A74782"/>
    <w:rsid w:val="00A75E66"/>
    <w:rsid w:val="00A80512"/>
    <w:rsid w:val="00A82BAA"/>
    <w:rsid w:val="00A847E5"/>
    <w:rsid w:val="00A84910"/>
    <w:rsid w:val="00A87653"/>
    <w:rsid w:val="00A901F5"/>
    <w:rsid w:val="00A902AC"/>
    <w:rsid w:val="00A90722"/>
    <w:rsid w:val="00A9162F"/>
    <w:rsid w:val="00A93C9B"/>
    <w:rsid w:val="00A94314"/>
    <w:rsid w:val="00A94F4E"/>
    <w:rsid w:val="00A96639"/>
    <w:rsid w:val="00AA0FD6"/>
    <w:rsid w:val="00AA27CF"/>
    <w:rsid w:val="00AA713C"/>
    <w:rsid w:val="00AA7739"/>
    <w:rsid w:val="00AB11B5"/>
    <w:rsid w:val="00AB158B"/>
    <w:rsid w:val="00AB3F1E"/>
    <w:rsid w:val="00AB4E27"/>
    <w:rsid w:val="00AC42E8"/>
    <w:rsid w:val="00AC7A10"/>
    <w:rsid w:val="00AD105D"/>
    <w:rsid w:val="00AD7FCA"/>
    <w:rsid w:val="00AE081C"/>
    <w:rsid w:val="00AE5381"/>
    <w:rsid w:val="00AE6809"/>
    <w:rsid w:val="00AF1847"/>
    <w:rsid w:val="00AF2A2A"/>
    <w:rsid w:val="00AF3A5B"/>
    <w:rsid w:val="00AF4592"/>
    <w:rsid w:val="00AF593B"/>
    <w:rsid w:val="00B03BA4"/>
    <w:rsid w:val="00B06535"/>
    <w:rsid w:val="00B07264"/>
    <w:rsid w:val="00B10437"/>
    <w:rsid w:val="00B10C59"/>
    <w:rsid w:val="00B13314"/>
    <w:rsid w:val="00B13532"/>
    <w:rsid w:val="00B1747C"/>
    <w:rsid w:val="00B21FCF"/>
    <w:rsid w:val="00B27F97"/>
    <w:rsid w:val="00B30BF6"/>
    <w:rsid w:val="00B31349"/>
    <w:rsid w:val="00B35255"/>
    <w:rsid w:val="00B36C2A"/>
    <w:rsid w:val="00B36DCF"/>
    <w:rsid w:val="00B4066E"/>
    <w:rsid w:val="00B41241"/>
    <w:rsid w:val="00B46F3D"/>
    <w:rsid w:val="00B52DD0"/>
    <w:rsid w:val="00B54250"/>
    <w:rsid w:val="00B62C02"/>
    <w:rsid w:val="00B63D3C"/>
    <w:rsid w:val="00B644BB"/>
    <w:rsid w:val="00B6581B"/>
    <w:rsid w:val="00B663FA"/>
    <w:rsid w:val="00B668AD"/>
    <w:rsid w:val="00B712D5"/>
    <w:rsid w:val="00B7140A"/>
    <w:rsid w:val="00B71D83"/>
    <w:rsid w:val="00B742DA"/>
    <w:rsid w:val="00B75E51"/>
    <w:rsid w:val="00B80AC2"/>
    <w:rsid w:val="00B82F94"/>
    <w:rsid w:val="00B863C0"/>
    <w:rsid w:val="00B874A1"/>
    <w:rsid w:val="00B922E6"/>
    <w:rsid w:val="00B97770"/>
    <w:rsid w:val="00BA0062"/>
    <w:rsid w:val="00BA0315"/>
    <w:rsid w:val="00BA0F8C"/>
    <w:rsid w:val="00BA4C60"/>
    <w:rsid w:val="00BA5524"/>
    <w:rsid w:val="00BA6E60"/>
    <w:rsid w:val="00BA6E9B"/>
    <w:rsid w:val="00BB049D"/>
    <w:rsid w:val="00BB4EF7"/>
    <w:rsid w:val="00BB7BEB"/>
    <w:rsid w:val="00BC0ED6"/>
    <w:rsid w:val="00BC29C9"/>
    <w:rsid w:val="00BC40FA"/>
    <w:rsid w:val="00BD03FB"/>
    <w:rsid w:val="00BD1EC4"/>
    <w:rsid w:val="00BD3921"/>
    <w:rsid w:val="00BD4AA2"/>
    <w:rsid w:val="00BE1B31"/>
    <w:rsid w:val="00BE410F"/>
    <w:rsid w:val="00BE60BE"/>
    <w:rsid w:val="00BF09C0"/>
    <w:rsid w:val="00BF654B"/>
    <w:rsid w:val="00C0211C"/>
    <w:rsid w:val="00C04809"/>
    <w:rsid w:val="00C11329"/>
    <w:rsid w:val="00C13719"/>
    <w:rsid w:val="00C15EBD"/>
    <w:rsid w:val="00C1765C"/>
    <w:rsid w:val="00C203E1"/>
    <w:rsid w:val="00C227A9"/>
    <w:rsid w:val="00C228A4"/>
    <w:rsid w:val="00C230BA"/>
    <w:rsid w:val="00C23B4E"/>
    <w:rsid w:val="00C245AF"/>
    <w:rsid w:val="00C27164"/>
    <w:rsid w:val="00C271B8"/>
    <w:rsid w:val="00C31BEB"/>
    <w:rsid w:val="00C320F3"/>
    <w:rsid w:val="00C33393"/>
    <w:rsid w:val="00C33A69"/>
    <w:rsid w:val="00C413DF"/>
    <w:rsid w:val="00C42177"/>
    <w:rsid w:val="00C42D52"/>
    <w:rsid w:val="00C44291"/>
    <w:rsid w:val="00C44420"/>
    <w:rsid w:val="00C4452A"/>
    <w:rsid w:val="00C4659C"/>
    <w:rsid w:val="00C5304E"/>
    <w:rsid w:val="00C60E82"/>
    <w:rsid w:val="00C60F0C"/>
    <w:rsid w:val="00C61766"/>
    <w:rsid w:val="00C6275F"/>
    <w:rsid w:val="00C667DD"/>
    <w:rsid w:val="00C66F1A"/>
    <w:rsid w:val="00C712AD"/>
    <w:rsid w:val="00C74A36"/>
    <w:rsid w:val="00C7639C"/>
    <w:rsid w:val="00C80791"/>
    <w:rsid w:val="00C80F17"/>
    <w:rsid w:val="00C81258"/>
    <w:rsid w:val="00C85DB4"/>
    <w:rsid w:val="00C87440"/>
    <w:rsid w:val="00C9060C"/>
    <w:rsid w:val="00C923CA"/>
    <w:rsid w:val="00C927D5"/>
    <w:rsid w:val="00C958CC"/>
    <w:rsid w:val="00C9698A"/>
    <w:rsid w:val="00CA4276"/>
    <w:rsid w:val="00CA60FF"/>
    <w:rsid w:val="00CB0869"/>
    <w:rsid w:val="00CB1209"/>
    <w:rsid w:val="00CB227D"/>
    <w:rsid w:val="00CB3494"/>
    <w:rsid w:val="00CB3F78"/>
    <w:rsid w:val="00CB4992"/>
    <w:rsid w:val="00CB5E56"/>
    <w:rsid w:val="00CC1176"/>
    <w:rsid w:val="00CC37BA"/>
    <w:rsid w:val="00CC5B6A"/>
    <w:rsid w:val="00CD1824"/>
    <w:rsid w:val="00CD3929"/>
    <w:rsid w:val="00CD57C6"/>
    <w:rsid w:val="00CD65F7"/>
    <w:rsid w:val="00CE39F8"/>
    <w:rsid w:val="00CE587E"/>
    <w:rsid w:val="00CE6250"/>
    <w:rsid w:val="00CE688E"/>
    <w:rsid w:val="00CE7A03"/>
    <w:rsid w:val="00CF05E9"/>
    <w:rsid w:val="00CF4D41"/>
    <w:rsid w:val="00CF595E"/>
    <w:rsid w:val="00CF6B42"/>
    <w:rsid w:val="00CF7248"/>
    <w:rsid w:val="00CF72D1"/>
    <w:rsid w:val="00D01EA6"/>
    <w:rsid w:val="00D02683"/>
    <w:rsid w:val="00D068DD"/>
    <w:rsid w:val="00D16CB2"/>
    <w:rsid w:val="00D2238D"/>
    <w:rsid w:val="00D2546F"/>
    <w:rsid w:val="00D26329"/>
    <w:rsid w:val="00D31C22"/>
    <w:rsid w:val="00D325CE"/>
    <w:rsid w:val="00D37D2A"/>
    <w:rsid w:val="00D425A7"/>
    <w:rsid w:val="00D431EB"/>
    <w:rsid w:val="00D4768B"/>
    <w:rsid w:val="00D47AC3"/>
    <w:rsid w:val="00D47C17"/>
    <w:rsid w:val="00D47FE6"/>
    <w:rsid w:val="00D521BD"/>
    <w:rsid w:val="00D54D90"/>
    <w:rsid w:val="00D55A50"/>
    <w:rsid w:val="00D57CE3"/>
    <w:rsid w:val="00D622D1"/>
    <w:rsid w:val="00D64FF7"/>
    <w:rsid w:val="00D71235"/>
    <w:rsid w:val="00D71CE0"/>
    <w:rsid w:val="00D71FE4"/>
    <w:rsid w:val="00D741A6"/>
    <w:rsid w:val="00D806EB"/>
    <w:rsid w:val="00D80C19"/>
    <w:rsid w:val="00D8198E"/>
    <w:rsid w:val="00D81B3D"/>
    <w:rsid w:val="00D84140"/>
    <w:rsid w:val="00D86E22"/>
    <w:rsid w:val="00D903B4"/>
    <w:rsid w:val="00D90E4D"/>
    <w:rsid w:val="00D93D3D"/>
    <w:rsid w:val="00D9633B"/>
    <w:rsid w:val="00D96595"/>
    <w:rsid w:val="00D96BD3"/>
    <w:rsid w:val="00DA01B3"/>
    <w:rsid w:val="00DA2D4D"/>
    <w:rsid w:val="00DA2E25"/>
    <w:rsid w:val="00DA59F6"/>
    <w:rsid w:val="00DB1519"/>
    <w:rsid w:val="00DB2CF0"/>
    <w:rsid w:val="00DB4A11"/>
    <w:rsid w:val="00DB5B9C"/>
    <w:rsid w:val="00DC5121"/>
    <w:rsid w:val="00DD09D5"/>
    <w:rsid w:val="00DD0A65"/>
    <w:rsid w:val="00DD2CAC"/>
    <w:rsid w:val="00DD2FDB"/>
    <w:rsid w:val="00DD3C97"/>
    <w:rsid w:val="00DD3F87"/>
    <w:rsid w:val="00DD5F6B"/>
    <w:rsid w:val="00DD6B4A"/>
    <w:rsid w:val="00DD7175"/>
    <w:rsid w:val="00DE25C2"/>
    <w:rsid w:val="00DE5C0D"/>
    <w:rsid w:val="00DE67E9"/>
    <w:rsid w:val="00DF0062"/>
    <w:rsid w:val="00DF111B"/>
    <w:rsid w:val="00DF1266"/>
    <w:rsid w:val="00DF191C"/>
    <w:rsid w:val="00DF1C5B"/>
    <w:rsid w:val="00E031A0"/>
    <w:rsid w:val="00E03DD2"/>
    <w:rsid w:val="00E04DE0"/>
    <w:rsid w:val="00E07F72"/>
    <w:rsid w:val="00E109F8"/>
    <w:rsid w:val="00E12260"/>
    <w:rsid w:val="00E2186D"/>
    <w:rsid w:val="00E319E6"/>
    <w:rsid w:val="00E3377E"/>
    <w:rsid w:val="00E3470D"/>
    <w:rsid w:val="00E355A9"/>
    <w:rsid w:val="00E37680"/>
    <w:rsid w:val="00E425E0"/>
    <w:rsid w:val="00E44B4B"/>
    <w:rsid w:val="00E450EF"/>
    <w:rsid w:val="00E47915"/>
    <w:rsid w:val="00E526FF"/>
    <w:rsid w:val="00E57723"/>
    <w:rsid w:val="00E62457"/>
    <w:rsid w:val="00E675EE"/>
    <w:rsid w:val="00E67E80"/>
    <w:rsid w:val="00E77960"/>
    <w:rsid w:val="00E8073E"/>
    <w:rsid w:val="00E82E77"/>
    <w:rsid w:val="00E86104"/>
    <w:rsid w:val="00E919A2"/>
    <w:rsid w:val="00E9213F"/>
    <w:rsid w:val="00E959E6"/>
    <w:rsid w:val="00EA0D98"/>
    <w:rsid w:val="00EA2836"/>
    <w:rsid w:val="00EA500F"/>
    <w:rsid w:val="00EA7B86"/>
    <w:rsid w:val="00EB0D55"/>
    <w:rsid w:val="00EB49AB"/>
    <w:rsid w:val="00EB5E17"/>
    <w:rsid w:val="00EC2B48"/>
    <w:rsid w:val="00EC33C5"/>
    <w:rsid w:val="00ED18D5"/>
    <w:rsid w:val="00ED1D28"/>
    <w:rsid w:val="00ED2236"/>
    <w:rsid w:val="00ED4489"/>
    <w:rsid w:val="00ED6B9C"/>
    <w:rsid w:val="00ED76D9"/>
    <w:rsid w:val="00EE0433"/>
    <w:rsid w:val="00EE0778"/>
    <w:rsid w:val="00EE1D18"/>
    <w:rsid w:val="00EE2E66"/>
    <w:rsid w:val="00EE36A9"/>
    <w:rsid w:val="00EE6908"/>
    <w:rsid w:val="00EE6FC0"/>
    <w:rsid w:val="00EE7728"/>
    <w:rsid w:val="00EF61B8"/>
    <w:rsid w:val="00EF6977"/>
    <w:rsid w:val="00EF6D8C"/>
    <w:rsid w:val="00EF7773"/>
    <w:rsid w:val="00F00989"/>
    <w:rsid w:val="00F04050"/>
    <w:rsid w:val="00F06ACD"/>
    <w:rsid w:val="00F22F55"/>
    <w:rsid w:val="00F23CD5"/>
    <w:rsid w:val="00F25835"/>
    <w:rsid w:val="00F25D9A"/>
    <w:rsid w:val="00F267F6"/>
    <w:rsid w:val="00F270F0"/>
    <w:rsid w:val="00F3154C"/>
    <w:rsid w:val="00F31A9B"/>
    <w:rsid w:val="00F364EF"/>
    <w:rsid w:val="00F36993"/>
    <w:rsid w:val="00F371B9"/>
    <w:rsid w:val="00F426BA"/>
    <w:rsid w:val="00F44B7A"/>
    <w:rsid w:val="00F53A17"/>
    <w:rsid w:val="00F613C3"/>
    <w:rsid w:val="00F6181D"/>
    <w:rsid w:val="00F63FF6"/>
    <w:rsid w:val="00F65EF0"/>
    <w:rsid w:val="00F72090"/>
    <w:rsid w:val="00F72D14"/>
    <w:rsid w:val="00F750BD"/>
    <w:rsid w:val="00F8158F"/>
    <w:rsid w:val="00F831DD"/>
    <w:rsid w:val="00F86534"/>
    <w:rsid w:val="00F9063D"/>
    <w:rsid w:val="00F911DA"/>
    <w:rsid w:val="00F95FE5"/>
    <w:rsid w:val="00FA18A8"/>
    <w:rsid w:val="00FA48A6"/>
    <w:rsid w:val="00FA6B19"/>
    <w:rsid w:val="00FB3A71"/>
    <w:rsid w:val="00FB3E61"/>
    <w:rsid w:val="00FB425E"/>
    <w:rsid w:val="00FB6A43"/>
    <w:rsid w:val="00FB79BE"/>
    <w:rsid w:val="00FB7E02"/>
    <w:rsid w:val="00FC1823"/>
    <w:rsid w:val="00FD1BCC"/>
    <w:rsid w:val="00FD7A4D"/>
    <w:rsid w:val="00FD7E1C"/>
    <w:rsid w:val="00FE2309"/>
    <w:rsid w:val="00FF0490"/>
    <w:rsid w:val="00FF0761"/>
    <w:rsid w:val="00FF6199"/>
    <w:rsid w:val="00FF76BB"/>
    <w:rsid w:val="01250FAA"/>
    <w:rsid w:val="01345671"/>
    <w:rsid w:val="01C7599B"/>
    <w:rsid w:val="02535CBD"/>
    <w:rsid w:val="0306477A"/>
    <w:rsid w:val="032D0804"/>
    <w:rsid w:val="03922A1E"/>
    <w:rsid w:val="03DE563B"/>
    <w:rsid w:val="040D3AEF"/>
    <w:rsid w:val="043C540B"/>
    <w:rsid w:val="04675D48"/>
    <w:rsid w:val="04E246B9"/>
    <w:rsid w:val="04FA0758"/>
    <w:rsid w:val="050A23E8"/>
    <w:rsid w:val="052E47BF"/>
    <w:rsid w:val="0531554D"/>
    <w:rsid w:val="062A142B"/>
    <w:rsid w:val="06480E75"/>
    <w:rsid w:val="06874834"/>
    <w:rsid w:val="07402ACD"/>
    <w:rsid w:val="076B386E"/>
    <w:rsid w:val="07720DAD"/>
    <w:rsid w:val="07B57948"/>
    <w:rsid w:val="082161B9"/>
    <w:rsid w:val="082513C4"/>
    <w:rsid w:val="085B3680"/>
    <w:rsid w:val="090B146D"/>
    <w:rsid w:val="097051C1"/>
    <w:rsid w:val="09903C9B"/>
    <w:rsid w:val="099E15D3"/>
    <w:rsid w:val="0A2F0DBE"/>
    <w:rsid w:val="0B4B60CB"/>
    <w:rsid w:val="0BB97082"/>
    <w:rsid w:val="0BF202F5"/>
    <w:rsid w:val="0C1E430C"/>
    <w:rsid w:val="0C9E333F"/>
    <w:rsid w:val="0CB213E3"/>
    <w:rsid w:val="0CBB24DC"/>
    <w:rsid w:val="0CD00695"/>
    <w:rsid w:val="0D6D3186"/>
    <w:rsid w:val="0D7C3E4D"/>
    <w:rsid w:val="0E1C70B3"/>
    <w:rsid w:val="0E4F7E81"/>
    <w:rsid w:val="0E652804"/>
    <w:rsid w:val="0E9B25B1"/>
    <w:rsid w:val="0ED71A24"/>
    <w:rsid w:val="0EDE7171"/>
    <w:rsid w:val="0F690FDB"/>
    <w:rsid w:val="0F7A6F7F"/>
    <w:rsid w:val="0FE2772A"/>
    <w:rsid w:val="0FF65345"/>
    <w:rsid w:val="10132DEE"/>
    <w:rsid w:val="10433AA0"/>
    <w:rsid w:val="106D63DE"/>
    <w:rsid w:val="107833C9"/>
    <w:rsid w:val="10B4465E"/>
    <w:rsid w:val="116D7109"/>
    <w:rsid w:val="11884EE0"/>
    <w:rsid w:val="11D5049D"/>
    <w:rsid w:val="12674CE1"/>
    <w:rsid w:val="12D1580B"/>
    <w:rsid w:val="12DA5976"/>
    <w:rsid w:val="12E91871"/>
    <w:rsid w:val="12FC083F"/>
    <w:rsid w:val="13905BD1"/>
    <w:rsid w:val="13F45629"/>
    <w:rsid w:val="140454DF"/>
    <w:rsid w:val="140B4870"/>
    <w:rsid w:val="148856E0"/>
    <w:rsid w:val="14885D40"/>
    <w:rsid w:val="14D004C9"/>
    <w:rsid w:val="150E4C70"/>
    <w:rsid w:val="153E474B"/>
    <w:rsid w:val="161F1ABD"/>
    <w:rsid w:val="165A2C56"/>
    <w:rsid w:val="168F5FDB"/>
    <w:rsid w:val="16A735A1"/>
    <w:rsid w:val="16C32C8A"/>
    <w:rsid w:val="16FA23BD"/>
    <w:rsid w:val="17392474"/>
    <w:rsid w:val="17486DE1"/>
    <w:rsid w:val="17CA391D"/>
    <w:rsid w:val="17D31556"/>
    <w:rsid w:val="17E62E44"/>
    <w:rsid w:val="17F058D3"/>
    <w:rsid w:val="180B10BC"/>
    <w:rsid w:val="182041E1"/>
    <w:rsid w:val="18330B67"/>
    <w:rsid w:val="184472E3"/>
    <w:rsid w:val="1856136E"/>
    <w:rsid w:val="18B007E4"/>
    <w:rsid w:val="18D41DF4"/>
    <w:rsid w:val="18E8475A"/>
    <w:rsid w:val="190F698A"/>
    <w:rsid w:val="194905E6"/>
    <w:rsid w:val="195E7D2D"/>
    <w:rsid w:val="1AC8397F"/>
    <w:rsid w:val="1B415C63"/>
    <w:rsid w:val="1B497031"/>
    <w:rsid w:val="1B7C5E42"/>
    <w:rsid w:val="1BBC5B80"/>
    <w:rsid w:val="1C320CD3"/>
    <w:rsid w:val="1C47643B"/>
    <w:rsid w:val="1D2B7DA0"/>
    <w:rsid w:val="1D2C5322"/>
    <w:rsid w:val="1D4C0439"/>
    <w:rsid w:val="1D69418F"/>
    <w:rsid w:val="1D747964"/>
    <w:rsid w:val="1E2A3A93"/>
    <w:rsid w:val="1E6D1FEC"/>
    <w:rsid w:val="1E786D7F"/>
    <w:rsid w:val="1E866ADB"/>
    <w:rsid w:val="1EA3552F"/>
    <w:rsid w:val="1EF33A36"/>
    <w:rsid w:val="1F901050"/>
    <w:rsid w:val="20457297"/>
    <w:rsid w:val="2079788B"/>
    <w:rsid w:val="20BE6161"/>
    <w:rsid w:val="21264DEE"/>
    <w:rsid w:val="215A7AFB"/>
    <w:rsid w:val="21955B88"/>
    <w:rsid w:val="21F1213D"/>
    <w:rsid w:val="228069B8"/>
    <w:rsid w:val="22CE35B4"/>
    <w:rsid w:val="22F4274D"/>
    <w:rsid w:val="23250775"/>
    <w:rsid w:val="234A0E94"/>
    <w:rsid w:val="23700CF2"/>
    <w:rsid w:val="237B27E8"/>
    <w:rsid w:val="23D5665A"/>
    <w:rsid w:val="240C5CC9"/>
    <w:rsid w:val="241A30E0"/>
    <w:rsid w:val="24303C58"/>
    <w:rsid w:val="24325DD2"/>
    <w:rsid w:val="24415E66"/>
    <w:rsid w:val="24782489"/>
    <w:rsid w:val="24DC3A2B"/>
    <w:rsid w:val="25817046"/>
    <w:rsid w:val="26580569"/>
    <w:rsid w:val="269C2FE0"/>
    <w:rsid w:val="26B4256D"/>
    <w:rsid w:val="272C2F9C"/>
    <w:rsid w:val="274F301E"/>
    <w:rsid w:val="275829B8"/>
    <w:rsid w:val="275C0BA1"/>
    <w:rsid w:val="276A4541"/>
    <w:rsid w:val="27A13433"/>
    <w:rsid w:val="27A6670B"/>
    <w:rsid w:val="27D7032D"/>
    <w:rsid w:val="27E15995"/>
    <w:rsid w:val="27E773E3"/>
    <w:rsid w:val="29497BB8"/>
    <w:rsid w:val="29BF3AB4"/>
    <w:rsid w:val="29C05690"/>
    <w:rsid w:val="29C9359B"/>
    <w:rsid w:val="29DE2ABA"/>
    <w:rsid w:val="2A226C4E"/>
    <w:rsid w:val="2A437E8A"/>
    <w:rsid w:val="2AB949A8"/>
    <w:rsid w:val="2AF33E31"/>
    <w:rsid w:val="2B231E21"/>
    <w:rsid w:val="2B2838DB"/>
    <w:rsid w:val="2B2C741B"/>
    <w:rsid w:val="2B3D7C93"/>
    <w:rsid w:val="2B575DAC"/>
    <w:rsid w:val="2BE07F68"/>
    <w:rsid w:val="2C5B55EB"/>
    <w:rsid w:val="2CA75AE7"/>
    <w:rsid w:val="2CBF0A61"/>
    <w:rsid w:val="2CDA0922"/>
    <w:rsid w:val="2E6B64E8"/>
    <w:rsid w:val="2E8839B5"/>
    <w:rsid w:val="2ECB4CA9"/>
    <w:rsid w:val="2EEE71CA"/>
    <w:rsid w:val="2F643624"/>
    <w:rsid w:val="2F7E7FAF"/>
    <w:rsid w:val="2F9E27AB"/>
    <w:rsid w:val="2FA539B8"/>
    <w:rsid w:val="2FAC4C6D"/>
    <w:rsid w:val="2FD24FAA"/>
    <w:rsid w:val="301E24B6"/>
    <w:rsid w:val="30680149"/>
    <w:rsid w:val="309C5DF7"/>
    <w:rsid w:val="30A1391A"/>
    <w:rsid w:val="317671A2"/>
    <w:rsid w:val="318E12DA"/>
    <w:rsid w:val="319739E6"/>
    <w:rsid w:val="31D42AC1"/>
    <w:rsid w:val="32931E9A"/>
    <w:rsid w:val="32DC2F6D"/>
    <w:rsid w:val="332E4821"/>
    <w:rsid w:val="334872D7"/>
    <w:rsid w:val="34441786"/>
    <w:rsid w:val="349D4EF8"/>
    <w:rsid w:val="34A94151"/>
    <w:rsid w:val="351340B0"/>
    <w:rsid w:val="35230593"/>
    <w:rsid w:val="3552065D"/>
    <w:rsid w:val="358F26B1"/>
    <w:rsid w:val="35A244E0"/>
    <w:rsid w:val="36492AC3"/>
    <w:rsid w:val="36F13077"/>
    <w:rsid w:val="37721692"/>
    <w:rsid w:val="37A31088"/>
    <w:rsid w:val="37E85736"/>
    <w:rsid w:val="37EC32F3"/>
    <w:rsid w:val="37F263E4"/>
    <w:rsid w:val="37FB5A6A"/>
    <w:rsid w:val="380B0833"/>
    <w:rsid w:val="384743A7"/>
    <w:rsid w:val="386E773B"/>
    <w:rsid w:val="38905890"/>
    <w:rsid w:val="38EF7380"/>
    <w:rsid w:val="38FA68B7"/>
    <w:rsid w:val="39393550"/>
    <w:rsid w:val="39D36C1B"/>
    <w:rsid w:val="3A4D2A17"/>
    <w:rsid w:val="3A64537B"/>
    <w:rsid w:val="3B012D08"/>
    <w:rsid w:val="3B1245F2"/>
    <w:rsid w:val="3B975AF9"/>
    <w:rsid w:val="3BB23479"/>
    <w:rsid w:val="3BB55DB6"/>
    <w:rsid w:val="3BDA2DE2"/>
    <w:rsid w:val="3C2679B1"/>
    <w:rsid w:val="3C704570"/>
    <w:rsid w:val="3CB05B01"/>
    <w:rsid w:val="3D001D3A"/>
    <w:rsid w:val="3D023DAD"/>
    <w:rsid w:val="3D213A9A"/>
    <w:rsid w:val="3D4E46C4"/>
    <w:rsid w:val="3D7421DE"/>
    <w:rsid w:val="3DAE76D6"/>
    <w:rsid w:val="3DC7223E"/>
    <w:rsid w:val="3DD665B8"/>
    <w:rsid w:val="3E225757"/>
    <w:rsid w:val="3E3D5B35"/>
    <w:rsid w:val="3E706C69"/>
    <w:rsid w:val="3E7A50D5"/>
    <w:rsid w:val="3EEF10E6"/>
    <w:rsid w:val="3F34083F"/>
    <w:rsid w:val="3F744FCC"/>
    <w:rsid w:val="3F932C7E"/>
    <w:rsid w:val="3FA808F2"/>
    <w:rsid w:val="403321D5"/>
    <w:rsid w:val="40447723"/>
    <w:rsid w:val="405A0191"/>
    <w:rsid w:val="40A757A9"/>
    <w:rsid w:val="41AC1E28"/>
    <w:rsid w:val="41B525D9"/>
    <w:rsid w:val="41D25AB2"/>
    <w:rsid w:val="41D947FB"/>
    <w:rsid w:val="41F2243E"/>
    <w:rsid w:val="41FD6A4D"/>
    <w:rsid w:val="42427025"/>
    <w:rsid w:val="42F635E1"/>
    <w:rsid w:val="42FC0760"/>
    <w:rsid w:val="42FD48E6"/>
    <w:rsid w:val="43004699"/>
    <w:rsid w:val="43A80303"/>
    <w:rsid w:val="44190F72"/>
    <w:rsid w:val="441946FE"/>
    <w:rsid w:val="443E3768"/>
    <w:rsid w:val="444E3BBC"/>
    <w:rsid w:val="44906321"/>
    <w:rsid w:val="44A142A6"/>
    <w:rsid w:val="44BF0930"/>
    <w:rsid w:val="4519517E"/>
    <w:rsid w:val="455956C7"/>
    <w:rsid w:val="45B629CA"/>
    <w:rsid w:val="45DD5596"/>
    <w:rsid w:val="46241287"/>
    <w:rsid w:val="46841EBD"/>
    <w:rsid w:val="46FB7453"/>
    <w:rsid w:val="46FE4772"/>
    <w:rsid w:val="473778C0"/>
    <w:rsid w:val="47572FD5"/>
    <w:rsid w:val="47A43C51"/>
    <w:rsid w:val="47E953A3"/>
    <w:rsid w:val="47F07B7C"/>
    <w:rsid w:val="480B1AEC"/>
    <w:rsid w:val="48122920"/>
    <w:rsid w:val="48A9157E"/>
    <w:rsid w:val="48AC03E6"/>
    <w:rsid w:val="49077647"/>
    <w:rsid w:val="491B368D"/>
    <w:rsid w:val="491E64A4"/>
    <w:rsid w:val="492139EC"/>
    <w:rsid w:val="4953073D"/>
    <w:rsid w:val="495B2E74"/>
    <w:rsid w:val="49732569"/>
    <w:rsid w:val="49B5727C"/>
    <w:rsid w:val="49D044E0"/>
    <w:rsid w:val="4A181E01"/>
    <w:rsid w:val="4B203BCE"/>
    <w:rsid w:val="4B9C0EC1"/>
    <w:rsid w:val="4B9C20D1"/>
    <w:rsid w:val="4BB66CFE"/>
    <w:rsid w:val="4BFA4884"/>
    <w:rsid w:val="4C296E5D"/>
    <w:rsid w:val="4C4B3A17"/>
    <w:rsid w:val="4C675BBA"/>
    <w:rsid w:val="4C6D519A"/>
    <w:rsid w:val="4C8524E4"/>
    <w:rsid w:val="4CA54934"/>
    <w:rsid w:val="4D502AF2"/>
    <w:rsid w:val="4D653E7C"/>
    <w:rsid w:val="4D872930"/>
    <w:rsid w:val="4D9B4F10"/>
    <w:rsid w:val="4DD454D1"/>
    <w:rsid w:val="4E1E499E"/>
    <w:rsid w:val="4E296E9F"/>
    <w:rsid w:val="4F1B0CA3"/>
    <w:rsid w:val="4F583EE0"/>
    <w:rsid w:val="4F625B31"/>
    <w:rsid w:val="4F972D63"/>
    <w:rsid w:val="4FAD3440"/>
    <w:rsid w:val="503F22EF"/>
    <w:rsid w:val="508A120D"/>
    <w:rsid w:val="50B116A6"/>
    <w:rsid w:val="50D63C53"/>
    <w:rsid w:val="50E55A65"/>
    <w:rsid w:val="50EA500B"/>
    <w:rsid w:val="51F015A9"/>
    <w:rsid w:val="51F36142"/>
    <w:rsid w:val="520E3379"/>
    <w:rsid w:val="523C1836"/>
    <w:rsid w:val="5244192F"/>
    <w:rsid w:val="5284081E"/>
    <w:rsid w:val="535C7B6E"/>
    <w:rsid w:val="53EE0122"/>
    <w:rsid w:val="54226CAA"/>
    <w:rsid w:val="546346E0"/>
    <w:rsid w:val="547A5E2D"/>
    <w:rsid w:val="54C15338"/>
    <w:rsid w:val="551D0B3E"/>
    <w:rsid w:val="5534193F"/>
    <w:rsid w:val="5595732B"/>
    <w:rsid w:val="55A74BD4"/>
    <w:rsid w:val="55CD1571"/>
    <w:rsid w:val="56463D38"/>
    <w:rsid w:val="567E3972"/>
    <w:rsid w:val="56893FC6"/>
    <w:rsid w:val="56B76EA7"/>
    <w:rsid w:val="56C447D7"/>
    <w:rsid w:val="57092343"/>
    <w:rsid w:val="5712189A"/>
    <w:rsid w:val="57690A53"/>
    <w:rsid w:val="57A505A5"/>
    <w:rsid w:val="57BD71EE"/>
    <w:rsid w:val="580F292E"/>
    <w:rsid w:val="58317CB3"/>
    <w:rsid w:val="585A340C"/>
    <w:rsid w:val="5882274A"/>
    <w:rsid w:val="58AD13D4"/>
    <w:rsid w:val="58DF1328"/>
    <w:rsid w:val="58E72DDD"/>
    <w:rsid w:val="58EB7B73"/>
    <w:rsid w:val="59095812"/>
    <w:rsid w:val="596F21A5"/>
    <w:rsid w:val="59D1745A"/>
    <w:rsid w:val="5A74239D"/>
    <w:rsid w:val="5A8A3676"/>
    <w:rsid w:val="5B025A3D"/>
    <w:rsid w:val="5B271151"/>
    <w:rsid w:val="5B8D0F6F"/>
    <w:rsid w:val="5BD4502B"/>
    <w:rsid w:val="5BDD2E99"/>
    <w:rsid w:val="5C0F2F6E"/>
    <w:rsid w:val="5C45621E"/>
    <w:rsid w:val="5C4C52DB"/>
    <w:rsid w:val="5CF41751"/>
    <w:rsid w:val="5D0E0909"/>
    <w:rsid w:val="5D9D2862"/>
    <w:rsid w:val="5DA3437F"/>
    <w:rsid w:val="5DA9216B"/>
    <w:rsid w:val="5DB3137C"/>
    <w:rsid w:val="5E18785A"/>
    <w:rsid w:val="5EE83923"/>
    <w:rsid w:val="5EEC63F2"/>
    <w:rsid w:val="5F010E22"/>
    <w:rsid w:val="5F2B4067"/>
    <w:rsid w:val="5F501DCF"/>
    <w:rsid w:val="5F520C85"/>
    <w:rsid w:val="5FB46BCC"/>
    <w:rsid w:val="5FB73345"/>
    <w:rsid w:val="5FD52118"/>
    <w:rsid w:val="605A694F"/>
    <w:rsid w:val="60733604"/>
    <w:rsid w:val="609B6E5C"/>
    <w:rsid w:val="61593DA4"/>
    <w:rsid w:val="615D5176"/>
    <w:rsid w:val="61881E7A"/>
    <w:rsid w:val="61A206A8"/>
    <w:rsid w:val="61B6395F"/>
    <w:rsid w:val="62325A97"/>
    <w:rsid w:val="628066A1"/>
    <w:rsid w:val="62DA35E2"/>
    <w:rsid w:val="62DF1702"/>
    <w:rsid w:val="6361718A"/>
    <w:rsid w:val="643267CE"/>
    <w:rsid w:val="648E684D"/>
    <w:rsid w:val="649B384B"/>
    <w:rsid w:val="64D7468C"/>
    <w:rsid w:val="65104908"/>
    <w:rsid w:val="651223E6"/>
    <w:rsid w:val="6552357B"/>
    <w:rsid w:val="65744AB3"/>
    <w:rsid w:val="65E777A8"/>
    <w:rsid w:val="66944E08"/>
    <w:rsid w:val="66D97280"/>
    <w:rsid w:val="67127D2F"/>
    <w:rsid w:val="673A0AB2"/>
    <w:rsid w:val="674548F2"/>
    <w:rsid w:val="67BD4E3B"/>
    <w:rsid w:val="68030A35"/>
    <w:rsid w:val="68122CA4"/>
    <w:rsid w:val="681757FC"/>
    <w:rsid w:val="682123F9"/>
    <w:rsid w:val="692210E3"/>
    <w:rsid w:val="692B46BD"/>
    <w:rsid w:val="69747710"/>
    <w:rsid w:val="69843F4B"/>
    <w:rsid w:val="699948B7"/>
    <w:rsid w:val="6AA33E09"/>
    <w:rsid w:val="6ABB09AA"/>
    <w:rsid w:val="6B4B1AA9"/>
    <w:rsid w:val="6B5550B4"/>
    <w:rsid w:val="6B6C7A0C"/>
    <w:rsid w:val="6BBD67BE"/>
    <w:rsid w:val="6BD02628"/>
    <w:rsid w:val="6C2F73AD"/>
    <w:rsid w:val="6C807011"/>
    <w:rsid w:val="6C893682"/>
    <w:rsid w:val="6CBB2882"/>
    <w:rsid w:val="6D05797C"/>
    <w:rsid w:val="6D3C4A99"/>
    <w:rsid w:val="6D4432FB"/>
    <w:rsid w:val="6D5B09CB"/>
    <w:rsid w:val="6D8001BF"/>
    <w:rsid w:val="6E4F1419"/>
    <w:rsid w:val="6EAF23E8"/>
    <w:rsid w:val="6F9F55EB"/>
    <w:rsid w:val="6FAC3CC5"/>
    <w:rsid w:val="70791CD0"/>
    <w:rsid w:val="70DD217D"/>
    <w:rsid w:val="70F13736"/>
    <w:rsid w:val="71693695"/>
    <w:rsid w:val="71CE3877"/>
    <w:rsid w:val="71FA350A"/>
    <w:rsid w:val="72E17764"/>
    <w:rsid w:val="745F3497"/>
    <w:rsid w:val="74761369"/>
    <w:rsid w:val="74C92AAC"/>
    <w:rsid w:val="75E22BE3"/>
    <w:rsid w:val="76454269"/>
    <w:rsid w:val="76750D3C"/>
    <w:rsid w:val="77483C3A"/>
    <w:rsid w:val="782B4D19"/>
    <w:rsid w:val="784B6E48"/>
    <w:rsid w:val="785F76AF"/>
    <w:rsid w:val="78632E71"/>
    <w:rsid w:val="78892DCF"/>
    <w:rsid w:val="78900E2A"/>
    <w:rsid w:val="79160411"/>
    <w:rsid w:val="792C5A00"/>
    <w:rsid w:val="796E5F2A"/>
    <w:rsid w:val="79A951B4"/>
    <w:rsid w:val="79AA73DE"/>
    <w:rsid w:val="79E52553"/>
    <w:rsid w:val="7A0C018E"/>
    <w:rsid w:val="7A6067B9"/>
    <w:rsid w:val="7A76733E"/>
    <w:rsid w:val="7B266664"/>
    <w:rsid w:val="7B6E38B7"/>
    <w:rsid w:val="7B9F205C"/>
    <w:rsid w:val="7C7371D7"/>
    <w:rsid w:val="7C9E022C"/>
    <w:rsid w:val="7CB40333"/>
    <w:rsid w:val="7CD44F97"/>
    <w:rsid w:val="7CE33DF2"/>
    <w:rsid w:val="7D1E09AE"/>
    <w:rsid w:val="7D857488"/>
    <w:rsid w:val="7DA4016C"/>
    <w:rsid w:val="7DBD4D8A"/>
    <w:rsid w:val="7E9576AD"/>
    <w:rsid w:val="7ED152F5"/>
    <w:rsid w:val="7F2B2DD8"/>
    <w:rsid w:val="7F604D85"/>
    <w:rsid w:val="7FA362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56"/>
    <w:autoRedefine/>
    <w:qFormat/>
    <w:uiPriority w:val="0"/>
    <w:pPr>
      <w:keepNext/>
      <w:keepLines/>
      <w:tabs>
        <w:tab w:val="left" w:pos="425"/>
      </w:tabs>
      <w:spacing w:before="340" w:after="330" w:line="360" w:lineRule="auto"/>
      <w:ind w:left="4265" w:hanging="425"/>
      <w:jc w:val="center"/>
      <w:outlineLvl w:val="0"/>
    </w:pPr>
    <w:rPr>
      <w:rFonts w:ascii="华文中宋" w:hAnsi="华文中宋" w:eastAsia="华文中宋"/>
      <w:b/>
      <w:bCs/>
      <w:color w:val="000000"/>
      <w:kern w:val="44"/>
      <w:sz w:val="32"/>
      <w:szCs w:val="32"/>
    </w:rPr>
  </w:style>
  <w:style w:type="paragraph" w:styleId="3">
    <w:name w:val="heading 2"/>
    <w:basedOn w:val="1"/>
    <w:next w:val="1"/>
    <w:autoRedefine/>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66"/>
    <w:autoRedefine/>
    <w:qFormat/>
    <w:uiPriority w:val="0"/>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5">
    <w:name w:val="heading 4"/>
    <w:basedOn w:val="1"/>
    <w:next w:val="1"/>
    <w:link w:val="82"/>
    <w:autoRedefine/>
    <w:qFormat/>
    <w:uiPriority w:val="0"/>
    <w:pPr>
      <w:keepNext/>
      <w:spacing w:before="240" w:after="60"/>
      <w:outlineLvl w:val="3"/>
    </w:pPr>
    <w:rPr>
      <w:b/>
      <w:bCs/>
      <w:sz w:val="28"/>
      <w:szCs w:val="28"/>
    </w:rPr>
  </w:style>
  <w:style w:type="paragraph" w:styleId="6">
    <w:name w:val="heading 5"/>
    <w:basedOn w:val="1"/>
    <w:next w:val="1"/>
    <w:link w:val="86"/>
    <w:autoRedefine/>
    <w:qFormat/>
    <w:uiPriority w:val="0"/>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7">
    <w:name w:val="heading 6"/>
    <w:basedOn w:val="1"/>
    <w:next w:val="1"/>
    <w:autoRedefine/>
    <w:qFormat/>
    <w:uiPriority w:val="0"/>
    <w:pPr>
      <w:keepNext/>
      <w:keepLines/>
      <w:widowControl w:val="0"/>
      <w:tabs>
        <w:tab w:val="left" w:pos="4974"/>
      </w:tabs>
      <w:spacing w:before="240" w:after="64" w:line="319" w:lineRule="auto"/>
      <w:ind w:left="4974" w:hanging="1134"/>
      <w:jc w:val="both"/>
      <w:outlineLvl w:val="5"/>
    </w:pPr>
    <w:rPr>
      <w:rFonts w:ascii="Arial" w:hAnsi="Arial" w:eastAsia="黑体"/>
      <w:b/>
      <w:bCs/>
      <w:kern w:val="2"/>
    </w:rPr>
  </w:style>
  <w:style w:type="paragraph" w:styleId="8">
    <w:name w:val="heading 7"/>
    <w:basedOn w:val="1"/>
    <w:next w:val="1"/>
    <w:autoRedefine/>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autoRedefine/>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autoRedefine/>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autoRedefine/>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widowControl w:val="0"/>
      <w:ind w:left="1080"/>
    </w:pPr>
    <w:rPr>
      <w:kern w:val="2"/>
      <w:sz w:val="18"/>
      <w:szCs w:val="20"/>
    </w:rPr>
  </w:style>
  <w:style w:type="paragraph" w:styleId="12">
    <w:name w:val="Normal Indent"/>
    <w:basedOn w:val="1"/>
    <w:link w:val="101"/>
    <w:autoRedefine/>
    <w:qFormat/>
    <w:uiPriority w:val="0"/>
    <w:pPr>
      <w:widowControl w:val="0"/>
      <w:spacing w:line="360" w:lineRule="auto"/>
      <w:ind w:firstLine="420" w:firstLineChars="200"/>
      <w:jc w:val="both"/>
    </w:pPr>
    <w:rPr>
      <w:kern w:val="2"/>
      <w:sz w:val="21"/>
    </w:rPr>
  </w:style>
  <w:style w:type="paragraph" w:styleId="13">
    <w:name w:val="caption"/>
    <w:basedOn w:val="1"/>
    <w:next w:val="1"/>
    <w:autoRedefine/>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103"/>
    <w:autoRedefine/>
    <w:qFormat/>
    <w:uiPriority w:val="0"/>
    <w:pPr>
      <w:shd w:val="clear" w:color="auto" w:fill="000080"/>
    </w:pPr>
  </w:style>
  <w:style w:type="paragraph" w:styleId="15">
    <w:name w:val="annotation text"/>
    <w:basedOn w:val="1"/>
    <w:link w:val="113"/>
    <w:autoRedefine/>
    <w:qFormat/>
    <w:uiPriority w:val="0"/>
    <w:pPr>
      <w:widowControl w:val="0"/>
    </w:pPr>
    <w:rPr>
      <w:kern w:val="2"/>
      <w:sz w:val="18"/>
      <w:szCs w:val="20"/>
    </w:rPr>
  </w:style>
  <w:style w:type="paragraph" w:styleId="16">
    <w:name w:val="Salutation"/>
    <w:basedOn w:val="1"/>
    <w:next w:val="1"/>
    <w:autoRedefine/>
    <w:qFormat/>
    <w:uiPriority w:val="0"/>
    <w:pPr>
      <w:widowControl w:val="0"/>
      <w:jc w:val="both"/>
    </w:pPr>
    <w:rPr>
      <w:rFonts w:eastAsia="黑体"/>
      <w:kern w:val="2"/>
      <w:szCs w:val="20"/>
    </w:rPr>
  </w:style>
  <w:style w:type="paragraph" w:styleId="17">
    <w:name w:val="Body Text 3"/>
    <w:basedOn w:val="1"/>
    <w:autoRedefine/>
    <w:qFormat/>
    <w:uiPriority w:val="0"/>
    <w:pPr>
      <w:spacing w:after="120"/>
    </w:pPr>
    <w:rPr>
      <w:sz w:val="16"/>
      <w:szCs w:val="16"/>
    </w:rPr>
  </w:style>
  <w:style w:type="paragraph" w:styleId="18">
    <w:name w:val="Body Text"/>
    <w:basedOn w:val="1"/>
    <w:link w:val="95"/>
    <w:autoRedefine/>
    <w:qFormat/>
    <w:uiPriority w:val="0"/>
    <w:pPr>
      <w:spacing w:after="120"/>
    </w:pPr>
  </w:style>
  <w:style w:type="paragraph" w:styleId="19">
    <w:name w:val="Body Text Indent"/>
    <w:basedOn w:val="1"/>
    <w:link w:val="93"/>
    <w:autoRedefine/>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autoRedefine/>
    <w:qFormat/>
    <w:uiPriority w:val="0"/>
    <w:pPr>
      <w:widowControl w:val="0"/>
      <w:ind w:left="-540" w:leftChars="-257" w:right="-334" w:rightChars="-159" w:firstLine="540" w:firstLineChars="180"/>
      <w:jc w:val="both"/>
    </w:pPr>
    <w:rPr>
      <w:kern w:val="2"/>
      <w:sz w:val="30"/>
    </w:rPr>
  </w:style>
  <w:style w:type="paragraph" w:styleId="21">
    <w:name w:val="toc 5"/>
    <w:basedOn w:val="1"/>
    <w:next w:val="1"/>
    <w:autoRedefine/>
    <w:qFormat/>
    <w:uiPriority w:val="0"/>
    <w:pPr>
      <w:widowControl w:val="0"/>
      <w:ind w:left="720"/>
    </w:pPr>
    <w:rPr>
      <w:kern w:val="2"/>
      <w:sz w:val="18"/>
      <w:szCs w:val="20"/>
    </w:rPr>
  </w:style>
  <w:style w:type="paragraph" w:styleId="22">
    <w:name w:val="toc 3"/>
    <w:basedOn w:val="1"/>
    <w:next w:val="1"/>
    <w:autoRedefine/>
    <w:qFormat/>
    <w:uiPriority w:val="39"/>
    <w:pPr>
      <w:widowControl w:val="0"/>
      <w:ind w:left="360"/>
    </w:pPr>
    <w:rPr>
      <w:i/>
      <w:kern w:val="2"/>
      <w:sz w:val="20"/>
      <w:szCs w:val="20"/>
    </w:rPr>
  </w:style>
  <w:style w:type="paragraph" w:styleId="23">
    <w:name w:val="Plain Text"/>
    <w:basedOn w:val="1"/>
    <w:link w:val="84"/>
    <w:autoRedefine/>
    <w:qFormat/>
    <w:uiPriority w:val="99"/>
    <w:pPr>
      <w:widowControl w:val="0"/>
      <w:autoSpaceDE w:val="0"/>
      <w:autoSpaceDN w:val="0"/>
      <w:adjustRightInd w:val="0"/>
      <w:jc w:val="both"/>
    </w:pPr>
    <w:rPr>
      <w:rFonts w:hint="eastAsia" w:ascii="宋体" w:hAnsi="Tms Rmn"/>
      <w:sz w:val="21"/>
      <w:szCs w:val="20"/>
    </w:rPr>
  </w:style>
  <w:style w:type="paragraph" w:styleId="24">
    <w:name w:val="toc 8"/>
    <w:basedOn w:val="1"/>
    <w:next w:val="1"/>
    <w:autoRedefine/>
    <w:qFormat/>
    <w:uiPriority w:val="0"/>
    <w:pPr>
      <w:widowControl w:val="0"/>
      <w:ind w:left="1260"/>
    </w:pPr>
    <w:rPr>
      <w:kern w:val="2"/>
      <w:sz w:val="18"/>
      <w:szCs w:val="20"/>
    </w:rPr>
  </w:style>
  <w:style w:type="paragraph" w:styleId="25">
    <w:name w:val="Date"/>
    <w:basedOn w:val="1"/>
    <w:next w:val="1"/>
    <w:link w:val="111"/>
    <w:autoRedefine/>
    <w:qFormat/>
    <w:uiPriority w:val="0"/>
    <w:pPr>
      <w:ind w:left="100" w:leftChars="2500"/>
    </w:pPr>
  </w:style>
  <w:style w:type="paragraph" w:styleId="26">
    <w:name w:val="Body Text Indent 2"/>
    <w:basedOn w:val="1"/>
    <w:autoRedefine/>
    <w:qFormat/>
    <w:uiPriority w:val="0"/>
    <w:pPr>
      <w:widowControl w:val="0"/>
      <w:ind w:firstLine="540" w:firstLineChars="257"/>
      <w:jc w:val="both"/>
    </w:pPr>
    <w:rPr>
      <w:kern w:val="2"/>
      <w:sz w:val="21"/>
    </w:rPr>
  </w:style>
  <w:style w:type="paragraph" w:styleId="27">
    <w:name w:val="Balloon Text"/>
    <w:basedOn w:val="1"/>
    <w:autoRedefine/>
    <w:qFormat/>
    <w:uiPriority w:val="0"/>
    <w:rPr>
      <w:sz w:val="18"/>
      <w:szCs w:val="18"/>
    </w:rPr>
  </w:style>
  <w:style w:type="paragraph" w:styleId="28">
    <w:name w:val="footer"/>
    <w:basedOn w:val="1"/>
    <w:link w:val="67"/>
    <w:autoRedefine/>
    <w:qFormat/>
    <w:uiPriority w:val="99"/>
    <w:pPr>
      <w:tabs>
        <w:tab w:val="center" w:pos="4153"/>
        <w:tab w:val="right" w:pos="8306"/>
      </w:tabs>
      <w:snapToGrid w:val="0"/>
    </w:pPr>
    <w:rPr>
      <w:sz w:val="18"/>
      <w:szCs w:val="18"/>
    </w:rPr>
  </w:style>
  <w:style w:type="paragraph" w:styleId="29">
    <w:name w:val="header"/>
    <w:basedOn w:val="1"/>
    <w:link w:val="72"/>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pPr>
    <w:rPr>
      <w:b/>
      <w:bCs/>
      <w:caps/>
      <w:szCs w:val="20"/>
    </w:rPr>
  </w:style>
  <w:style w:type="paragraph" w:styleId="31">
    <w:name w:val="toc 4"/>
    <w:basedOn w:val="1"/>
    <w:next w:val="1"/>
    <w:autoRedefine/>
    <w:qFormat/>
    <w:uiPriority w:val="0"/>
    <w:pPr>
      <w:widowControl w:val="0"/>
      <w:ind w:left="540"/>
    </w:pPr>
    <w:rPr>
      <w:kern w:val="2"/>
      <w:sz w:val="18"/>
      <w:szCs w:val="20"/>
    </w:rPr>
  </w:style>
  <w:style w:type="paragraph" w:styleId="32">
    <w:name w:val="Subtitle"/>
    <w:basedOn w:val="1"/>
    <w:next w:val="1"/>
    <w:autoRedefine/>
    <w:qFormat/>
    <w:uiPriority w:val="0"/>
    <w:pPr>
      <w:widowControl w:val="0"/>
      <w:jc w:val="both"/>
    </w:pPr>
    <w:rPr>
      <w:kern w:val="2"/>
      <w:sz w:val="28"/>
      <w:szCs w:val="20"/>
    </w:rPr>
  </w:style>
  <w:style w:type="paragraph" w:styleId="33">
    <w:name w:val="toc 6"/>
    <w:basedOn w:val="1"/>
    <w:next w:val="1"/>
    <w:autoRedefine/>
    <w:qFormat/>
    <w:uiPriority w:val="0"/>
    <w:pPr>
      <w:ind w:left="1200"/>
    </w:pPr>
    <w:rPr>
      <w:sz w:val="18"/>
      <w:szCs w:val="18"/>
    </w:rPr>
  </w:style>
  <w:style w:type="paragraph" w:styleId="34">
    <w:name w:val="Body Text Indent 3"/>
    <w:basedOn w:val="1"/>
    <w:autoRedefine/>
    <w:qFormat/>
    <w:uiPriority w:val="0"/>
    <w:pPr>
      <w:widowControl w:val="0"/>
      <w:spacing w:after="120"/>
      <w:ind w:left="420" w:leftChars="200"/>
      <w:jc w:val="both"/>
    </w:pPr>
    <w:rPr>
      <w:kern w:val="2"/>
      <w:sz w:val="16"/>
      <w:szCs w:val="16"/>
    </w:rPr>
  </w:style>
  <w:style w:type="paragraph" w:styleId="35">
    <w:name w:val="toc 2"/>
    <w:basedOn w:val="1"/>
    <w:next w:val="1"/>
    <w:autoRedefine/>
    <w:qFormat/>
    <w:uiPriority w:val="39"/>
    <w:pPr>
      <w:ind w:left="240"/>
    </w:pPr>
    <w:rPr>
      <w:smallCaps/>
      <w:szCs w:val="20"/>
    </w:rPr>
  </w:style>
  <w:style w:type="paragraph" w:styleId="36">
    <w:name w:val="toc 9"/>
    <w:basedOn w:val="1"/>
    <w:next w:val="1"/>
    <w:autoRedefine/>
    <w:qFormat/>
    <w:uiPriority w:val="0"/>
    <w:pPr>
      <w:widowControl w:val="0"/>
      <w:ind w:left="1440"/>
    </w:pPr>
    <w:rPr>
      <w:kern w:val="2"/>
      <w:sz w:val="18"/>
      <w:szCs w:val="20"/>
    </w:rPr>
  </w:style>
  <w:style w:type="paragraph" w:styleId="37">
    <w:name w:val="Body Text 2"/>
    <w:basedOn w:val="1"/>
    <w:autoRedefine/>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autoRedefine/>
    <w:qFormat/>
    <w:uiPriority w:val="0"/>
    <w:pPr>
      <w:spacing w:before="100" w:beforeAutospacing="1" w:after="100" w:afterAutospacing="1"/>
    </w:pPr>
    <w:rPr>
      <w:rFonts w:ascii="宋体" w:hAnsi="宋体"/>
    </w:rPr>
  </w:style>
  <w:style w:type="paragraph" w:styleId="40">
    <w:name w:val="Title"/>
    <w:basedOn w:val="1"/>
    <w:next w:val="1"/>
    <w:link w:val="110"/>
    <w:autoRedefine/>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5"/>
    <w:next w:val="15"/>
    <w:autoRedefine/>
    <w:qFormat/>
    <w:uiPriority w:val="0"/>
    <w:rPr>
      <w:b/>
    </w:rPr>
  </w:style>
  <w:style w:type="paragraph" w:styleId="42">
    <w:name w:val="Body Text First Indent"/>
    <w:basedOn w:val="18"/>
    <w:autoRedefine/>
    <w:qFormat/>
    <w:uiPriority w:val="0"/>
    <w:pPr>
      <w:widowControl w:val="0"/>
      <w:ind w:firstLine="420" w:firstLineChars="100"/>
      <w:jc w:val="both"/>
    </w:pPr>
    <w:rPr>
      <w:rFonts w:ascii="宋体" w:hAnsi="宋体"/>
      <w:kern w:val="2"/>
      <w:sz w:val="21"/>
      <w:szCs w:val="20"/>
    </w:rPr>
  </w:style>
  <w:style w:type="table" w:styleId="44">
    <w:name w:val="Table Grid"/>
    <w:basedOn w:val="43"/>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autoRedefine/>
    <w:qFormat/>
    <w:uiPriority w:val="0"/>
    <w:rPr>
      <w:b/>
    </w:rPr>
  </w:style>
  <w:style w:type="character" w:styleId="47">
    <w:name w:val="page number"/>
    <w:basedOn w:val="45"/>
    <w:autoRedefine/>
    <w:qFormat/>
    <w:uiPriority w:val="0"/>
  </w:style>
  <w:style w:type="character" w:styleId="48">
    <w:name w:val="FollowedHyperlink"/>
    <w:autoRedefine/>
    <w:qFormat/>
    <w:uiPriority w:val="0"/>
    <w:rPr>
      <w:color w:val="337AB7"/>
      <w:u w:val="single"/>
    </w:rPr>
  </w:style>
  <w:style w:type="character" w:styleId="49">
    <w:name w:val="HTML Definition"/>
    <w:autoRedefine/>
    <w:unhideWhenUsed/>
    <w:qFormat/>
    <w:uiPriority w:val="99"/>
    <w:rPr>
      <w:i/>
    </w:rPr>
  </w:style>
  <w:style w:type="character" w:styleId="50">
    <w:name w:val="Hyperlink"/>
    <w:autoRedefine/>
    <w:qFormat/>
    <w:uiPriority w:val="99"/>
    <w:rPr>
      <w:color w:val="337AB7"/>
      <w:u w:val="single"/>
    </w:rPr>
  </w:style>
  <w:style w:type="character" w:styleId="51">
    <w:name w:val="HTML Code"/>
    <w:autoRedefine/>
    <w:unhideWhenUsed/>
    <w:qFormat/>
    <w:uiPriority w:val="99"/>
    <w:rPr>
      <w:rFonts w:hint="default" w:ascii="Menlo" w:hAnsi="Menlo" w:eastAsia="Menlo" w:cs="Menlo"/>
      <w:color w:val="C7254E"/>
      <w:sz w:val="21"/>
      <w:szCs w:val="21"/>
      <w:shd w:val="clear" w:color="auto" w:fill="F9F2F4"/>
    </w:rPr>
  </w:style>
  <w:style w:type="character" w:styleId="52">
    <w:name w:val="annotation reference"/>
    <w:autoRedefine/>
    <w:qFormat/>
    <w:uiPriority w:val="0"/>
    <w:rPr>
      <w:sz w:val="21"/>
    </w:rPr>
  </w:style>
  <w:style w:type="character" w:styleId="53">
    <w:name w:val="HTML Keyboard"/>
    <w:autoRedefine/>
    <w:unhideWhenUsed/>
    <w:qFormat/>
    <w:uiPriority w:val="99"/>
    <w:rPr>
      <w:rFonts w:hint="default" w:ascii="Menlo" w:hAnsi="Menlo" w:eastAsia="Menlo" w:cs="Menlo"/>
      <w:color w:val="FFFFFF"/>
      <w:sz w:val="21"/>
      <w:szCs w:val="21"/>
      <w:shd w:val="clear" w:color="auto" w:fill="333333"/>
    </w:rPr>
  </w:style>
  <w:style w:type="character" w:styleId="54">
    <w:name w:val="HTML Sample"/>
    <w:autoRedefine/>
    <w:unhideWhenUsed/>
    <w:qFormat/>
    <w:uiPriority w:val="99"/>
    <w:rPr>
      <w:rFonts w:ascii="Menlo" w:hAnsi="Menlo" w:eastAsia="Menlo" w:cs="Menlo"/>
      <w:sz w:val="21"/>
      <w:szCs w:val="21"/>
    </w:rPr>
  </w:style>
  <w:style w:type="paragraph" w:customStyle="1" w:styleId="55">
    <w:name w:val="正文缩进1"/>
    <w:basedOn w:val="1"/>
    <w:next w:val="1"/>
    <w:autoRedefine/>
    <w:qFormat/>
    <w:uiPriority w:val="0"/>
    <w:pPr>
      <w:ind w:firstLine="420"/>
      <w:jc w:val="both"/>
    </w:pPr>
    <w:rPr>
      <w:color w:val="000000"/>
      <w:kern w:val="2"/>
      <w:sz w:val="21"/>
      <w:szCs w:val="20"/>
    </w:rPr>
  </w:style>
  <w:style w:type="character" w:customStyle="1" w:styleId="56">
    <w:name w:val="标题 1 Char"/>
    <w:link w:val="2"/>
    <w:autoRedefine/>
    <w:qFormat/>
    <w:uiPriority w:val="0"/>
    <w:rPr>
      <w:rFonts w:ascii="华文中宋" w:hAnsi="华文中宋" w:eastAsia="华文中宋"/>
      <w:b/>
      <w:bCs/>
      <w:color w:val="000000"/>
      <w:kern w:val="44"/>
      <w:sz w:val="32"/>
      <w:szCs w:val="32"/>
    </w:rPr>
  </w:style>
  <w:style w:type="character" w:customStyle="1" w:styleId="57">
    <w:name w:val="font01"/>
    <w:autoRedefine/>
    <w:qFormat/>
    <w:uiPriority w:val="0"/>
    <w:rPr>
      <w:rFonts w:hint="eastAsia" w:ascii="宋体" w:hAnsi="宋体" w:eastAsia="宋体" w:cs="宋体"/>
      <w:color w:val="000000"/>
      <w:sz w:val="24"/>
      <w:szCs w:val="24"/>
      <w:u w:val="none"/>
    </w:rPr>
  </w:style>
  <w:style w:type="character" w:customStyle="1" w:styleId="58">
    <w:name w:val="ca-221"/>
    <w:autoRedefine/>
    <w:qFormat/>
    <w:uiPriority w:val="0"/>
    <w:rPr>
      <w:rFonts w:hint="default" w:ascii="Times New Roman" w:hAnsi="Times New Roman" w:cs="Times New Roman"/>
      <w:color w:val="000000"/>
      <w:sz w:val="24"/>
      <w:szCs w:val="24"/>
    </w:rPr>
  </w:style>
  <w:style w:type="character" w:customStyle="1" w:styleId="59">
    <w:name w:val="productdetailname"/>
    <w:basedOn w:val="45"/>
    <w:autoRedefine/>
    <w:qFormat/>
    <w:uiPriority w:val="0"/>
  </w:style>
  <w:style w:type="character" w:customStyle="1" w:styleId="60">
    <w:name w:val="ca-2"/>
    <w:basedOn w:val="45"/>
    <w:autoRedefine/>
    <w:qFormat/>
    <w:uiPriority w:val="0"/>
  </w:style>
  <w:style w:type="character" w:customStyle="1" w:styleId="61">
    <w:name w:val="文章正文 Char Char"/>
    <w:link w:val="62"/>
    <w:autoRedefine/>
    <w:qFormat/>
    <w:uiPriority w:val="0"/>
    <w:rPr>
      <w:rFonts w:eastAsia="宋体"/>
      <w:kern w:val="2"/>
      <w:sz w:val="24"/>
      <w:szCs w:val="24"/>
      <w:lang w:val="en-US" w:eastAsia="zh-CN" w:bidi="ar-SA"/>
    </w:rPr>
  </w:style>
  <w:style w:type="paragraph" w:customStyle="1" w:styleId="62">
    <w:name w:val="文章正文"/>
    <w:basedOn w:val="1"/>
    <w:link w:val="61"/>
    <w:autoRedefine/>
    <w:qFormat/>
    <w:uiPriority w:val="0"/>
    <w:pPr>
      <w:widowControl w:val="0"/>
      <w:spacing w:line="360" w:lineRule="auto"/>
      <w:ind w:firstLine="420"/>
      <w:jc w:val="both"/>
    </w:pPr>
    <w:rPr>
      <w:kern w:val="2"/>
    </w:rPr>
  </w:style>
  <w:style w:type="character" w:customStyle="1" w:styleId="63">
    <w:name w:val="H4 Char"/>
    <w:autoRedefine/>
    <w:qFormat/>
    <w:uiPriority w:val="0"/>
    <w:rPr>
      <w:rFonts w:ascii="Arial" w:hAnsi="Arial" w:eastAsia="宋体"/>
      <w:b/>
      <w:kern w:val="2"/>
      <w:sz w:val="28"/>
      <w:lang w:val="en-US" w:eastAsia="zh-CN"/>
    </w:rPr>
  </w:style>
  <w:style w:type="character" w:customStyle="1" w:styleId="64">
    <w:name w:val="h4-1 Char"/>
    <w:link w:val="65"/>
    <w:autoRedefine/>
    <w:qFormat/>
    <w:uiPriority w:val="0"/>
    <w:rPr>
      <w:rFonts w:ascii="Arial" w:hAnsi="Arial" w:eastAsia="仿宋_GB2312" w:cs="Arial"/>
      <w:b/>
      <w:bCs/>
      <w:kern w:val="2"/>
      <w:sz w:val="28"/>
      <w:szCs w:val="28"/>
      <w:lang w:val="zh-CN"/>
    </w:rPr>
  </w:style>
  <w:style w:type="paragraph" w:customStyle="1" w:styleId="65">
    <w:name w:val="h4-1"/>
    <w:basedOn w:val="5"/>
    <w:link w:val="64"/>
    <w:autoRedefine/>
    <w:qFormat/>
    <w:uiPriority w:val="0"/>
    <w:pPr>
      <w:keepLines/>
      <w:widowControl w:val="0"/>
      <w:spacing w:beforeLines="50" w:afterLines="50"/>
      <w:ind w:left="200" w:leftChars="200" w:right="420" w:rightChars="200" w:hanging="420"/>
      <w:jc w:val="both"/>
    </w:pPr>
    <w:rPr>
      <w:rFonts w:ascii="Arial" w:hAnsi="Arial" w:eastAsia="仿宋_GB2312" w:cs="Arial"/>
      <w:kern w:val="2"/>
      <w:lang w:val="zh-CN"/>
    </w:rPr>
  </w:style>
  <w:style w:type="character" w:customStyle="1" w:styleId="66">
    <w:name w:val="标题 3 Char"/>
    <w:link w:val="4"/>
    <w:autoRedefine/>
    <w:qFormat/>
    <w:uiPriority w:val="0"/>
    <w:rPr>
      <w:rFonts w:ascii="宋体" w:hAnsi="宋体"/>
      <w:b/>
      <w:bCs/>
      <w:kern w:val="2"/>
      <w:sz w:val="28"/>
      <w:szCs w:val="28"/>
    </w:rPr>
  </w:style>
  <w:style w:type="character" w:customStyle="1" w:styleId="67">
    <w:name w:val="页脚 Char"/>
    <w:link w:val="28"/>
    <w:autoRedefine/>
    <w:qFormat/>
    <w:uiPriority w:val="99"/>
    <w:rPr>
      <w:sz w:val="18"/>
      <w:szCs w:val="18"/>
    </w:rPr>
  </w:style>
  <w:style w:type="character" w:customStyle="1" w:styleId="68">
    <w:name w:val="style31"/>
    <w:autoRedefine/>
    <w:qFormat/>
    <w:uiPriority w:val="0"/>
    <w:rPr>
      <w:rFonts w:hint="default" w:ascii="Arial" w:hAnsi="Arial" w:cs="Arial"/>
      <w:b/>
      <w:bCs/>
      <w:sz w:val="21"/>
      <w:szCs w:val="21"/>
    </w:rPr>
  </w:style>
  <w:style w:type="character" w:customStyle="1" w:styleId="69">
    <w:name w:val="huei12b1"/>
    <w:autoRedefine/>
    <w:qFormat/>
    <w:uiPriority w:val="0"/>
    <w:rPr>
      <w:b/>
      <w:bCs/>
      <w:color w:val="333333"/>
      <w:sz w:val="18"/>
      <w:szCs w:val="18"/>
    </w:rPr>
  </w:style>
  <w:style w:type="character" w:customStyle="1" w:styleId="70">
    <w:name w:val="WW8Num9z0"/>
    <w:autoRedefine/>
    <w:qFormat/>
    <w:uiPriority w:val="0"/>
    <w:rPr>
      <w:rFonts w:ascii="Wingdings" w:hAnsi="Wingdings"/>
    </w:rPr>
  </w:style>
  <w:style w:type="character" w:customStyle="1" w:styleId="71">
    <w:name w:val="huei12b"/>
    <w:basedOn w:val="45"/>
    <w:autoRedefine/>
    <w:qFormat/>
    <w:uiPriority w:val="0"/>
  </w:style>
  <w:style w:type="character" w:customStyle="1" w:styleId="72">
    <w:name w:val="页眉 Char"/>
    <w:link w:val="29"/>
    <w:autoRedefine/>
    <w:qFormat/>
    <w:uiPriority w:val="0"/>
    <w:rPr>
      <w:rFonts w:eastAsia="宋体"/>
      <w:sz w:val="18"/>
      <w:szCs w:val="18"/>
      <w:lang w:val="en-US" w:eastAsia="zh-CN" w:bidi="ar-SA"/>
    </w:rPr>
  </w:style>
  <w:style w:type="character" w:customStyle="1" w:styleId="73">
    <w:name w:val="纯文本 Char"/>
    <w:autoRedefine/>
    <w:qFormat/>
    <w:uiPriority w:val="0"/>
    <w:rPr>
      <w:rFonts w:ascii="宋体" w:hAnsi="Tms Rmn" w:eastAsia="宋体" w:cs="宋体"/>
      <w:sz w:val="21"/>
      <w:szCs w:val="21"/>
      <w:lang w:val="en-US" w:eastAsia="zh-CN" w:bidi="ar-SA"/>
    </w:rPr>
  </w:style>
  <w:style w:type="character" w:customStyle="1" w:styleId="74">
    <w:name w:val="正文3 Char"/>
    <w:link w:val="75"/>
    <w:autoRedefine/>
    <w:qFormat/>
    <w:uiPriority w:val="0"/>
    <w:rPr>
      <w:rFonts w:ascii="Calibri" w:hAnsi="Calibri"/>
      <w:sz w:val="24"/>
      <w:szCs w:val="24"/>
      <w:lang w:val="en-US" w:eastAsia="zh-CN" w:bidi="ar-SA"/>
    </w:rPr>
  </w:style>
  <w:style w:type="paragraph" w:customStyle="1" w:styleId="75">
    <w:name w:val="正文3"/>
    <w:link w:val="74"/>
    <w:autoRedefine/>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76">
    <w:name w:val="标题 2 Char"/>
    <w:autoRedefine/>
    <w:qFormat/>
    <w:uiPriority w:val="0"/>
    <w:rPr>
      <w:rFonts w:ascii="Arial" w:hAnsi="Arial"/>
      <w:b/>
      <w:sz w:val="28"/>
    </w:rPr>
  </w:style>
  <w:style w:type="character" w:customStyle="1" w:styleId="77">
    <w:name w:val="正文首行缩进两字符 Char Char"/>
    <w:autoRedefine/>
    <w:qFormat/>
    <w:uiPriority w:val="0"/>
    <w:rPr>
      <w:rFonts w:eastAsia="宋体"/>
      <w:kern w:val="2"/>
      <w:sz w:val="21"/>
      <w:szCs w:val="24"/>
      <w:lang w:val="en-US" w:eastAsia="zh-CN" w:bidi="ar-SA"/>
    </w:rPr>
  </w:style>
  <w:style w:type="character" w:customStyle="1" w:styleId="78">
    <w:name w:val="标题2 Char"/>
    <w:autoRedefine/>
    <w:qFormat/>
    <w:uiPriority w:val="0"/>
    <w:rPr>
      <w:rFonts w:eastAsia="宋体"/>
      <w:sz w:val="24"/>
    </w:rPr>
  </w:style>
  <w:style w:type="character" w:customStyle="1" w:styleId="79">
    <w:name w:val="keyword"/>
    <w:basedOn w:val="45"/>
    <w:autoRedefine/>
    <w:qFormat/>
    <w:uiPriority w:val="0"/>
  </w:style>
  <w:style w:type="character" w:customStyle="1" w:styleId="80">
    <w:name w:val="fontblank12"/>
    <w:basedOn w:val="45"/>
    <w:autoRedefine/>
    <w:qFormat/>
    <w:uiPriority w:val="0"/>
  </w:style>
  <w:style w:type="character" w:customStyle="1" w:styleId="81">
    <w:name w:val="Char Char1"/>
    <w:autoRedefine/>
    <w:qFormat/>
    <w:uiPriority w:val="0"/>
    <w:rPr>
      <w:rFonts w:ascii="宋体" w:hAnsi="Courier New" w:eastAsia="宋体"/>
      <w:kern w:val="2"/>
      <w:sz w:val="21"/>
      <w:szCs w:val="21"/>
      <w:lang w:bidi="ar-SA"/>
    </w:rPr>
  </w:style>
  <w:style w:type="character" w:customStyle="1" w:styleId="82">
    <w:name w:val="标题 4 Char"/>
    <w:link w:val="5"/>
    <w:autoRedefine/>
    <w:qFormat/>
    <w:uiPriority w:val="0"/>
    <w:rPr>
      <w:rFonts w:eastAsia="宋体"/>
      <w:b/>
      <w:bCs/>
      <w:sz w:val="28"/>
      <w:szCs w:val="28"/>
      <w:lang w:val="en-US" w:eastAsia="zh-CN" w:bidi="ar-SA"/>
    </w:rPr>
  </w:style>
  <w:style w:type="character" w:customStyle="1" w:styleId="83">
    <w:name w:val="ca-31"/>
    <w:autoRedefine/>
    <w:qFormat/>
    <w:uiPriority w:val="0"/>
    <w:rPr>
      <w:rFonts w:hint="eastAsia" w:ascii="宋体" w:hAnsi="宋体" w:eastAsia="宋体"/>
      <w:color w:val="000000"/>
      <w:sz w:val="24"/>
      <w:szCs w:val="24"/>
    </w:rPr>
  </w:style>
  <w:style w:type="character" w:customStyle="1" w:styleId="84">
    <w:name w:val="纯文本 Char1"/>
    <w:link w:val="23"/>
    <w:autoRedefine/>
    <w:unhideWhenUsed/>
    <w:qFormat/>
    <w:uiPriority w:val="99"/>
    <w:rPr>
      <w:rFonts w:hint="eastAsia" w:ascii="宋体" w:hAnsi="Tms Rmn" w:eastAsia="宋体"/>
      <w:sz w:val="21"/>
      <w:lang w:val="en-US" w:eastAsia="zh-CN"/>
    </w:rPr>
  </w:style>
  <w:style w:type="character" w:customStyle="1" w:styleId="85">
    <w:name w:val="small"/>
    <w:basedOn w:val="45"/>
    <w:autoRedefine/>
    <w:qFormat/>
    <w:uiPriority w:val="0"/>
  </w:style>
  <w:style w:type="character" w:customStyle="1" w:styleId="86">
    <w:name w:val="标题 5 Char"/>
    <w:link w:val="6"/>
    <w:autoRedefine/>
    <w:qFormat/>
    <w:uiPriority w:val="0"/>
    <w:rPr>
      <w:b/>
      <w:bCs/>
      <w:sz w:val="28"/>
      <w:szCs w:val="28"/>
    </w:rPr>
  </w:style>
  <w:style w:type="character" w:customStyle="1" w:styleId="87">
    <w:name w:val="fo Char"/>
    <w:autoRedefine/>
    <w:qFormat/>
    <w:uiPriority w:val="0"/>
    <w:rPr>
      <w:rFonts w:eastAsia="宋体"/>
      <w:kern w:val="2"/>
      <w:sz w:val="18"/>
      <w:lang w:bidi="ar-SA"/>
    </w:rPr>
  </w:style>
  <w:style w:type="character" w:customStyle="1" w:styleId="88">
    <w:name w:val="h5-1 Char"/>
    <w:link w:val="89"/>
    <w:autoRedefine/>
    <w:qFormat/>
    <w:uiPriority w:val="0"/>
    <w:rPr>
      <w:rFonts w:ascii="Arial" w:hAnsi="Arial" w:eastAsia="仿宋_GB2312" w:cs="Arial"/>
      <w:b/>
      <w:bCs/>
      <w:kern w:val="2"/>
      <w:sz w:val="24"/>
      <w:szCs w:val="28"/>
    </w:rPr>
  </w:style>
  <w:style w:type="paragraph" w:customStyle="1" w:styleId="89">
    <w:name w:val="h5-1"/>
    <w:basedOn w:val="6"/>
    <w:link w:val="88"/>
    <w:autoRedefine/>
    <w:qFormat/>
    <w:uiPriority w:val="0"/>
    <w:pPr>
      <w:tabs>
        <w:tab w:val="clear" w:pos="4832"/>
      </w:tabs>
      <w:autoSpaceDE/>
      <w:autoSpaceDN/>
      <w:snapToGrid w:val="0"/>
      <w:spacing w:before="80" w:after="80" w:line="360" w:lineRule="auto"/>
      <w:ind w:left="200" w:leftChars="200" w:hanging="420"/>
    </w:pPr>
    <w:rPr>
      <w:rFonts w:ascii="Arial" w:hAnsi="Arial" w:eastAsia="仿宋_GB2312" w:cs="Arial"/>
      <w:kern w:val="2"/>
      <w:sz w:val="24"/>
    </w:rPr>
  </w:style>
  <w:style w:type="character" w:customStyle="1" w:styleId="90">
    <w:name w:val="magic-list1"/>
    <w:autoRedefine/>
    <w:qFormat/>
    <w:uiPriority w:val="0"/>
    <w:rPr>
      <w:rFonts w:hint="default" w:ascii="ˎ̥" w:hAnsi="ˎ̥"/>
      <w:color w:val="000000"/>
      <w:sz w:val="20"/>
      <w:u w:val="none"/>
    </w:rPr>
  </w:style>
  <w:style w:type="character" w:customStyle="1" w:styleId="91">
    <w:name w:val="CD正文 Char Char"/>
    <w:link w:val="92"/>
    <w:autoRedefine/>
    <w:qFormat/>
    <w:uiPriority w:val="0"/>
    <w:rPr>
      <w:rFonts w:eastAsia="宋体"/>
      <w:kern w:val="2"/>
      <w:sz w:val="30"/>
      <w:szCs w:val="28"/>
      <w:lang w:val="en-US" w:eastAsia="zh-CN" w:bidi="ar-SA"/>
    </w:rPr>
  </w:style>
  <w:style w:type="paragraph" w:customStyle="1" w:styleId="92">
    <w:name w:val="CD正文"/>
    <w:basedOn w:val="1"/>
    <w:link w:val="91"/>
    <w:autoRedefine/>
    <w:qFormat/>
    <w:uiPriority w:val="0"/>
    <w:pPr>
      <w:widowControl w:val="0"/>
      <w:spacing w:line="360" w:lineRule="auto"/>
      <w:ind w:firstLine="493"/>
      <w:jc w:val="both"/>
    </w:pPr>
    <w:rPr>
      <w:kern w:val="2"/>
      <w:sz w:val="30"/>
      <w:szCs w:val="28"/>
    </w:rPr>
  </w:style>
  <w:style w:type="character" w:customStyle="1" w:styleId="93">
    <w:name w:val="正文文本缩进 Char"/>
    <w:link w:val="19"/>
    <w:autoRedefine/>
    <w:qFormat/>
    <w:uiPriority w:val="0"/>
    <w:rPr>
      <w:rFonts w:ascii="宋体" w:eastAsia="宋体"/>
      <w:sz w:val="30"/>
      <w:szCs w:val="24"/>
      <w:lang w:val="en-US" w:eastAsia="zh-CN" w:bidi="ar-SA"/>
    </w:rPr>
  </w:style>
  <w:style w:type="character" w:customStyle="1" w:styleId="94">
    <w:name w:val="grame"/>
    <w:basedOn w:val="45"/>
    <w:autoRedefine/>
    <w:qFormat/>
    <w:uiPriority w:val="0"/>
  </w:style>
  <w:style w:type="character" w:customStyle="1" w:styleId="95">
    <w:name w:val="正文文本 Char"/>
    <w:link w:val="18"/>
    <w:autoRedefine/>
    <w:qFormat/>
    <w:uiPriority w:val="0"/>
    <w:rPr>
      <w:sz w:val="24"/>
      <w:szCs w:val="24"/>
    </w:rPr>
  </w:style>
  <w:style w:type="character" w:customStyle="1" w:styleId="96">
    <w:name w:val="ca-01"/>
    <w:autoRedefine/>
    <w:qFormat/>
    <w:uiPriority w:val="0"/>
    <w:rPr>
      <w:rFonts w:hint="eastAsia" w:ascii="宋体" w:hAnsi="宋体" w:eastAsia="宋体"/>
      <w:b/>
      <w:bCs/>
      <w:color w:val="000000"/>
      <w:spacing w:val="-20"/>
      <w:sz w:val="36"/>
      <w:szCs w:val="36"/>
    </w:rPr>
  </w:style>
  <w:style w:type="character" w:customStyle="1" w:styleId="97">
    <w:name w:val="ca-111"/>
    <w:autoRedefine/>
    <w:qFormat/>
    <w:uiPriority w:val="0"/>
    <w:rPr>
      <w:rFonts w:hint="eastAsia" w:ascii="宋体" w:hAnsi="宋体" w:eastAsia="宋体"/>
      <w:color w:val="000000"/>
      <w:sz w:val="24"/>
      <w:szCs w:val="24"/>
    </w:rPr>
  </w:style>
  <w:style w:type="character" w:customStyle="1" w:styleId="98">
    <w:name w:val="style61"/>
    <w:autoRedefine/>
    <w:qFormat/>
    <w:uiPriority w:val="0"/>
    <w:rPr>
      <w:rFonts w:hint="default" w:ascii="Arial" w:hAnsi="Arial" w:cs="Arial"/>
      <w:color w:val="003399"/>
      <w:sz w:val="18"/>
      <w:szCs w:val="18"/>
    </w:rPr>
  </w:style>
  <w:style w:type="character" w:customStyle="1" w:styleId="99">
    <w:name w:val="纯文本 Char Char"/>
    <w:autoRedefine/>
    <w:qFormat/>
    <w:uiPriority w:val="0"/>
    <w:rPr>
      <w:rFonts w:ascii="宋体" w:hAnsi="Courier New" w:eastAsia="宋体"/>
      <w:kern w:val="2"/>
      <w:sz w:val="21"/>
      <w:lang w:val="en-US" w:eastAsia="zh-CN" w:bidi="ar-SA"/>
    </w:rPr>
  </w:style>
  <w:style w:type="character" w:customStyle="1" w:styleId="100">
    <w:name w:val="apple-converted-space"/>
    <w:basedOn w:val="45"/>
    <w:autoRedefine/>
    <w:qFormat/>
    <w:uiPriority w:val="0"/>
  </w:style>
  <w:style w:type="character" w:customStyle="1" w:styleId="101">
    <w:name w:val="正文缩进 Char"/>
    <w:link w:val="12"/>
    <w:autoRedefine/>
    <w:qFormat/>
    <w:uiPriority w:val="0"/>
    <w:rPr>
      <w:rFonts w:eastAsia="宋体"/>
      <w:kern w:val="2"/>
      <w:sz w:val="21"/>
      <w:szCs w:val="24"/>
      <w:lang w:val="en-US" w:eastAsia="zh-CN" w:bidi="ar-SA"/>
    </w:rPr>
  </w:style>
  <w:style w:type="character" w:customStyle="1" w:styleId="102">
    <w:name w:val="h Char"/>
    <w:autoRedefine/>
    <w:qFormat/>
    <w:uiPriority w:val="0"/>
    <w:rPr>
      <w:rFonts w:eastAsia="仿宋_GB2312"/>
      <w:kern w:val="2"/>
      <w:sz w:val="18"/>
      <w:szCs w:val="18"/>
      <w:lang w:val="en-US" w:eastAsia="zh-CN" w:bidi="ar-SA"/>
    </w:rPr>
  </w:style>
  <w:style w:type="character" w:customStyle="1" w:styleId="103">
    <w:name w:val="文档结构图 Char"/>
    <w:link w:val="14"/>
    <w:autoRedefine/>
    <w:qFormat/>
    <w:uiPriority w:val="0"/>
    <w:rPr>
      <w:sz w:val="24"/>
      <w:szCs w:val="24"/>
      <w:shd w:val="clear" w:color="auto" w:fill="000080"/>
    </w:rPr>
  </w:style>
  <w:style w:type="character" w:customStyle="1" w:styleId="104">
    <w:name w:val="Char1 Char Char"/>
    <w:autoRedefine/>
    <w:qFormat/>
    <w:uiPriority w:val="0"/>
    <w:rPr>
      <w:rFonts w:ascii="宋体" w:hAnsi="Courier New" w:eastAsia="宋体"/>
      <w:kern w:val="2"/>
      <w:sz w:val="24"/>
      <w:lang w:val="en-US" w:eastAsia="zh-CN" w:bidi="ar-SA"/>
    </w:rPr>
  </w:style>
  <w:style w:type="character" w:customStyle="1" w:styleId="105">
    <w:name w:val="headline-content2"/>
    <w:basedOn w:val="45"/>
    <w:autoRedefine/>
    <w:qFormat/>
    <w:uiPriority w:val="0"/>
  </w:style>
  <w:style w:type="character" w:customStyle="1" w:styleId="106">
    <w:name w:val="标题 3 Char Char Char"/>
    <w:autoRedefine/>
    <w:qFormat/>
    <w:uiPriority w:val="0"/>
    <w:rPr>
      <w:rFonts w:eastAsia="宋体"/>
      <w:b/>
      <w:kern w:val="2"/>
      <w:sz w:val="32"/>
      <w:lang w:val="en-US" w:eastAsia="zh-CN" w:bidi="ar-SA"/>
    </w:rPr>
  </w:style>
  <w:style w:type="character" w:customStyle="1" w:styleId="107">
    <w:name w:val="textnorm_chn1"/>
    <w:autoRedefine/>
    <w:qFormat/>
    <w:uiPriority w:val="0"/>
    <w:rPr>
      <w:rFonts w:hint="default" w:ascii="Arial" w:hAnsi="Arial" w:cs="Arial"/>
      <w:color w:val="21254A"/>
      <w:sz w:val="22"/>
      <w:szCs w:val="22"/>
    </w:rPr>
  </w:style>
  <w:style w:type="character" w:customStyle="1" w:styleId="108">
    <w:name w:val="unnamed31"/>
    <w:autoRedefine/>
    <w:qFormat/>
    <w:uiPriority w:val="0"/>
    <w:rPr>
      <w:sz w:val="22"/>
      <w:szCs w:val="22"/>
    </w:rPr>
  </w:style>
  <w:style w:type="character" w:customStyle="1" w:styleId="109">
    <w:name w:val="Char Char4"/>
    <w:autoRedefine/>
    <w:qFormat/>
    <w:uiPriority w:val="0"/>
    <w:rPr>
      <w:rFonts w:ascii="宋体" w:hAnsi="Courier New" w:eastAsia="宋体"/>
      <w:kern w:val="2"/>
      <w:sz w:val="21"/>
      <w:lang w:val="en-US" w:eastAsia="zh-CN"/>
    </w:rPr>
  </w:style>
  <w:style w:type="character" w:customStyle="1" w:styleId="110">
    <w:name w:val="标题 Char"/>
    <w:link w:val="40"/>
    <w:autoRedefine/>
    <w:qFormat/>
    <w:uiPriority w:val="0"/>
    <w:rPr>
      <w:rFonts w:ascii="Cambria" w:hAnsi="Cambria"/>
      <w:b/>
      <w:bCs/>
      <w:kern w:val="2"/>
      <w:sz w:val="32"/>
      <w:szCs w:val="32"/>
    </w:rPr>
  </w:style>
  <w:style w:type="character" w:customStyle="1" w:styleId="111">
    <w:name w:val="日期 Char"/>
    <w:link w:val="25"/>
    <w:autoRedefine/>
    <w:qFormat/>
    <w:uiPriority w:val="0"/>
    <w:rPr>
      <w:rFonts w:eastAsia="宋体"/>
      <w:sz w:val="24"/>
      <w:szCs w:val="24"/>
      <w:lang w:val="en-US" w:eastAsia="zh-CN" w:bidi="ar-SA"/>
    </w:rPr>
  </w:style>
  <w:style w:type="character" w:customStyle="1" w:styleId="112">
    <w:name w:val="表正文 Char2"/>
    <w:autoRedefine/>
    <w:qFormat/>
    <w:uiPriority w:val="0"/>
    <w:rPr>
      <w:rFonts w:eastAsia="宋体"/>
      <w:kern w:val="2"/>
      <w:sz w:val="21"/>
      <w:lang w:val="en-US" w:eastAsia="zh-CN" w:bidi="ar-SA"/>
    </w:rPr>
  </w:style>
  <w:style w:type="character" w:customStyle="1" w:styleId="113">
    <w:name w:val="批注文字 Char"/>
    <w:link w:val="15"/>
    <w:autoRedefine/>
    <w:qFormat/>
    <w:uiPriority w:val="0"/>
    <w:rPr>
      <w:kern w:val="2"/>
      <w:sz w:val="18"/>
    </w:rPr>
  </w:style>
  <w:style w:type="character" w:customStyle="1" w:styleId="114">
    <w:name w:val="Char1 Char Char1"/>
    <w:autoRedefine/>
    <w:qFormat/>
    <w:uiPriority w:val="0"/>
    <w:rPr>
      <w:rFonts w:ascii="宋体" w:hAnsi="Courier New" w:eastAsia="宋体"/>
      <w:kern w:val="2"/>
      <w:sz w:val="24"/>
      <w:lang w:val="en-US" w:eastAsia="zh-CN" w:bidi="ar-SA"/>
    </w:rPr>
  </w:style>
  <w:style w:type="character" w:customStyle="1" w:styleId="115">
    <w:name w:val="标书（正文） Char Char"/>
    <w:link w:val="116"/>
    <w:autoRedefine/>
    <w:qFormat/>
    <w:uiPriority w:val="0"/>
    <w:rPr>
      <w:rFonts w:ascii="宋体" w:hAnsi="宋体" w:eastAsia="宋体"/>
      <w:b/>
      <w:kern w:val="10"/>
      <w:sz w:val="21"/>
      <w:lang w:val="en-US" w:eastAsia="zh-CN" w:bidi="ar-SA"/>
    </w:rPr>
  </w:style>
  <w:style w:type="paragraph" w:customStyle="1" w:styleId="116">
    <w:name w:val="标书（正文）"/>
    <w:basedOn w:val="1"/>
    <w:link w:val="115"/>
    <w:autoRedefine/>
    <w:qFormat/>
    <w:uiPriority w:val="0"/>
    <w:pPr>
      <w:widowControl w:val="0"/>
      <w:spacing w:line="360" w:lineRule="auto"/>
      <w:ind w:firstLine="560" w:firstLineChars="200"/>
      <w:jc w:val="both"/>
    </w:pPr>
    <w:rPr>
      <w:rFonts w:ascii="宋体" w:hAnsi="宋体"/>
      <w:b/>
      <w:kern w:val="10"/>
      <w:sz w:val="21"/>
      <w:szCs w:val="20"/>
    </w:rPr>
  </w:style>
  <w:style w:type="character" w:customStyle="1" w:styleId="117">
    <w:name w:val="textnormchn1"/>
    <w:basedOn w:val="45"/>
    <w:autoRedefine/>
    <w:qFormat/>
    <w:uiPriority w:val="0"/>
  </w:style>
  <w:style w:type="character" w:customStyle="1" w:styleId="118">
    <w:name w:val="param_td12"/>
    <w:basedOn w:val="45"/>
    <w:autoRedefine/>
    <w:qFormat/>
    <w:uiPriority w:val="0"/>
  </w:style>
  <w:style w:type="paragraph" w:customStyle="1" w:styleId="119">
    <w:name w:val="Char2"/>
    <w:basedOn w:val="1"/>
    <w:autoRedefine/>
    <w:qFormat/>
    <w:uiPriority w:val="0"/>
    <w:pPr>
      <w:widowControl w:val="0"/>
      <w:jc w:val="both"/>
    </w:pPr>
    <w:rPr>
      <w:kern w:val="2"/>
      <w:sz w:val="21"/>
      <w:szCs w:val="20"/>
    </w:rPr>
  </w:style>
  <w:style w:type="paragraph" w:customStyle="1" w:styleId="120">
    <w:name w:val="xl113"/>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21">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22">
    <w:name w:val="标题 3 （加黑）"/>
    <w:basedOn w:val="4"/>
    <w:autoRedefine/>
    <w:qFormat/>
    <w:uiPriority w:val="0"/>
    <w:pPr>
      <w:keepNext w:val="0"/>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123">
    <w:name w:val="xl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24">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MM Title"/>
    <w:basedOn w:val="1"/>
    <w:autoRedefine/>
    <w:qFormat/>
    <w:uiPriority w:val="0"/>
    <w:pPr>
      <w:widowControl w:val="0"/>
      <w:spacing w:before="240" w:after="60"/>
      <w:jc w:val="center"/>
      <w:outlineLvl w:val="0"/>
    </w:pPr>
    <w:rPr>
      <w:rFonts w:ascii="Arial" w:hAnsi="Arial"/>
      <w:b/>
      <w:kern w:val="2"/>
      <w:sz w:val="32"/>
      <w:szCs w:val="20"/>
    </w:rPr>
  </w:style>
  <w:style w:type="paragraph" w:customStyle="1" w:styleId="126">
    <w:name w:val="Style8"/>
    <w:basedOn w:val="1"/>
    <w:autoRedefine/>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27">
    <w:name w:val="页脚 New New New New New New New New"/>
    <w:basedOn w:val="128"/>
    <w:autoRedefine/>
    <w:qFormat/>
    <w:uiPriority w:val="0"/>
    <w:pPr>
      <w:tabs>
        <w:tab w:val="center" w:pos="4153"/>
        <w:tab w:val="right" w:pos="8306"/>
      </w:tabs>
      <w:snapToGrid w:val="0"/>
      <w:jc w:val="left"/>
    </w:pPr>
    <w:rPr>
      <w:sz w:val="18"/>
      <w:szCs w:val="18"/>
    </w:rPr>
  </w:style>
  <w:style w:type="paragraph" w:customStyle="1" w:styleId="128">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Char1"/>
    <w:basedOn w:val="1"/>
    <w:next w:val="1"/>
    <w:autoRedefine/>
    <w:qFormat/>
    <w:uiPriority w:val="0"/>
    <w:pPr>
      <w:widowControl w:val="0"/>
      <w:spacing w:line="240" w:lineRule="atLeast"/>
      <w:ind w:left="420" w:firstLine="420"/>
    </w:pPr>
    <w:rPr>
      <w:sz w:val="21"/>
      <w:szCs w:val="21"/>
    </w:rPr>
  </w:style>
  <w:style w:type="paragraph" w:customStyle="1" w:styleId="130">
    <w:name w:val="p0"/>
    <w:basedOn w:val="1"/>
    <w:autoRedefine/>
    <w:qFormat/>
    <w:uiPriority w:val="0"/>
    <w:pPr>
      <w:jc w:val="both"/>
    </w:pPr>
    <w:rPr>
      <w:sz w:val="21"/>
      <w:szCs w:val="20"/>
    </w:rPr>
  </w:style>
  <w:style w:type="paragraph" w:customStyle="1" w:styleId="131">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32">
    <w:name w:val="页眉 New New New New New New New New New New New"/>
    <w:basedOn w:val="133"/>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33">
    <w:name w:val="正文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5">
    <w:name w:val="xl106"/>
    <w:basedOn w:val="1"/>
    <w:autoRedefine/>
    <w:qFormat/>
    <w:uiPriority w:val="0"/>
    <w:pPr>
      <w:spacing w:before="100" w:beforeAutospacing="1" w:after="100" w:afterAutospacing="1"/>
      <w:jc w:val="center"/>
    </w:pPr>
    <w:rPr>
      <w:rFonts w:ascii="宋体" w:hAnsi="宋体" w:cs="宋体"/>
      <w:b/>
      <w:bCs/>
      <w:sz w:val="40"/>
      <w:szCs w:val="40"/>
    </w:rPr>
  </w:style>
  <w:style w:type="paragraph" w:customStyle="1" w:styleId="136">
    <w:name w:val="标题3"/>
    <w:basedOn w:val="4"/>
    <w:autoRedefine/>
    <w:qFormat/>
    <w:uiPriority w:val="0"/>
    <w:pPr>
      <w:keepNext w:val="0"/>
      <w:keepLines w:val="0"/>
      <w:tabs>
        <w:tab w:val="left" w:pos="1843"/>
        <w:tab w:val="clear" w:pos="900"/>
      </w:tabs>
      <w:spacing w:before="0" w:after="0" w:line="240" w:lineRule="auto"/>
      <w:ind w:left="0" w:firstLine="0"/>
      <w:outlineLvl w:val="9"/>
    </w:pPr>
    <w:rPr>
      <w:rFonts w:ascii="Times New Roman" w:hAnsi="Times New Roman"/>
      <w:b w:val="0"/>
      <w:bCs w:val="0"/>
      <w:sz w:val="21"/>
      <w:szCs w:val="20"/>
    </w:rPr>
  </w:style>
  <w:style w:type="paragraph" w:customStyle="1" w:styleId="137">
    <w:name w:val="MM Topic 8"/>
    <w:basedOn w:val="9"/>
    <w:autoRedefine/>
    <w:qFormat/>
    <w:uiPriority w:val="0"/>
    <w:pPr>
      <w:tabs>
        <w:tab w:val="left" w:pos="4394"/>
      </w:tabs>
    </w:pPr>
  </w:style>
  <w:style w:type="paragraph" w:customStyle="1" w:styleId="138">
    <w:name w:val="1 Char"/>
    <w:basedOn w:val="1"/>
    <w:autoRedefine/>
    <w:qFormat/>
    <w:uiPriority w:val="0"/>
    <w:pPr>
      <w:spacing w:after="160" w:line="240" w:lineRule="exact"/>
    </w:pPr>
    <w:rPr>
      <w:rFonts w:ascii="Tahoma" w:hAnsi="Tahoma" w:eastAsia="Times New Roman"/>
      <w:lang w:eastAsia="en-US"/>
    </w:rPr>
  </w:style>
  <w:style w:type="paragraph" w:customStyle="1" w:styleId="139">
    <w:name w:val="样式 正文缩进 + (中文) 仿宋_GB2312 小四 Char"/>
    <w:basedOn w:val="12"/>
    <w:autoRedefine/>
    <w:qFormat/>
    <w:uiPriority w:val="0"/>
    <w:pPr>
      <w:ind w:firstLine="480"/>
    </w:pPr>
    <w:rPr>
      <w:rFonts w:ascii="宋体" w:hAnsi="宋体"/>
      <w:sz w:val="24"/>
      <w:szCs w:val="20"/>
    </w:rPr>
  </w:style>
  <w:style w:type="paragraph" w:customStyle="1" w:styleId="140">
    <w:name w:val="标题样式"/>
    <w:basedOn w:val="1"/>
    <w:autoRedefine/>
    <w:qFormat/>
    <w:uiPriority w:val="0"/>
    <w:pPr>
      <w:widowControl w:val="0"/>
      <w:tabs>
        <w:tab w:val="left" w:pos="420"/>
      </w:tabs>
      <w:spacing w:line="360" w:lineRule="auto"/>
      <w:jc w:val="both"/>
    </w:pPr>
    <w:rPr>
      <w:rFonts w:ascii="宋体" w:hAnsi="宋体"/>
      <w:kern w:val="2"/>
      <w:szCs w:val="20"/>
    </w:rPr>
  </w:style>
  <w:style w:type="paragraph" w:customStyle="1" w:styleId="141">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42">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4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font12"/>
    <w:basedOn w:val="1"/>
    <w:autoRedefine/>
    <w:qFormat/>
    <w:uiPriority w:val="0"/>
    <w:pPr>
      <w:spacing w:before="100" w:beforeAutospacing="1" w:after="100" w:afterAutospacing="1"/>
    </w:pPr>
    <w:rPr>
      <w:rFonts w:ascii="宋体" w:hAnsi="宋体" w:cs="宋体"/>
      <w:b/>
      <w:bCs/>
      <w:color w:val="000000"/>
      <w:sz w:val="20"/>
      <w:szCs w:val="20"/>
    </w:rPr>
  </w:style>
  <w:style w:type="paragraph" w:customStyle="1" w:styleId="145">
    <w:name w:val="xl70"/>
    <w:basedOn w:val="1"/>
    <w:autoRedefine/>
    <w:qFormat/>
    <w:uiPriority w:val="0"/>
    <w:pPr>
      <w:spacing w:before="100" w:beforeAutospacing="1" w:after="100" w:afterAutospacing="1"/>
      <w:jc w:val="center"/>
    </w:pPr>
    <w:rPr>
      <w:rFonts w:ascii="宋体" w:hAnsi="宋体" w:cs="宋体"/>
    </w:rPr>
  </w:style>
  <w:style w:type="paragraph" w:customStyle="1" w:styleId="146">
    <w:name w:val="文章正文 Char Char1 Char"/>
    <w:basedOn w:val="1"/>
    <w:autoRedefine/>
    <w:qFormat/>
    <w:uiPriority w:val="0"/>
    <w:pPr>
      <w:widowControl w:val="0"/>
      <w:spacing w:line="360" w:lineRule="auto"/>
      <w:ind w:firstLine="420"/>
      <w:jc w:val="both"/>
    </w:pPr>
    <w:rPr>
      <w:kern w:val="2"/>
    </w:rPr>
  </w:style>
  <w:style w:type="paragraph" w:customStyle="1" w:styleId="147">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48">
    <w:name w:val="页脚 New New New New New New New New New"/>
    <w:basedOn w:val="149"/>
    <w:autoRedefine/>
    <w:qFormat/>
    <w:uiPriority w:val="0"/>
    <w:pPr>
      <w:tabs>
        <w:tab w:val="center" w:pos="4153"/>
        <w:tab w:val="right" w:pos="8306"/>
      </w:tabs>
      <w:snapToGrid w:val="0"/>
      <w:jc w:val="left"/>
    </w:pPr>
    <w:rPr>
      <w:sz w:val="18"/>
      <w:szCs w:val="18"/>
    </w:rPr>
  </w:style>
  <w:style w:type="paragraph" w:customStyle="1" w:styleId="149">
    <w:name w:val="正文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font8"/>
    <w:basedOn w:val="1"/>
    <w:autoRedefine/>
    <w:qFormat/>
    <w:uiPriority w:val="0"/>
    <w:pPr>
      <w:spacing w:before="100" w:beforeAutospacing="1" w:after="100" w:afterAutospacing="1"/>
    </w:pPr>
    <w:rPr>
      <w:color w:val="000000"/>
      <w:sz w:val="22"/>
      <w:szCs w:val="22"/>
    </w:rPr>
  </w:style>
  <w:style w:type="paragraph" w:customStyle="1" w:styleId="152">
    <w:name w:val="xl101"/>
    <w:basedOn w:val="1"/>
    <w:autoRedefine/>
    <w:qFormat/>
    <w:uiPriority w:val="0"/>
    <w:pPr>
      <w:spacing w:before="100" w:beforeAutospacing="1" w:after="100" w:afterAutospacing="1"/>
    </w:pPr>
    <w:rPr>
      <w:rFonts w:ascii="宋体" w:hAnsi="宋体" w:cs="宋体"/>
      <w:sz w:val="20"/>
      <w:szCs w:val="20"/>
    </w:rPr>
  </w:style>
  <w:style w:type="paragraph" w:customStyle="1" w:styleId="153">
    <w:name w:val="Char2 Char Char Char Char Char Char"/>
    <w:basedOn w:val="1"/>
    <w:autoRedefine/>
    <w:qFormat/>
    <w:uiPriority w:val="0"/>
    <w:pPr>
      <w:widowControl w:val="0"/>
      <w:jc w:val="both"/>
    </w:pPr>
    <w:rPr>
      <w:rFonts w:ascii="仿宋_GB2312"/>
      <w:b/>
      <w:kern w:val="2"/>
      <w:sz w:val="30"/>
      <w:szCs w:val="20"/>
    </w:rPr>
  </w:style>
  <w:style w:type="paragraph" w:customStyle="1" w:styleId="15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6">
    <w:name w:val="页脚 New New New New New New New"/>
    <w:basedOn w:val="124"/>
    <w:autoRedefine/>
    <w:qFormat/>
    <w:uiPriority w:val="0"/>
    <w:pPr>
      <w:tabs>
        <w:tab w:val="center" w:pos="4153"/>
        <w:tab w:val="right" w:pos="8306"/>
      </w:tabs>
      <w:snapToGrid w:val="0"/>
      <w:jc w:val="left"/>
    </w:pPr>
    <w:rPr>
      <w:sz w:val="18"/>
      <w:szCs w:val="18"/>
    </w:rPr>
  </w:style>
  <w:style w:type="paragraph" w:customStyle="1" w:styleId="157">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8">
    <w:name w:val="style3"/>
    <w:basedOn w:val="1"/>
    <w:autoRedefine/>
    <w:qFormat/>
    <w:uiPriority w:val="0"/>
    <w:pPr>
      <w:spacing w:before="100" w:beforeAutospacing="1" w:after="100" w:afterAutospacing="1" w:line="450" w:lineRule="atLeast"/>
    </w:pPr>
    <w:rPr>
      <w:rFonts w:ascii="Arial" w:hAnsi="Arial" w:cs="Arial"/>
      <w:b/>
      <w:bCs/>
      <w:sz w:val="21"/>
      <w:szCs w:val="21"/>
    </w:rPr>
  </w:style>
  <w:style w:type="paragraph" w:customStyle="1" w:styleId="159">
    <w:name w:val="正文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页眉 New New New New New New New New New New New New"/>
    <w:basedOn w:val="16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61">
    <w:name w:val="正文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style10"/>
    <w:basedOn w:val="1"/>
    <w:autoRedefine/>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163">
    <w:name w:val="xl104"/>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164">
    <w:name w:val="font11"/>
    <w:basedOn w:val="1"/>
    <w:autoRedefine/>
    <w:qFormat/>
    <w:uiPriority w:val="0"/>
    <w:pPr>
      <w:spacing w:before="100" w:beforeAutospacing="1" w:after="100" w:afterAutospacing="1"/>
    </w:pPr>
    <w:rPr>
      <w:rFonts w:ascii="宋体" w:hAnsi="宋体" w:cs="宋体"/>
      <w:b/>
      <w:bCs/>
      <w:sz w:val="40"/>
      <w:szCs w:val="40"/>
    </w:rPr>
  </w:style>
  <w:style w:type="paragraph" w:customStyle="1" w:styleId="165">
    <w:name w:val="gb_master正文"/>
    <w:basedOn w:val="1"/>
    <w:autoRedefine/>
    <w:qFormat/>
    <w:uiPriority w:val="0"/>
    <w:pPr>
      <w:widowControl w:val="0"/>
      <w:ind w:firstLine="200" w:firstLineChars="200"/>
      <w:jc w:val="both"/>
    </w:pPr>
    <w:rPr>
      <w:kern w:val="2"/>
      <w:sz w:val="21"/>
    </w:rPr>
  </w:style>
  <w:style w:type="paragraph" w:customStyle="1" w:styleId="166">
    <w:name w:val="页脚 New New New New New New"/>
    <w:basedOn w:val="167"/>
    <w:autoRedefine/>
    <w:qFormat/>
    <w:uiPriority w:val="0"/>
    <w:pPr>
      <w:tabs>
        <w:tab w:val="center" w:pos="4153"/>
        <w:tab w:val="right" w:pos="8306"/>
      </w:tabs>
      <w:snapToGrid w:val="0"/>
      <w:jc w:val="left"/>
    </w:pPr>
    <w:rPr>
      <w:sz w:val="18"/>
      <w:szCs w:val="18"/>
    </w:rPr>
  </w:style>
  <w:style w:type="paragraph" w:customStyle="1" w:styleId="167">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文档正文"/>
    <w:basedOn w:val="1"/>
    <w:autoRedefine/>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169">
    <w:name w:val="Char Char Char Char Char Char Char Char Char"/>
    <w:basedOn w:val="1"/>
    <w:autoRedefine/>
    <w:qFormat/>
    <w:uiPriority w:val="0"/>
    <w:pPr>
      <w:spacing w:after="160" w:line="240" w:lineRule="exact"/>
    </w:pPr>
    <w:rPr>
      <w:rFonts w:ascii="Verdana" w:hAnsi="Verdana" w:eastAsia="仿宋_GB2312"/>
      <w:szCs w:val="20"/>
      <w:lang w:eastAsia="en-US"/>
    </w:rPr>
  </w:style>
  <w:style w:type="paragraph" w:customStyle="1" w:styleId="170">
    <w:name w:val="列出段落2"/>
    <w:basedOn w:val="1"/>
    <w:autoRedefine/>
    <w:qFormat/>
    <w:uiPriority w:val="0"/>
    <w:pPr>
      <w:ind w:firstLine="420" w:firstLineChars="200"/>
    </w:pPr>
    <w:rPr>
      <w:szCs w:val="20"/>
    </w:rPr>
  </w:style>
  <w:style w:type="paragraph" w:customStyle="1" w:styleId="171">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72">
    <w:name w:val="Char2 Char Char Char"/>
    <w:basedOn w:val="1"/>
    <w:autoRedefine/>
    <w:qFormat/>
    <w:uiPriority w:val="0"/>
    <w:pPr>
      <w:widowControl w:val="0"/>
      <w:jc w:val="both"/>
    </w:pPr>
    <w:rPr>
      <w:rFonts w:ascii="仿宋_GB2312"/>
      <w:b/>
      <w:kern w:val="2"/>
      <w:sz w:val="30"/>
      <w:szCs w:val="20"/>
    </w:rPr>
  </w:style>
  <w:style w:type="paragraph" w:customStyle="1" w:styleId="173">
    <w:name w:val="项目符号：一级"/>
    <w:basedOn w:val="174"/>
    <w:next w:val="174"/>
    <w:autoRedefine/>
    <w:qFormat/>
    <w:uiPriority w:val="0"/>
    <w:pPr>
      <w:tabs>
        <w:tab w:val="left" w:pos="700"/>
      </w:tabs>
      <w:spacing w:beforeLines="0"/>
      <w:ind w:left="630" w:hanging="290" w:firstLineChars="0"/>
    </w:pPr>
  </w:style>
  <w:style w:type="paragraph" w:customStyle="1" w:styleId="174">
    <w:name w:val="正文格式"/>
    <w:basedOn w:val="1"/>
    <w:autoRedefine/>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75">
    <w:name w:val="正文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black1"/>
    <w:basedOn w:val="1"/>
    <w:autoRedefine/>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77">
    <w:name w:val="表格文字"/>
    <w:basedOn w:val="1"/>
    <w:next w:val="18"/>
    <w:autoRedefine/>
    <w:qFormat/>
    <w:uiPriority w:val="0"/>
    <w:pPr>
      <w:widowControl w:val="0"/>
      <w:spacing w:beforeLines="25" w:afterLines="25"/>
      <w:jc w:val="both"/>
    </w:pPr>
    <w:rPr>
      <w:rFonts w:ascii="Times New (W1)" w:hAnsi="Times New (W1)"/>
      <w:spacing w:val="10"/>
      <w:kern w:val="2"/>
      <w:sz w:val="21"/>
      <w:szCs w:val="20"/>
    </w:rPr>
  </w:style>
  <w:style w:type="paragraph" w:customStyle="1" w:styleId="178">
    <w:name w:val="正文序号 4"/>
    <w:basedOn w:val="1"/>
    <w:autoRedefine/>
    <w:qFormat/>
    <w:uiPriority w:val="0"/>
    <w:pPr>
      <w:widowControl w:val="0"/>
      <w:tabs>
        <w:tab w:val="left" w:pos="1469"/>
      </w:tabs>
      <w:spacing w:before="60"/>
      <w:ind w:left="1680" w:hanging="420"/>
      <w:jc w:val="both"/>
    </w:pPr>
    <w:rPr>
      <w:kern w:val="2"/>
      <w:sz w:val="21"/>
      <w:szCs w:val="20"/>
    </w:rPr>
  </w:style>
  <w:style w:type="paragraph" w:customStyle="1" w:styleId="179">
    <w:name w:val="pa-2"/>
    <w:basedOn w:val="1"/>
    <w:autoRedefine/>
    <w:qFormat/>
    <w:uiPriority w:val="0"/>
    <w:pPr>
      <w:spacing w:before="100" w:beforeAutospacing="1" w:after="100" w:afterAutospacing="1"/>
    </w:pPr>
    <w:rPr>
      <w:rFonts w:ascii="宋体" w:hAnsi="宋体" w:cs="宋体"/>
    </w:rPr>
  </w:style>
  <w:style w:type="paragraph" w:customStyle="1" w:styleId="180">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81">
    <w:name w:val="Char Char Char"/>
    <w:basedOn w:val="1"/>
    <w:autoRedefine/>
    <w:qFormat/>
    <w:uiPriority w:val="0"/>
    <w:pPr>
      <w:widowControl w:val="0"/>
      <w:jc w:val="both"/>
    </w:pPr>
    <w:rPr>
      <w:rFonts w:ascii="Tahoma" w:hAnsi="Tahoma"/>
      <w:kern w:val="2"/>
      <w:szCs w:val="20"/>
    </w:rPr>
  </w:style>
  <w:style w:type="paragraph" w:customStyle="1" w:styleId="182">
    <w:name w:val="页脚 New New New New"/>
    <w:basedOn w:val="183"/>
    <w:autoRedefine/>
    <w:qFormat/>
    <w:uiPriority w:val="0"/>
    <w:pPr>
      <w:tabs>
        <w:tab w:val="center" w:pos="4153"/>
        <w:tab w:val="right" w:pos="8306"/>
      </w:tabs>
      <w:snapToGrid w:val="0"/>
      <w:jc w:val="left"/>
    </w:pPr>
    <w:rPr>
      <w:sz w:val="18"/>
      <w:szCs w:val="18"/>
    </w:rPr>
  </w:style>
  <w:style w:type="paragraph" w:customStyle="1" w:styleId="183">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列出段落1"/>
    <w:basedOn w:val="1"/>
    <w:autoRedefine/>
    <w:qFormat/>
    <w:uiPriority w:val="34"/>
    <w:pPr>
      <w:widowControl w:val="0"/>
      <w:ind w:firstLine="420" w:firstLineChars="200"/>
      <w:jc w:val="both"/>
    </w:pPr>
    <w:rPr>
      <w:kern w:val="2"/>
      <w:sz w:val="21"/>
      <w:szCs w:val="22"/>
    </w:rPr>
  </w:style>
  <w:style w:type="paragraph" w:customStyle="1" w:styleId="185">
    <w:name w:val="MM Topic 3"/>
    <w:basedOn w:val="4"/>
    <w:autoRedefine/>
    <w:qFormat/>
    <w:uiPriority w:val="0"/>
    <w:pPr>
      <w:tabs>
        <w:tab w:val="left" w:pos="1418"/>
        <w:tab w:val="clear" w:pos="900"/>
      </w:tabs>
      <w:ind w:left="0" w:firstLine="0"/>
    </w:pPr>
    <w:rPr>
      <w:rFonts w:ascii="Times New Roman" w:hAnsi="Times New Roman"/>
      <w:bCs w:val="0"/>
      <w:szCs w:val="20"/>
    </w:rPr>
  </w:style>
  <w:style w:type="paragraph" w:customStyle="1" w:styleId="186">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87">
    <w:name w:val="Char Char11"/>
    <w:basedOn w:val="1"/>
    <w:next w:val="1"/>
    <w:autoRedefine/>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88">
    <w:name w:val="样式 仿宋_GB2312 小四 左侧:  0.63 厘米"/>
    <w:basedOn w:val="1"/>
    <w:autoRedefine/>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条目正文"/>
    <w:basedOn w:val="1"/>
    <w:autoRedefine/>
    <w:qFormat/>
    <w:uiPriority w:val="0"/>
    <w:pPr>
      <w:widowControl w:val="0"/>
      <w:tabs>
        <w:tab w:val="left" w:pos="1050"/>
      </w:tabs>
      <w:spacing w:after="120" w:line="360" w:lineRule="auto"/>
      <w:ind w:left="1050" w:hanging="450"/>
      <w:jc w:val="both"/>
    </w:pPr>
    <w:rPr>
      <w:rFonts w:ascii="宋体" w:hAnsi="Arial" w:cs="Arial"/>
      <w:szCs w:val="20"/>
    </w:rPr>
  </w:style>
  <w:style w:type="paragraph" w:customStyle="1" w:styleId="191">
    <w:name w:val="样式 标题 2proj2proj21proj22proj23proj24proj25proj26proj27p...1"/>
    <w:basedOn w:val="3"/>
    <w:autoRedefine/>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192">
    <w:name w:val="pa-106"/>
    <w:basedOn w:val="1"/>
    <w:autoRedefine/>
    <w:qFormat/>
    <w:uiPriority w:val="0"/>
    <w:pPr>
      <w:spacing w:line="360" w:lineRule="atLeast"/>
      <w:ind w:firstLine="460"/>
      <w:jc w:val="both"/>
    </w:pPr>
    <w:rPr>
      <w:rFonts w:ascii="宋体" w:hAnsi="宋体" w:cs="宋体"/>
    </w:rPr>
  </w:style>
  <w:style w:type="paragraph" w:customStyle="1" w:styleId="193">
    <w:name w:val="xl9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94">
    <w:name w:val="默认段落字体 Para Char Char Char Char"/>
    <w:basedOn w:val="1"/>
    <w:autoRedefine/>
    <w:qFormat/>
    <w:uiPriority w:val="0"/>
    <w:pPr>
      <w:widowControl w:val="0"/>
      <w:jc w:val="both"/>
    </w:pPr>
    <w:rPr>
      <w:kern w:val="2"/>
      <w:sz w:val="21"/>
    </w:rPr>
  </w:style>
  <w:style w:type="paragraph" w:customStyle="1" w:styleId="195">
    <w:name w:val="xl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96">
    <w:name w:val="样式 正文缩进 + 首行缩进:  2 字符"/>
    <w:basedOn w:val="12"/>
    <w:autoRedefine/>
    <w:qFormat/>
    <w:uiPriority w:val="0"/>
    <w:pPr>
      <w:ind w:firstLine="480"/>
    </w:pPr>
    <w:rPr>
      <w:sz w:val="24"/>
      <w:szCs w:val="20"/>
    </w:rPr>
  </w:style>
  <w:style w:type="paragraph" w:customStyle="1" w:styleId="197">
    <w:name w:val="样式2"/>
    <w:basedOn w:val="1"/>
    <w:autoRedefine/>
    <w:qFormat/>
    <w:uiPriority w:val="0"/>
    <w:pPr>
      <w:widowControl w:val="0"/>
      <w:adjustRightInd w:val="0"/>
      <w:spacing w:line="410" w:lineRule="atLeast"/>
      <w:jc w:val="both"/>
      <w:textAlignment w:val="baseline"/>
    </w:pPr>
    <w:rPr>
      <w:szCs w:val="20"/>
    </w:rPr>
  </w:style>
  <w:style w:type="paragraph" w:customStyle="1" w:styleId="198">
    <w:name w:val="页眉 New New New New New New New New New New New New New New New New"/>
    <w:basedOn w:val="15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99">
    <w:name w:val="页脚 New New New New New New New New New New"/>
    <w:basedOn w:val="175"/>
    <w:autoRedefine/>
    <w:qFormat/>
    <w:uiPriority w:val="0"/>
    <w:pPr>
      <w:tabs>
        <w:tab w:val="center" w:pos="4153"/>
        <w:tab w:val="right" w:pos="8306"/>
      </w:tabs>
      <w:snapToGrid w:val="0"/>
      <w:jc w:val="left"/>
    </w:pPr>
    <w:rPr>
      <w:sz w:val="18"/>
      <w:szCs w:val="18"/>
    </w:rPr>
  </w:style>
  <w:style w:type="paragraph" w:customStyle="1" w:styleId="200">
    <w:name w:val="Char Char Char Char Char Char Char"/>
    <w:basedOn w:val="1"/>
    <w:autoRedefine/>
    <w:qFormat/>
    <w:uiPriority w:val="0"/>
    <w:pPr>
      <w:snapToGrid w:val="0"/>
      <w:spacing w:line="240" w:lineRule="exact"/>
    </w:pPr>
    <w:rPr>
      <w:rFonts w:ascii="Verdana" w:hAnsi="Verdana"/>
      <w:sz w:val="20"/>
      <w:szCs w:val="20"/>
      <w:lang w:eastAsia="en-US"/>
    </w:rPr>
  </w:style>
  <w:style w:type="paragraph" w:customStyle="1" w:styleId="201">
    <w:name w:val="样式1"/>
    <w:basedOn w:val="1"/>
    <w:autoRedefine/>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202">
    <w:name w:val="xl9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03">
    <w:name w:val="Char Char Char Char"/>
    <w:basedOn w:val="1"/>
    <w:next w:val="1"/>
    <w:autoRedefine/>
    <w:qFormat/>
    <w:uiPriority w:val="0"/>
    <w:pPr>
      <w:widowControl w:val="0"/>
      <w:spacing w:line="240" w:lineRule="atLeast"/>
      <w:ind w:left="420" w:firstLine="420"/>
    </w:pPr>
    <w:rPr>
      <w:sz w:val="21"/>
      <w:szCs w:val="21"/>
    </w:rPr>
  </w:style>
  <w:style w:type="paragraph" w:customStyle="1" w:styleId="204">
    <w:name w:val="文字"/>
    <w:basedOn w:val="1"/>
    <w:autoRedefine/>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05">
    <w:name w:val="xl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06">
    <w:name w:val="正文文本 21"/>
    <w:basedOn w:val="1"/>
    <w:autoRedefine/>
    <w:qFormat/>
    <w:uiPriority w:val="0"/>
    <w:pPr>
      <w:widowControl w:val="0"/>
      <w:adjustRightInd w:val="0"/>
      <w:spacing w:line="300" w:lineRule="auto"/>
      <w:jc w:val="center"/>
      <w:textAlignment w:val="baseline"/>
    </w:pPr>
    <w:rPr>
      <w:rFonts w:ascii="宋体" w:hAnsi="宋体"/>
      <w:kern w:val="2"/>
      <w:szCs w:val="20"/>
    </w:rPr>
  </w:style>
  <w:style w:type="paragraph" w:customStyle="1" w:styleId="207">
    <w:name w:val="Char"/>
    <w:basedOn w:val="1"/>
    <w:autoRedefine/>
    <w:qFormat/>
    <w:uiPriority w:val="0"/>
    <w:pPr>
      <w:spacing w:after="160" w:line="240" w:lineRule="exact"/>
    </w:pPr>
    <w:rPr>
      <w:rFonts w:ascii="Tahoma" w:hAnsi="Tahoma"/>
      <w:kern w:val="2"/>
      <w:lang w:eastAsia="en-US"/>
    </w:rPr>
  </w:style>
  <w:style w:type="paragraph" w:customStyle="1" w:styleId="208">
    <w:name w:val="Char Char1 Char Char Char Char Char Char Char Char Char Char Char Char Char Char Char"/>
    <w:basedOn w:val="1"/>
    <w:autoRedefine/>
    <w:qFormat/>
    <w:uiPriority w:val="0"/>
    <w:pPr>
      <w:spacing w:after="160" w:line="240" w:lineRule="exact"/>
    </w:pPr>
    <w:rPr>
      <w:rFonts w:ascii="Verdana" w:hAnsi="Verdana"/>
      <w:sz w:val="20"/>
      <w:szCs w:val="20"/>
      <w:lang w:eastAsia="en-US"/>
    </w:rPr>
  </w:style>
  <w:style w:type="paragraph" w:customStyle="1" w:styleId="209">
    <w:name w:val="font0"/>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210">
    <w:name w:val="正文2"/>
    <w:basedOn w:val="1"/>
    <w:autoRedefine/>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11">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12">
    <w:name w:val="大纲正文"/>
    <w:basedOn w:val="1"/>
    <w:autoRedefine/>
    <w:qFormat/>
    <w:uiPriority w:val="0"/>
    <w:pPr>
      <w:widowControl w:val="0"/>
      <w:spacing w:line="360" w:lineRule="auto"/>
      <w:ind w:firstLine="480" w:firstLineChars="200"/>
      <w:jc w:val="both"/>
    </w:pPr>
    <w:rPr>
      <w:kern w:val="2"/>
      <w:szCs w:val="20"/>
    </w:rPr>
  </w:style>
  <w:style w:type="paragraph" w:customStyle="1" w:styleId="213">
    <w:name w:val="xl107"/>
    <w:basedOn w:val="1"/>
    <w:autoRedefine/>
    <w:qFormat/>
    <w:uiPriority w:val="0"/>
    <w:pPr>
      <w:spacing w:before="100" w:beforeAutospacing="1" w:after="100" w:afterAutospacing="1"/>
      <w:jc w:val="center"/>
    </w:pPr>
    <w:rPr>
      <w:rFonts w:ascii="宋体" w:hAnsi="宋体" w:cs="宋体"/>
      <w:b/>
      <w:bCs/>
      <w:sz w:val="20"/>
      <w:szCs w:val="20"/>
    </w:rPr>
  </w:style>
  <w:style w:type="paragraph" w:customStyle="1" w:styleId="214">
    <w:name w:val="xl1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15">
    <w:name w:val="页眉 New New"/>
    <w:basedOn w:val="21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16">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页脚 New"/>
    <w:basedOn w:val="189"/>
    <w:autoRedefine/>
    <w:qFormat/>
    <w:uiPriority w:val="0"/>
    <w:pPr>
      <w:tabs>
        <w:tab w:val="center" w:pos="4153"/>
        <w:tab w:val="right" w:pos="8306"/>
      </w:tabs>
      <w:snapToGrid w:val="0"/>
      <w:jc w:val="left"/>
    </w:pPr>
    <w:rPr>
      <w:sz w:val="18"/>
      <w:szCs w:val="18"/>
    </w:rPr>
  </w:style>
  <w:style w:type="paragraph" w:customStyle="1" w:styleId="218">
    <w:name w:val="Char Char1 Char Char Char Char Char Char Char Char Char Char Char Char Char Char"/>
    <w:basedOn w:val="1"/>
    <w:autoRedefine/>
    <w:qFormat/>
    <w:uiPriority w:val="0"/>
    <w:pPr>
      <w:spacing w:after="160" w:line="240" w:lineRule="exact"/>
    </w:pPr>
    <w:rPr>
      <w:rFonts w:ascii="Verdana" w:hAnsi="Verdana"/>
      <w:sz w:val="20"/>
      <w:szCs w:val="20"/>
      <w:lang w:eastAsia="en-US"/>
    </w:rPr>
  </w:style>
  <w:style w:type="paragraph" w:customStyle="1" w:styleId="219">
    <w:name w:val="默认段落字体 Para Char Char Char Char Char Char Char"/>
    <w:basedOn w:val="1"/>
    <w:autoRedefine/>
    <w:qFormat/>
    <w:uiPriority w:val="0"/>
    <w:pPr>
      <w:widowControl w:val="0"/>
      <w:jc w:val="both"/>
    </w:pPr>
    <w:rPr>
      <w:rFonts w:ascii="Tahoma" w:hAnsi="Tahoma"/>
      <w:kern w:val="2"/>
      <w:szCs w:val="20"/>
    </w:rPr>
  </w:style>
  <w:style w:type="paragraph" w:customStyle="1" w:styleId="220">
    <w:name w:val="xl105"/>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21">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文 首行缩进:  2 字符 Char Char"/>
    <w:basedOn w:val="1"/>
    <w:autoRedefine/>
    <w:qFormat/>
    <w:uiPriority w:val="0"/>
    <w:pPr>
      <w:widowControl w:val="0"/>
      <w:spacing w:line="360" w:lineRule="auto"/>
      <w:ind w:firstLine="480"/>
      <w:jc w:val="both"/>
    </w:pPr>
    <w:rPr>
      <w:kern w:val="2"/>
      <w:szCs w:val="20"/>
    </w:rPr>
  </w:style>
  <w:style w:type="paragraph" w:customStyle="1" w:styleId="223">
    <w:name w:val="页脚 New New New New New New New New New New New"/>
    <w:basedOn w:val="133"/>
    <w:autoRedefine/>
    <w:qFormat/>
    <w:uiPriority w:val="0"/>
    <w:pPr>
      <w:tabs>
        <w:tab w:val="center" w:pos="4153"/>
        <w:tab w:val="right" w:pos="8306"/>
      </w:tabs>
      <w:snapToGrid w:val="0"/>
      <w:jc w:val="left"/>
    </w:pPr>
    <w:rPr>
      <w:sz w:val="18"/>
      <w:szCs w:val="18"/>
    </w:rPr>
  </w:style>
  <w:style w:type="paragraph" w:customStyle="1" w:styleId="224">
    <w:name w:val="font6"/>
    <w:basedOn w:val="1"/>
    <w:autoRedefine/>
    <w:qFormat/>
    <w:uiPriority w:val="0"/>
    <w:pPr>
      <w:spacing w:before="100" w:beforeAutospacing="1" w:after="100" w:afterAutospacing="1"/>
    </w:pPr>
    <w:rPr>
      <w:rFonts w:ascii="宋体" w:hAnsi="宋体" w:cs="宋体"/>
      <w:sz w:val="18"/>
      <w:szCs w:val="18"/>
    </w:rPr>
  </w:style>
  <w:style w:type="paragraph" w:customStyle="1" w:styleId="225">
    <w:name w:val="MM Topic 6"/>
    <w:basedOn w:val="7"/>
    <w:autoRedefine/>
    <w:qFormat/>
    <w:uiPriority w:val="0"/>
    <w:pPr>
      <w:tabs>
        <w:tab w:val="left" w:pos="3260"/>
      </w:tabs>
      <w:spacing w:line="317" w:lineRule="auto"/>
      <w:ind w:left="0" w:firstLine="0"/>
    </w:pPr>
    <w:rPr>
      <w:bCs w:val="0"/>
      <w:sz w:val="28"/>
      <w:szCs w:val="20"/>
    </w:rPr>
  </w:style>
  <w:style w:type="paragraph" w:customStyle="1" w:styleId="226">
    <w:name w:val="标题 2 + 楷体_GB2312"/>
    <w:basedOn w:val="3"/>
    <w:autoRedefine/>
    <w:qFormat/>
    <w:uiPriority w:val="0"/>
    <w:pPr>
      <w:tabs>
        <w:tab w:val="left" w:pos="576"/>
        <w:tab w:val="clear" w:pos="720"/>
      </w:tabs>
      <w:spacing w:before="0" w:after="0"/>
      <w:ind w:left="576" w:hanging="576"/>
    </w:pPr>
    <w:rPr>
      <w:rFonts w:ascii="楷体_GB2312" w:eastAsia="楷体_GB2312" w:cs="Times New Roman"/>
      <w:b w:val="0"/>
      <w:bCs w:val="0"/>
      <w:i/>
      <w:iCs w:val="0"/>
      <w:kern w:val="2"/>
      <w:sz w:val="24"/>
      <w:szCs w:val="20"/>
    </w:rPr>
  </w:style>
  <w:style w:type="paragraph" w:customStyle="1" w:styleId="227">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28">
    <w:name w:val="TOC 标题1"/>
    <w:basedOn w:val="2"/>
    <w:next w:val="1"/>
    <w:autoRedefine/>
    <w:qFormat/>
    <w:uiPriority w:val="39"/>
    <w:pPr>
      <w:tabs>
        <w:tab w:val="clear" w:pos="425"/>
      </w:tabs>
      <w:spacing w:before="480" w:after="0" w:line="276" w:lineRule="auto"/>
      <w:ind w:left="0" w:firstLine="0"/>
      <w:jc w:val="left"/>
      <w:outlineLvl w:val="9"/>
    </w:pPr>
    <w:rPr>
      <w:rFonts w:ascii="Cambria" w:hAnsi="Cambria" w:eastAsia="宋体"/>
      <w:color w:val="365F91"/>
      <w:kern w:val="0"/>
      <w:sz w:val="28"/>
      <w:szCs w:val="28"/>
    </w:rPr>
  </w:style>
  <w:style w:type="paragraph" w:customStyle="1" w:styleId="229">
    <w:name w:val="Char1 Char Char Char"/>
    <w:basedOn w:val="1"/>
    <w:next w:val="1"/>
    <w:autoRedefine/>
    <w:qFormat/>
    <w:uiPriority w:val="0"/>
    <w:pPr>
      <w:widowControl w:val="0"/>
      <w:spacing w:line="240" w:lineRule="atLeast"/>
      <w:ind w:left="420" w:firstLine="420"/>
    </w:pPr>
    <w:rPr>
      <w:sz w:val="21"/>
      <w:szCs w:val="20"/>
    </w:rPr>
  </w:style>
  <w:style w:type="paragraph" w:customStyle="1" w:styleId="230">
    <w:name w:val="样式 首行缩进:  2 字符"/>
    <w:basedOn w:val="1"/>
    <w:autoRedefine/>
    <w:qFormat/>
    <w:uiPriority w:val="0"/>
    <w:pPr>
      <w:widowControl w:val="0"/>
      <w:ind w:firstLine="420" w:firstLineChars="200"/>
      <w:jc w:val="both"/>
    </w:pPr>
    <w:rPr>
      <w:rFonts w:cs="宋体"/>
      <w:kern w:val="2"/>
      <w:sz w:val="21"/>
      <w:szCs w:val="20"/>
    </w:rPr>
  </w:style>
  <w:style w:type="paragraph" w:customStyle="1" w:styleId="23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2">
    <w:name w:val="页脚 New New New New New"/>
    <w:basedOn w:val="143"/>
    <w:autoRedefine/>
    <w:qFormat/>
    <w:uiPriority w:val="0"/>
    <w:pPr>
      <w:tabs>
        <w:tab w:val="center" w:pos="4153"/>
        <w:tab w:val="right" w:pos="8306"/>
      </w:tabs>
      <w:snapToGrid w:val="0"/>
      <w:jc w:val="left"/>
    </w:pPr>
    <w:rPr>
      <w:sz w:val="18"/>
      <w:szCs w:val="18"/>
    </w:rPr>
  </w:style>
  <w:style w:type="paragraph" w:customStyle="1" w:styleId="233">
    <w:name w:val="table head"/>
    <w:basedOn w:val="1"/>
    <w:autoRedefine/>
    <w:qFormat/>
    <w:uiPriority w:val="0"/>
    <w:pPr>
      <w:keepNext/>
      <w:keepLines/>
      <w:widowControl w:val="0"/>
      <w:adjustRightInd w:val="0"/>
      <w:spacing w:line="312" w:lineRule="atLeast"/>
      <w:jc w:val="center"/>
      <w:textAlignment w:val="baseline"/>
    </w:pPr>
    <w:rPr>
      <w:b/>
      <w:sz w:val="21"/>
      <w:szCs w:val="20"/>
    </w:rPr>
  </w:style>
  <w:style w:type="paragraph" w:customStyle="1" w:styleId="234">
    <w:name w:val="页眉 New"/>
    <w:basedOn w:val="18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5">
    <w:name w:val="页脚 New New New New New New New New New New New New New New"/>
    <w:basedOn w:val="236"/>
    <w:autoRedefine/>
    <w:qFormat/>
    <w:uiPriority w:val="0"/>
    <w:pPr>
      <w:tabs>
        <w:tab w:val="center" w:pos="4153"/>
        <w:tab w:val="right" w:pos="8306"/>
      </w:tabs>
      <w:snapToGrid w:val="0"/>
      <w:jc w:val="left"/>
    </w:pPr>
    <w:rPr>
      <w:sz w:val="18"/>
      <w:szCs w:val="18"/>
    </w:rPr>
  </w:style>
  <w:style w:type="paragraph" w:customStyle="1" w:styleId="236">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xl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38">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styleId="239">
    <w:name w:val="List Paragraph"/>
    <w:basedOn w:val="1"/>
    <w:autoRedefine/>
    <w:qFormat/>
    <w:uiPriority w:val="34"/>
    <w:pPr>
      <w:widowControl w:val="0"/>
      <w:ind w:firstLine="420" w:firstLineChars="200"/>
      <w:jc w:val="both"/>
    </w:pPr>
    <w:rPr>
      <w:rFonts w:ascii="Calibri" w:hAnsi="Calibri"/>
      <w:kern w:val="2"/>
      <w:sz w:val="21"/>
      <w:szCs w:val="22"/>
    </w:rPr>
  </w:style>
  <w:style w:type="paragraph" w:customStyle="1" w:styleId="240">
    <w:name w:val="pa-107"/>
    <w:basedOn w:val="1"/>
    <w:autoRedefine/>
    <w:qFormat/>
    <w:uiPriority w:val="0"/>
    <w:pPr>
      <w:spacing w:line="360" w:lineRule="atLeast"/>
      <w:jc w:val="both"/>
    </w:pPr>
    <w:rPr>
      <w:rFonts w:ascii="宋体" w:hAnsi="宋体" w:cs="宋体"/>
    </w:rPr>
  </w:style>
  <w:style w:type="paragraph" w:customStyle="1" w:styleId="241">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42">
    <w:name w:val="页眉 New New New New New New New New New New"/>
    <w:basedOn w:val="17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3">
    <w:name w:val="页眉 New New New New New New New New New New New New New New New"/>
    <w:basedOn w:val="15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4">
    <w:name w:val="正文段落"/>
    <w:basedOn w:val="1"/>
    <w:autoRedefine/>
    <w:qFormat/>
    <w:uiPriority w:val="0"/>
    <w:pPr>
      <w:widowControl w:val="0"/>
      <w:spacing w:line="300" w:lineRule="auto"/>
      <w:ind w:firstLine="510"/>
      <w:jc w:val="both"/>
    </w:pPr>
    <w:rPr>
      <w:kern w:val="2"/>
      <w:szCs w:val="20"/>
    </w:rPr>
  </w:style>
  <w:style w:type="paragraph" w:customStyle="1" w:styleId="245">
    <w:name w:val="MM Topic 4"/>
    <w:basedOn w:val="5"/>
    <w:autoRedefine/>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46">
    <w:name w:val="正文序号 2"/>
    <w:basedOn w:val="1"/>
    <w:autoRedefine/>
    <w:qFormat/>
    <w:uiPriority w:val="0"/>
    <w:pPr>
      <w:widowControl w:val="0"/>
      <w:tabs>
        <w:tab w:val="left" w:pos="1049"/>
      </w:tabs>
      <w:spacing w:before="60"/>
      <w:ind w:left="840" w:hanging="420"/>
      <w:jc w:val="both"/>
    </w:pPr>
    <w:rPr>
      <w:kern w:val="2"/>
      <w:sz w:val="21"/>
      <w:szCs w:val="20"/>
    </w:rPr>
  </w:style>
  <w:style w:type="paragraph" w:customStyle="1" w:styleId="247">
    <w:name w:val="页眉 New New New New New New New New New New New New New"/>
    <w:basedOn w:val="24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8">
    <w:name w:val="正文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2"/>
    <w:basedOn w:val="1"/>
    <w:autoRedefine/>
    <w:qFormat/>
    <w:uiPriority w:val="0"/>
    <w:pPr>
      <w:spacing w:before="100" w:beforeAutospacing="1" w:after="100" w:afterAutospacing="1"/>
    </w:pPr>
    <w:rPr>
      <w:rFonts w:ascii="宋体" w:hAnsi="宋体"/>
      <w:sz w:val="21"/>
      <w:szCs w:val="21"/>
    </w:rPr>
  </w:style>
  <w:style w:type="paragraph" w:customStyle="1" w:styleId="250">
    <w:name w:val="Item List"/>
    <w:autoRedefine/>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51">
    <w:name w:val="MM Topic 9"/>
    <w:basedOn w:val="10"/>
    <w:autoRedefine/>
    <w:qFormat/>
    <w:uiPriority w:val="0"/>
    <w:pPr>
      <w:tabs>
        <w:tab w:val="left" w:pos="5102"/>
      </w:tabs>
    </w:pPr>
  </w:style>
  <w:style w:type="paragraph" w:customStyle="1" w:styleId="252">
    <w:name w:val="xl111"/>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253">
    <w:name w:val="页眉 New New New"/>
    <w:basedOn w:val="15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4">
    <w:name w:val="表格"/>
    <w:basedOn w:val="1"/>
    <w:autoRedefine/>
    <w:qFormat/>
    <w:uiPriority w:val="0"/>
    <w:pPr>
      <w:widowControl w:val="0"/>
      <w:spacing w:line="400" w:lineRule="exact"/>
      <w:jc w:val="both"/>
    </w:pPr>
    <w:rPr>
      <w:kern w:val="2"/>
    </w:rPr>
  </w:style>
  <w:style w:type="paragraph" w:customStyle="1" w:styleId="255">
    <w:name w:val="xl9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56">
    <w:name w:val="默认段落字体 Para Char Char"/>
    <w:basedOn w:val="1"/>
    <w:autoRedefine/>
    <w:qFormat/>
    <w:uiPriority w:val="0"/>
    <w:pPr>
      <w:widowControl w:val="0"/>
      <w:jc w:val="both"/>
    </w:pPr>
    <w:rPr>
      <w:kern w:val="2"/>
      <w:sz w:val="21"/>
      <w:szCs w:val="20"/>
    </w:rPr>
  </w:style>
  <w:style w:type="paragraph" w:customStyle="1" w:styleId="257">
    <w:name w:val="xl114"/>
    <w:basedOn w:val="1"/>
    <w:autoRedefine/>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58">
    <w:name w:val="正文首行缩进两字符"/>
    <w:basedOn w:val="1"/>
    <w:autoRedefine/>
    <w:qFormat/>
    <w:uiPriority w:val="0"/>
    <w:pPr>
      <w:widowControl w:val="0"/>
      <w:spacing w:line="360" w:lineRule="auto"/>
      <w:ind w:firstLine="200" w:firstLineChars="200"/>
      <w:jc w:val="both"/>
    </w:pPr>
    <w:rPr>
      <w:kern w:val="2"/>
      <w:sz w:val="21"/>
      <w:szCs w:val="20"/>
    </w:rPr>
  </w:style>
  <w:style w:type="paragraph" w:customStyle="1" w:styleId="259">
    <w:name w:val="页脚 New New"/>
    <w:basedOn w:val="216"/>
    <w:autoRedefine/>
    <w:qFormat/>
    <w:uiPriority w:val="0"/>
    <w:pPr>
      <w:tabs>
        <w:tab w:val="center" w:pos="4153"/>
        <w:tab w:val="right" w:pos="8306"/>
      </w:tabs>
      <w:snapToGrid w:val="0"/>
      <w:jc w:val="left"/>
    </w:pPr>
    <w:rPr>
      <w:sz w:val="18"/>
      <w:szCs w:val="18"/>
    </w:rPr>
  </w:style>
  <w:style w:type="paragraph" w:customStyle="1" w:styleId="260">
    <w:name w:val="论文正文"/>
    <w:basedOn w:val="1"/>
    <w:autoRedefine/>
    <w:qFormat/>
    <w:uiPriority w:val="0"/>
    <w:pPr>
      <w:widowControl w:val="0"/>
      <w:spacing w:line="300" w:lineRule="auto"/>
      <w:ind w:firstLine="200" w:firstLineChars="200"/>
      <w:jc w:val="both"/>
    </w:pPr>
    <w:rPr>
      <w:kern w:val="2"/>
    </w:rPr>
  </w:style>
  <w:style w:type="paragraph" w:customStyle="1" w:styleId="261">
    <w:name w:val="纯文本1"/>
    <w:basedOn w:val="1"/>
    <w:autoRedefine/>
    <w:qFormat/>
    <w:uiPriority w:val="0"/>
    <w:pPr>
      <w:widowControl w:val="0"/>
      <w:adjustRightInd w:val="0"/>
      <w:jc w:val="both"/>
      <w:textAlignment w:val="baseline"/>
    </w:pPr>
    <w:rPr>
      <w:rFonts w:ascii="宋体" w:hAnsi="Courier New"/>
      <w:kern w:val="2"/>
      <w:sz w:val="21"/>
      <w:szCs w:val="20"/>
    </w:rPr>
  </w:style>
  <w:style w:type="paragraph" w:customStyle="1" w:styleId="262">
    <w:name w:val="标题 4[858D7CFB-ED40-4347-BF05-701D383B685F][858D7CFB-ED40-4347-BF05-701D383B685F]"/>
    <w:basedOn w:val="1"/>
    <w:autoRedefine/>
    <w:qFormat/>
    <w:uiPriority w:val="0"/>
    <w:pPr>
      <w:tabs>
        <w:tab w:val="left" w:pos="6131"/>
      </w:tabs>
      <w:ind w:left="6131" w:hanging="851"/>
    </w:pPr>
  </w:style>
  <w:style w:type="paragraph" w:customStyle="1" w:styleId="263">
    <w:name w:val="MM Topic 1"/>
    <w:basedOn w:val="2"/>
    <w:autoRedefine/>
    <w:qFormat/>
    <w:uiPriority w:val="0"/>
    <w:pPr>
      <w:widowControl w:val="0"/>
      <w:tabs>
        <w:tab w:val="left" w:pos="4265"/>
        <w:tab w:val="clear" w:pos="425"/>
      </w:tabs>
      <w:spacing w:line="576" w:lineRule="auto"/>
      <w:ind w:left="0" w:firstLine="0"/>
    </w:pPr>
    <w:rPr>
      <w:rFonts w:ascii="Times New Roman" w:hAnsi="Times New Roman"/>
      <w:bCs w:val="0"/>
      <w:sz w:val="44"/>
      <w:szCs w:val="20"/>
    </w:rPr>
  </w:style>
  <w:style w:type="paragraph" w:customStyle="1" w:styleId="264">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65">
    <w:name w:val="页脚 New New New New New New New New New New New New New New New New"/>
    <w:basedOn w:val="159"/>
    <w:autoRedefine/>
    <w:qFormat/>
    <w:uiPriority w:val="0"/>
    <w:pPr>
      <w:tabs>
        <w:tab w:val="center" w:pos="4153"/>
        <w:tab w:val="right" w:pos="8306"/>
      </w:tabs>
      <w:snapToGrid w:val="0"/>
      <w:jc w:val="left"/>
    </w:pPr>
    <w:rPr>
      <w:sz w:val="18"/>
      <w:szCs w:val="18"/>
    </w:rPr>
  </w:style>
  <w:style w:type="paragraph" w:customStyle="1" w:styleId="26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font7"/>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268">
    <w:name w:val="xl77"/>
    <w:basedOn w:val="1"/>
    <w:autoRedefine/>
    <w:qFormat/>
    <w:uiPriority w:val="0"/>
    <w:pPr>
      <w:spacing w:before="100" w:beforeAutospacing="1" w:after="100" w:afterAutospacing="1"/>
      <w:jc w:val="center"/>
    </w:pPr>
    <w:rPr>
      <w:rFonts w:ascii="宋体" w:hAnsi="宋体" w:cs="宋体"/>
    </w:rPr>
  </w:style>
  <w:style w:type="paragraph" w:customStyle="1" w:styleId="269">
    <w:name w:val="样式 标题 1 + 宋体 居中 段前: 17 磅 段后: 16.5 磅"/>
    <w:basedOn w:val="2"/>
    <w:autoRedefine/>
    <w:qFormat/>
    <w:uiPriority w:val="0"/>
    <w:pPr>
      <w:pageBreakBefore/>
      <w:tabs>
        <w:tab w:val="left" w:pos="840"/>
        <w:tab w:val="clear" w:pos="425"/>
      </w:tabs>
      <w:ind w:left="840" w:hanging="420"/>
    </w:pPr>
    <w:rPr>
      <w:rFonts w:cs="宋体"/>
      <w:sz w:val="28"/>
      <w:szCs w:val="20"/>
    </w:rPr>
  </w:style>
  <w:style w:type="paragraph" w:customStyle="1" w:styleId="270">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1">
    <w:name w:val="默认段落字体 Para Char Char Char Char Char Char Char Char Char1 Char Char Char Char"/>
    <w:basedOn w:val="1"/>
    <w:autoRedefine/>
    <w:qFormat/>
    <w:uiPriority w:val="0"/>
    <w:pPr>
      <w:widowControl w:val="0"/>
      <w:jc w:val="both"/>
    </w:pPr>
    <w:rPr>
      <w:rFonts w:ascii="Tahoma" w:hAnsi="Tahoma"/>
      <w:kern w:val="2"/>
      <w:szCs w:val="20"/>
    </w:rPr>
  </w:style>
  <w:style w:type="paragraph" w:customStyle="1" w:styleId="272">
    <w:name w:val="xl26"/>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273">
    <w:name w:val="标3"/>
    <w:basedOn w:val="1"/>
    <w:autoRedefine/>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74">
    <w:name w:val="页眉 New New New New New New New New New New New New New New"/>
    <w:basedOn w:val="23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5">
    <w:name w:val="我的正文"/>
    <w:basedOn w:val="1"/>
    <w:autoRedefine/>
    <w:qFormat/>
    <w:uiPriority w:val="0"/>
    <w:pPr>
      <w:widowControl w:val="0"/>
      <w:spacing w:line="360" w:lineRule="auto"/>
      <w:ind w:firstLine="420" w:firstLineChars="200"/>
      <w:jc w:val="both"/>
    </w:pPr>
    <w:rPr>
      <w:rFonts w:ascii="宋体" w:hAnsi="宋体"/>
      <w:kern w:val="2"/>
      <w:sz w:val="21"/>
      <w:szCs w:val="20"/>
    </w:rPr>
  </w:style>
  <w:style w:type="paragraph" w:customStyle="1" w:styleId="276">
    <w:name w:val="1 Char Char Char Char"/>
    <w:basedOn w:val="1"/>
    <w:autoRedefine/>
    <w:qFormat/>
    <w:uiPriority w:val="0"/>
    <w:pPr>
      <w:widowControl w:val="0"/>
      <w:jc w:val="both"/>
    </w:pPr>
    <w:rPr>
      <w:rFonts w:ascii="Tahoma" w:hAnsi="Tahoma"/>
      <w:kern w:val="2"/>
      <w:szCs w:val="20"/>
    </w:rPr>
  </w:style>
  <w:style w:type="paragraph" w:customStyle="1" w:styleId="277">
    <w:name w:val="Style Style4 + First line:  2 ch Before:  0.5 line After:  0.5 li..."/>
    <w:basedOn w:val="1"/>
    <w:autoRedefine/>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278">
    <w:name w:val="xl78"/>
    <w:basedOn w:val="1"/>
    <w:autoRedefine/>
    <w:qFormat/>
    <w:uiPriority w:val="0"/>
    <w:pPr>
      <w:spacing w:before="100" w:beforeAutospacing="1" w:after="100" w:afterAutospacing="1"/>
      <w:jc w:val="center"/>
    </w:pPr>
    <w:rPr>
      <w:rFonts w:ascii="宋体" w:hAnsi="宋体" w:cs="宋体"/>
    </w:rPr>
  </w:style>
  <w:style w:type="paragraph" w:customStyle="1" w:styleId="279">
    <w:name w:val="Char Char Char Char Char Char Char Char Char Char"/>
    <w:basedOn w:val="1"/>
    <w:autoRedefine/>
    <w:qFormat/>
    <w:uiPriority w:val="0"/>
    <w:pPr>
      <w:widowControl w:val="0"/>
      <w:jc w:val="both"/>
    </w:pPr>
    <w:rPr>
      <w:rFonts w:ascii="Tahoma" w:hAnsi="Tahoma" w:cs="仿宋_GB2312"/>
      <w:kern w:val="2"/>
      <w:szCs w:val="20"/>
    </w:rPr>
  </w:style>
  <w:style w:type="paragraph" w:customStyle="1" w:styleId="280">
    <w:name w:val="Char11"/>
    <w:basedOn w:val="1"/>
    <w:next w:val="1"/>
    <w:autoRedefine/>
    <w:qFormat/>
    <w:uiPriority w:val="0"/>
    <w:pPr>
      <w:widowControl w:val="0"/>
      <w:spacing w:line="240" w:lineRule="atLeast"/>
      <w:ind w:left="420" w:firstLine="420"/>
    </w:pPr>
    <w:rPr>
      <w:sz w:val="21"/>
      <w:szCs w:val="21"/>
    </w:rPr>
  </w:style>
  <w:style w:type="paragraph" w:customStyle="1" w:styleId="281">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2">
    <w:name w:val="Char Char Char Char Char Char Char Char Char Char Char Char Char"/>
    <w:basedOn w:val="14"/>
    <w:autoRedefine/>
    <w:qFormat/>
    <w:uiPriority w:val="0"/>
    <w:pPr>
      <w:widowControl w:val="0"/>
      <w:jc w:val="both"/>
    </w:pPr>
    <w:rPr>
      <w:rFonts w:ascii="Tahoma" w:hAnsi="Tahoma"/>
      <w:kern w:val="2"/>
      <w:szCs w:val="20"/>
    </w:rPr>
  </w:style>
  <w:style w:type="paragraph" w:customStyle="1" w:styleId="283">
    <w:name w:val="页眉 New New New New New"/>
    <w:basedOn w:val="143"/>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84">
    <w:name w:val="xl112"/>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85">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86">
    <w:name w:val="xl76"/>
    <w:basedOn w:val="1"/>
    <w:autoRedefine/>
    <w:qFormat/>
    <w:uiPriority w:val="0"/>
    <w:pPr>
      <w:spacing w:before="100" w:beforeAutospacing="1" w:after="100" w:afterAutospacing="1"/>
      <w:jc w:val="center"/>
    </w:pPr>
    <w:rPr>
      <w:rFonts w:ascii="宋体" w:hAnsi="宋体" w:cs="宋体"/>
    </w:rPr>
  </w:style>
  <w:style w:type="paragraph" w:customStyle="1" w:styleId="287">
    <w:name w:val="页脚 New New New New New New New New New New New New New"/>
    <w:basedOn w:val="248"/>
    <w:autoRedefine/>
    <w:qFormat/>
    <w:uiPriority w:val="0"/>
    <w:pPr>
      <w:tabs>
        <w:tab w:val="center" w:pos="4153"/>
        <w:tab w:val="right" w:pos="8306"/>
      </w:tabs>
      <w:snapToGrid w:val="0"/>
      <w:jc w:val="left"/>
    </w:pPr>
    <w:rPr>
      <w:sz w:val="18"/>
      <w:szCs w:val="18"/>
    </w:rPr>
  </w:style>
  <w:style w:type="paragraph" w:customStyle="1" w:styleId="288">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89">
    <w:name w:val="样式 右侧:  1 字符1"/>
    <w:basedOn w:val="1"/>
    <w:autoRedefine/>
    <w:qFormat/>
    <w:uiPriority w:val="0"/>
    <w:pPr>
      <w:widowControl w:val="0"/>
      <w:ind w:left="240" w:leftChars="100" w:right="100" w:rightChars="100"/>
      <w:jc w:val="both"/>
    </w:pPr>
    <w:rPr>
      <w:rFonts w:eastAsia="仿宋_GB2312"/>
      <w:kern w:val="2"/>
      <w:sz w:val="28"/>
      <w:szCs w:val="20"/>
    </w:rPr>
  </w:style>
  <w:style w:type="paragraph" w:customStyle="1" w:styleId="290">
    <w:name w:val="MM Topic 2"/>
    <w:basedOn w:val="3"/>
    <w:autoRedefine/>
    <w:qFormat/>
    <w:uiPriority w:val="0"/>
    <w:pPr>
      <w:tabs>
        <w:tab w:val="left" w:pos="992"/>
        <w:tab w:val="clear" w:pos="720"/>
      </w:tabs>
    </w:pPr>
    <w:rPr>
      <w:rFonts w:ascii="Arial" w:cs="Times New Roman"/>
      <w:bCs w:val="0"/>
      <w:iCs w:val="0"/>
      <w:color w:val="000000"/>
      <w:kern w:val="2"/>
      <w:szCs w:val="20"/>
    </w:rPr>
  </w:style>
  <w:style w:type="paragraph" w:customStyle="1" w:styleId="291">
    <w:name w:val="插图题注"/>
    <w:next w:val="1"/>
    <w:autoRedefine/>
    <w:qFormat/>
    <w:uiPriority w:val="0"/>
    <w:pPr>
      <w:tabs>
        <w:tab w:val="left" w:pos="1418"/>
      </w:tabs>
      <w:spacing w:afterLines="100"/>
      <w:ind w:left="5258" w:hanging="1418"/>
      <w:jc w:val="center"/>
    </w:pPr>
    <w:rPr>
      <w:rFonts w:ascii="Arial" w:hAnsi="Arial" w:eastAsia="宋体" w:cs="Times New Roman"/>
      <w:sz w:val="18"/>
      <w:lang w:val="en-US" w:eastAsia="zh-CN" w:bidi="ar-SA"/>
    </w:rPr>
  </w:style>
  <w:style w:type="paragraph" w:customStyle="1" w:styleId="292">
    <w:name w:val="页脚 New New New"/>
    <w:basedOn w:val="154"/>
    <w:autoRedefine/>
    <w:qFormat/>
    <w:uiPriority w:val="0"/>
    <w:pPr>
      <w:tabs>
        <w:tab w:val="center" w:pos="4153"/>
        <w:tab w:val="right" w:pos="8306"/>
      </w:tabs>
      <w:snapToGrid w:val="0"/>
      <w:jc w:val="left"/>
    </w:pPr>
    <w:rPr>
      <w:sz w:val="18"/>
      <w:szCs w:val="18"/>
    </w:rPr>
  </w:style>
  <w:style w:type="paragraph" w:customStyle="1" w:styleId="293">
    <w:name w:val="xl79"/>
    <w:basedOn w:val="1"/>
    <w:autoRedefine/>
    <w:qFormat/>
    <w:uiPriority w:val="0"/>
    <w:pPr>
      <w:spacing w:before="100" w:beforeAutospacing="1" w:after="100" w:afterAutospacing="1"/>
      <w:jc w:val="center"/>
    </w:pPr>
    <w:rPr>
      <w:rFonts w:ascii="宋体" w:hAnsi="宋体" w:cs="宋体"/>
    </w:rPr>
  </w:style>
  <w:style w:type="paragraph" w:customStyle="1" w:styleId="294">
    <w:name w:val="p4"/>
    <w:basedOn w:val="1"/>
    <w:autoRedefine/>
    <w:qFormat/>
    <w:uiPriority w:val="0"/>
    <w:pPr>
      <w:spacing w:before="100" w:beforeAutospacing="1" w:after="100" w:afterAutospacing="1" w:line="360" w:lineRule="auto"/>
      <w:ind w:firstLine="360"/>
    </w:pPr>
    <w:rPr>
      <w:rFonts w:ascii="宋体" w:hAnsi="宋体"/>
    </w:rPr>
  </w:style>
  <w:style w:type="paragraph" w:customStyle="1" w:styleId="295">
    <w:name w:val="font9"/>
    <w:basedOn w:val="1"/>
    <w:autoRedefine/>
    <w:qFormat/>
    <w:uiPriority w:val="0"/>
    <w:pPr>
      <w:spacing w:before="100" w:beforeAutospacing="1" w:after="100" w:afterAutospacing="1"/>
    </w:pPr>
    <w:rPr>
      <w:rFonts w:ascii="宋体" w:hAnsi="宋体" w:cs="宋体"/>
      <w:sz w:val="18"/>
      <w:szCs w:val="18"/>
    </w:rPr>
  </w:style>
  <w:style w:type="paragraph" w:customStyle="1" w:styleId="296">
    <w:name w:val="xl102"/>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97">
    <w:name w:val="样式3"/>
    <w:basedOn w:val="23"/>
    <w:autoRedefine/>
    <w:qFormat/>
    <w:uiPriority w:val="0"/>
    <w:pPr>
      <w:autoSpaceDE/>
      <w:autoSpaceDN/>
      <w:adjustRightInd/>
      <w:spacing w:line="0" w:lineRule="atLeast"/>
      <w:outlineLvl w:val="0"/>
    </w:pPr>
    <w:rPr>
      <w:rFonts w:hAnsi="Courier New"/>
      <w:kern w:val="2"/>
      <w:sz w:val="28"/>
    </w:rPr>
  </w:style>
  <w:style w:type="paragraph" w:customStyle="1" w:styleId="298">
    <w:name w:val="页眉 New New New New New New"/>
    <w:basedOn w:val="16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9">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00">
    <w:name w:val="ptdl"/>
    <w:basedOn w:val="1"/>
    <w:autoRedefine/>
    <w:qFormat/>
    <w:uiPriority w:val="0"/>
    <w:pPr>
      <w:widowControl w:val="0"/>
      <w:spacing w:after="156"/>
      <w:ind w:firstLine="480"/>
      <w:jc w:val="both"/>
    </w:pPr>
    <w:rPr>
      <w:kern w:val="2"/>
      <w:szCs w:val="20"/>
    </w:rPr>
  </w:style>
  <w:style w:type="paragraph" w:customStyle="1" w:styleId="301">
    <w:name w:val="font5"/>
    <w:basedOn w:val="1"/>
    <w:autoRedefine/>
    <w:qFormat/>
    <w:uiPriority w:val="0"/>
    <w:pPr>
      <w:spacing w:before="100" w:beforeAutospacing="1" w:after="100" w:afterAutospacing="1"/>
    </w:pPr>
    <w:rPr>
      <w:rFonts w:ascii="宋体" w:hAnsi="宋体" w:cs="宋体"/>
      <w:sz w:val="22"/>
      <w:szCs w:val="22"/>
    </w:rPr>
  </w:style>
  <w:style w:type="paragraph" w:customStyle="1" w:styleId="302">
    <w:name w:val="文章正文 Char Char1"/>
    <w:basedOn w:val="1"/>
    <w:autoRedefine/>
    <w:qFormat/>
    <w:uiPriority w:val="0"/>
    <w:pPr>
      <w:widowControl w:val="0"/>
      <w:spacing w:line="360" w:lineRule="auto"/>
      <w:ind w:firstLine="420"/>
      <w:jc w:val="both"/>
    </w:pPr>
    <w:rPr>
      <w:kern w:val="2"/>
      <w:szCs w:val="20"/>
    </w:rPr>
  </w:style>
  <w:style w:type="paragraph" w:customStyle="1" w:styleId="303">
    <w:name w:val="页脚 New New New New New New New New New New New New"/>
    <w:basedOn w:val="161"/>
    <w:autoRedefine/>
    <w:qFormat/>
    <w:uiPriority w:val="0"/>
    <w:pPr>
      <w:tabs>
        <w:tab w:val="center" w:pos="4153"/>
        <w:tab w:val="right" w:pos="8306"/>
      </w:tabs>
      <w:snapToGrid w:val="0"/>
      <w:jc w:val="left"/>
    </w:pPr>
    <w:rPr>
      <w:sz w:val="18"/>
      <w:szCs w:val="18"/>
    </w:rPr>
  </w:style>
  <w:style w:type="paragraph" w:customStyle="1" w:styleId="304">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05">
    <w:name w:val="默认段落字体 Para Char Char Char1 Char"/>
    <w:basedOn w:val="1"/>
    <w:next w:val="1"/>
    <w:autoRedefine/>
    <w:qFormat/>
    <w:uiPriority w:val="0"/>
    <w:pPr>
      <w:widowControl w:val="0"/>
      <w:spacing w:line="240" w:lineRule="atLeast"/>
      <w:ind w:left="420" w:firstLine="420"/>
    </w:pPr>
    <w:rPr>
      <w:sz w:val="21"/>
      <w:szCs w:val="21"/>
    </w:rPr>
  </w:style>
  <w:style w:type="paragraph" w:customStyle="1" w:styleId="306">
    <w:name w:val="Char Char Char Char Char Char1 Char"/>
    <w:basedOn w:val="14"/>
    <w:autoRedefine/>
    <w:qFormat/>
    <w:uiPriority w:val="0"/>
    <w:pPr>
      <w:widowControl w:val="0"/>
      <w:jc w:val="both"/>
    </w:pPr>
    <w:rPr>
      <w:rFonts w:ascii="Tahoma" w:hAnsi="Tahoma"/>
      <w:kern w:val="2"/>
    </w:rPr>
  </w:style>
  <w:style w:type="paragraph" w:customStyle="1" w:styleId="307">
    <w:name w:val="xl103"/>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308">
    <w:name w:val="xl115"/>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309">
    <w:name w:val="xl72"/>
    <w:basedOn w:val="1"/>
    <w:autoRedefine/>
    <w:qFormat/>
    <w:uiPriority w:val="0"/>
    <w:pPr>
      <w:spacing w:before="100" w:beforeAutospacing="1" w:after="100" w:afterAutospacing="1"/>
      <w:jc w:val="center"/>
    </w:pPr>
    <w:rPr>
      <w:rFonts w:ascii="宋体" w:hAnsi="宋体" w:cs="宋体"/>
    </w:rPr>
  </w:style>
  <w:style w:type="paragraph" w:customStyle="1" w:styleId="310">
    <w:name w:val="表格题注"/>
    <w:next w:val="1"/>
    <w:autoRedefine/>
    <w:qFormat/>
    <w:uiPriority w:val="0"/>
    <w:pPr>
      <w:keepLines/>
      <w:tabs>
        <w:tab w:val="left" w:pos="1559"/>
      </w:tabs>
      <w:spacing w:beforeLines="100"/>
      <w:ind w:left="5399" w:hanging="1559"/>
      <w:jc w:val="center"/>
    </w:pPr>
    <w:rPr>
      <w:rFonts w:ascii="Arial" w:hAnsi="Arial" w:eastAsia="宋体" w:cs="Times New Roman"/>
      <w:sz w:val="18"/>
      <w:lang w:val="en-US" w:eastAsia="zh-CN" w:bidi="ar-SA"/>
    </w:rPr>
  </w:style>
  <w:style w:type="paragraph" w:customStyle="1" w:styleId="31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2">
    <w:name w:val="页眉 New New New New New New New"/>
    <w:basedOn w:val="12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3">
    <w:name w:val="xl1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314">
    <w:name w:val="页眉 New New New New New New New New"/>
    <w:basedOn w:val="12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5">
    <w:name w:val="8"/>
    <w:basedOn w:val="1"/>
    <w:autoRedefine/>
    <w:qFormat/>
    <w:uiPriority w:val="0"/>
    <w:pPr>
      <w:spacing w:before="100" w:beforeAutospacing="1" w:after="100" w:afterAutospacing="1" w:line="432" w:lineRule="auto"/>
    </w:pPr>
    <w:rPr>
      <w:rFonts w:ascii="宋体" w:hAnsi="宋体"/>
      <w:szCs w:val="21"/>
    </w:rPr>
  </w:style>
  <w:style w:type="paragraph" w:customStyle="1" w:styleId="316">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7">
    <w:name w:val="plaintext"/>
    <w:basedOn w:val="1"/>
    <w:autoRedefine/>
    <w:qFormat/>
    <w:uiPriority w:val="0"/>
    <w:pPr>
      <w:spacing w:before="100" w:beforeAutospacing="1" w:after="100" w:afterAutospacing="1"/>
    </w:pPr>
    <w:rPr>
      <w:rFonts w:ascii="宋体" w:hAnsi="宋体"/>
    </w:rPr>
  </w:style>
  <w:style w:type="paragraph" w:customStyle="1" w:styleId="318">
    <w:name w:val="正文序号 1"/>
    <w:basedOn w:val="1"/>
    <w:autoRedefine/>
    <w:qFormat/>
    <w:uiPriority w:val="0"/>
    <w:pPr>
      <w:widowControl w:val="0"/>
      <w:tabs>
        <w:tab w:val="left" w:pos="839"/>
      </w:tabs>
      <w:spacing w:before="60"/>
      <w:ind w:left="360" w:hanging="360"/>
      <w:jc w:val="both"/>
    </w:pPr>
    <w:rPr>
      <w:kern w:val="2"/>
      <w:sz w:val="21"/>
      <w:szCs w:val="20"/>
    </w:rPr>
  </w:style>
  <w:style w:type="paragraph" w:customStyle="1" w:styleId="319">
    <w:name w:val="标准正文"/>
    <w:basedOn w:val="1"/>
    <w:autoRedefine/>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320">
    <w:name w:val="Char3"/>
    <w:basedOn w:val="1"/>
    <w:next w:val="1"/>
    <w:autoRedefine/>
    <w:qFormat/>
    <w:uiPriority w:val="0"/>
    <w:pPr>
      <w:widowControl w:val="0"/>
      <w:spacing w:line="240" w:lineRule="atLeast"/>
      <w:ind w:left="420" w:firstLine="420"/>
    </w:pPr>
    <w:rPr>
      <w:kern w:val="2"/>
      <w:szCs w:val="20"/>
    </w:rPr>
  </w:style>
  <w:style w:type="paragraph" w:customStyle="1" w:styleId="321">
    <w:name w:val="Table Text"/>
    <w:basedOn w:val="1"/>
    <w:autoRedefine/>
    <w:qFormat/>
    <w:uiPriority w:val="0"/>
    <w:pPr>
      <w:spacing w:before="60" w:after="60"/>
    </w:pPr>
    <w:rPr>
      <w:sz w:val="21"/>
    </w:rPr>
  </w:style>
  <w:style w:type="paragraph" w:customStyle="1" w:styleId="322">
    <w:name w:val="页脚 New New New New New New New New New New New New New New New"/>
    <w:basedOn w:val="150"/>
    <w:autoRedefine/>
    <w:qFormat/>
    <w:uiPriority w:val="0"/>
    <w:pPr>
      <w:tabs>
        <w:tab w:val="center" w:pos="4153"/>
        <w:tab w:val="right" w:pos="8306"/>
      </w:tabs>
      <w:snapToGrid w:val="0"/>
      <w:jc w:val="left"/>
    </w:pPr>
    <w:rPr>
      <w:sz w:val="18"/>
      <w:szCs w:val="18"/>
    </w:rPr>
  </w:style>
  <w:style w:type="paragraph" w:customStyle="1" w:styleId="323">
    <w:name w:val="WW-正文（首行缩进两字）"/>
    <w:basedOn w:val="1"/>
    <w:autoRedefine/>
    <w:qFormat/>
    <w:uiPriority w:val="0"/>
    <w:pPr>
      <w:widowControl w:val="0"/>
      <w:autoSpaceDE w:val="0"/>
      <w:autoSpaceDN w:val="0"/>
      <w:adjustRightInd w:val="0"/>
      <w:ind w:firstLine="420"/>
      <w:jc w:val="both"/>
    </w:pPr>
    <w:rPr>
      <w:sz w:val="21"/>
      <w:szCs w:val="21"/>
    </w:rPr>
  </w:style>
  <w:style w:type="paragraph" w:customStyle="1" w:styleId="324">
    <w:name w:val="MM Topic 5"/>
    <w:basedOn w:val="6"/>
    <w:autoRedefine/>
    <w:qFormat/>
    <w:uiPriority w:val="0"/>
    <w:pPr>
      <w:tabs>
        <w:tab w:val="left" w:pos="2551"/>
      </w:tabs>
      <w:autoSpaceDE/>
      <w:autoSpaceDN/>
      <w:adjustRightInd/>
      <w:spacing w:line="372" w:lineRule="auto"/>
      <w:ind w:left="0" w:firstLine="0"/>
    </w:pPr>
    <w:rPr>
      <w:bCs w:val="0"/>
      <w:kern w:val="2"/>
      <w:szCs w:val="20"/>
    </w:rPr>
  </w:style>
  <w:style w:type="paragraph" w:customStyle="1" w:styleId="325">
    <w:name w:val="font10"/>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326">
    <w:name w:val="style6"/>
    <w:basedOn w:val="1"/>
    <w:autoRedefine/>
    <w:qFormat/>
    <w:uiPriority w:val="0"/>
    <w:pPr>
      <w:spacing w:before="100" w:beforeAutospacing="1" w:after="100" w:afterAutospacing="1" w:line="375" w:lineRule="atLeast"/>
    </w:pPr>
    <w:rPr>
      <w:rFonts w:ascii="Arial" w:hAnsi="Arial" w:cs="Arial"/>
      <w:color w:val="003399"/>
      <w:sz w:val="18"/>
      <w:szCs w:val="18"/>
    </w:rPr>
  </w:style>
  <w:style w:type="paragraph" w:customStyle="1" w:styleId="327">
    <w:name w:val="正文序号 3"/>
    <w:basedOn w:val="1"/>
    <w:autoRedefine/>
    <w:qFormat/>
    <w:uiPriority w:val="0"/>
    <w:pPr>
      <w:widowControl w:val="0"/>
      <w:tabs>
        <w:tab w:val="left" w:pos="1259"/>
      </w:tabs>
      <w:spacing w:before="60"/>
      <w:ind w:left="1260" w:hanging="420"/>
      <w:jc w:val="both"/>
    </w:pPr>
    <w:rPr>
      <w:kern w:val="2"/>
      <w:sz w:val="21"/>
      <w:szCs w:val="20"/>
    </w:rPr>
  </w:style>
  <w:style w:type="paragraph" w:customStyle="1" w:styleId="328">
    <w:name w:val="MM Topic 7"/>
    <w:basedOn w:val="8"/>
    <w:autoRedefine/>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329">
    <w:name w:val="页眉 New New New New"/>
    <w:basedOn w:val="183"/>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30">
    <w:name w:val="Char1 Char Char Char Char Char Char"/>
    <w:basedOn w:val="1"/>
    <w:autoRedefine/>
    <w:qFormat/>
    <w:uiPriority w:val="0"/>
    <w:pPr>
      <w:widowControl w:val="0"/>
      <w:jc w:val="both"/>
    </w:pPr>
    <w:rPr>
      <w:rFonts w:ascii="Tahoma" w:hAnsi="Tahoma"/>
      <w:kern w:val="2"/>
      <w:szCs w:val="20"/>
    </w:rPr>
  </w:style>
  <w:style w:type="paragraph" w:customStyle="1" w:styleId="331">
    <w:name w:val="页眉 New New New New New New New New New"/>
    <w:basedOn w:val="149"/>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332">
    <w:name w:val="批注文字 Char1"/>
    <w:autoRedefine/>
    <w:qFormat/>
    <w:uiPriority w:val="0"/>
    <w:rPr>
      <w:sz w:val="18"/>
    </w:rPr>
  </w:style>
  <w:style w:type="paragraph" w:customStyle="1" w:styleId="333">
    <w:name w:val="WPSOffice手动目录 1"/>
    <w:autoRedefine/>
    <w:qFormat/>
    <w:uiPriority w:val="0"/>
    <w:rPr>
      <w:rFonts w:ascii="Times New Roman" w:hAnsi="Times New Roman" w:eastAsia="宋体" w:cs="Times New Roman"/>
      <w:lang w:val="en-US" w:eastAsia="zh-CN" w:bidi="ar-SA"/>
    </w:rPr>
  </w:style>
  <w:style w:type="character" w:customStyle="1" w:styleId="334">
    <w:name w:val="标准文本 Char"/>
    <w:link w:val="335"/>
    <w:autoRedefine/>
    <w:qFormat/>
    <w:uiPriority w:val="0"/>
    <w:rPr>
      <w:sz w:val="24"/>
    </w:rPr>
  </w:style>
  <w:style w:type="paragraph" w:customStyle="1" w:styleId="335">
    <w:name w:val="标准文本"/>
    <w:basedOn w:val="1"/>
    <w:link w:val="334"/>
    <w:autoRedefine/>
    <w:qFormat/>
    <w:uiPriority w:val="0"/>
    <w:pPr>
      <w:widowControl w:val="0"/>
      <w:spacing w:line="360" w:lineRule="auto"/>
      <w:ind w:firstLine="480" w:firstLineChars="200"/>
      <w:jc w:val="both"/>
    </w:pPr>
    <w:rPr>
      <w:rFonts w:asciiTheme="minorHAnsi" w:hAnsiTheme="minorHAnsi" w:eastAsiaTheme="minorEastAsia" w:cstheme="minorBidi"/>
      <w:szCs w:val="20"/>
    </w:rPr>
  </w:style>
  <w:style w:type="character" w:customStyle="1" w:styleId="336">
    <w:name w:val="NormalCharacter"/>
    <w:autoRedefine/>
    <w:semiHidden/>
    <w:qFormat/>
    <w:uiPriority w:val="0"/>
  </w:style>
  <w:style w:type="paragraph" w:customStyle="1" w:styleId="337">
    <w:name w:val="Body text|1"/>
    <w:basedOn w:val="1"/>
    <w:autoRedefine/>
    <w:qFormat/>
    <w:uiPriority w:val="0"/>
    <w:pPr>
      <w:spacing w:line="439" w:lineRule="auto"/>
      <w:ind w:firstLine="400"/>
    </w:pPr>
    <w:rPr>
      <w:rFonts w:ascii="宋体" w:hAnsi="宋体" w:cs="宋体"/>
      <w:sz w:val="30"/>
      <w:szCs w:val="30"/>
      <w:lang w:val="zh-TW" w:eastAsia="zh-TW" w:bidi="zh-TW"/>
    </w:rPr>
  </w:style>
  <w:style w:type="paragraph" w:customStyle="1" w:styleId="338">
    <w:name w:val="_Style 2"/>
    <w:basedOn w:val="1"/>
    <w:next w:val="1"/>
    <w:autoRedefine/>
    <w:qFormat/>
    <w:uiPriority w:val="0"/>
    <w:pPr>
      <w:ind w:firstLine="420"/>
    </w:pPr>
  </w:style>
  <w:style w:type="paragraph" w:customStyle="1" w:styleId="339">
    <w:name w:val="null3"/>
    <w:autoRedefine/>
    <w:hidden/>
    <w:qFormat/>
    <w:uiPriority w:val="0"/>
    <w:rPr>
      <w:rFonts w:hint="eastAsia" w:asciiTheme="minorHAnsi" w:hAnsiTheme="minorHAnsi" w:eastAsiaTheme="minorEastAsia" w:cstheme="minorBidi"/>
      <w:lang w:val="en-US" w:eastAsia="zh-Hans"/>
    </w:rPr>
  </w:style>
  <w:style w:type="table" w:customStyle="1" w:styleId="34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Relationships xmlns="http://schemas.openxmlformats.org/package/2006/relationships"><Relationship Target="header3.xml" Type="http://schemas.openxmlformats.org/officeDocument/2006/relationships/header" Id="rId9"></Relationship><Relationship Target="footer4.xml" Type="http://schemas.openxmlformats.org/officeDocument/2006/relationships/footer" Id="rId8"></Relationship><Relationship Target="footer3.xml" Type="http://schemas.openxmlformats.org/officeDocument/2006/relationships/footer" Id="rId7"></Relationship><Relationship Target="footer2.xml" Type="http://schemas.openxmlformats.org/officeDocument/2006/relationships/footer" Id="rId6"></Relationship><Relationship Target="header2.xml" Type="http://schemas.openxmlformats.org/officeDocument/2006/relationships/header" Id="rId5"></Relationship><Relationship Target="footer1.xml" Type="http://schemas.openxmlformats.org/officeDocument/2006/relationships/footer" Id="rId4"></Relationship><Relationship Target="header1.xml" Type="http://schemas.openxmlformats.org/officeDocument/2006/relationships/header" Id="rId3"></Relationship><Relationship Target="settings.xml" Type="http://schemas.openxmlformats.org/officeDocument/2006/relationships/settings" Id="rId2"></Relationship><Relationship Target="fontTable.xml" Type="http://schemas.openxmlformats.org/officeDocument/2006/relationships/fontTable" Id="rId15"></Relationship><Relationship Target="../customXml/item1.xml" Type="http://schemas.openxmlformats.org/officeDocument/2006/relationships/customXml" Id="rId14"></Relationship><Relationship Target="numbering.xml" Type="http://schemas.openxmlformats.org/officeDocument/2006/relationships/numbering" Id="rId13"></Relationship><Relationship Target="theme/theme1.xml" Type="http://schemas.openxmlformats.org/officeDocument/2006/relationships/theme" Id="rId12"></Relationship><Relationship Target="footer6.xml" Type="http://schemas.openxmlformats.org/officeDocument/2006/relationships/footer" Id="rId11"></Relationship><Relationship Target="footer5.xml" Type="http://schemas.openxmlformats.org/officeDocument/2006/relationships/footer" Id="rId10"></Relationship><Relationship Target="styles.xml" Type="http://schemas.openxmlformats.org/officeDocument/2006/relationships/styles" Id="rId1"></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Relationships xmlns="http://schemas.openxmlformats.org/package/2006/relationships"><Relationship Target="itemProps1.xml" Type="http://schemas.openxmlformats.org/officeDocument/2006/relationships/customXmlProps" Id="rId1"></Relationship></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w14="http://schemas.microsoft.com/office/word/2010/wordml" xmlns:m="http://schemas.openxmlformats.org/officeDocument/2006/math" xmlns:w15="http://schemas.microsoft.com/office/word/2012/wordml" xmlns:w="http://schemas.openxmlformats.org/wordprocessingml/2006/main" xmlns:r="http://schemas.openxmlformats.org/officeDocument/2006/relationships" SelectedStyle="\APA.XSL" StyleName="APA"/>
</file>

<file path=customXml/itemProps1.xml><?xml version="1.0" encoding="utf-8"?>
<ds:datastoreItem xmlns:ds="http://schemas.openxmlformats.org/officeDocument/2006/customXml" ds:itemID="{9C0DD943-1BEE-45B0-A09F-6FE1C02F2F6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49</Pages>
  <Words>23075</Words>
  <Characters>24021</Characters>
  <Lines>145</Lines>
  <Paragraphs>41</Paragraphs>
  <TotalTime>8</TotalTime>
  <ScaleCrop>false</ScaleCrop>
  <LinksUpToDate>false</LinksUpToDate>
  <CharactersWithSpaces>24942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2017-12-04T07:38:00Z</dcterms:created>
  <dc:creator>ffxp</dc:creator>
  <cp:lastModifiedBy>川招</cp:lastModifiedBy>
  <cp:lastPrinted>2024-01-30T09:41:00Z</cp:lastPrinted>
  <dcterms:modified xsi:type="dcterms:W3CDTF">2024-02-05T02:11:09Z</dcterms:modified>
  <dc:title>成都市猪肉质量安全溯源信息系统专用称重设备采购项目竞争性谈判公告</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F1DBD2FF0B7441FABE08527F1422C5EB_13</vt:lpwstr>
  </property>
</Properties>
</file>