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版本号：DZDL-2025Z-070Z20251127001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蓝田县数字秦岭视频建设工程项目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DZDL-2025Z-070Z</w:t>
      </w:r>
      <w:r>
        <w:br/>
      </w:r>
      <w:r>
        <w:br/>
      </w:r>
      <w:r>
        <w:br/>
      </w:r>
    </w:p>
    <w:p>
      <w:pPr>
        <w:pStyle w:val="null3"/>
        <w:jc w:val="center"/>
        <w:outlineLvl w:val="2"/>
      </w:pPr>
      <w:r>
        <w:rPr>
          <w:rFonts w:ascii="仿宋_GB2312" w:hAnsi="仿宋_GB2312" w:cs="仿宋_GB2312" w:eastAsia="仿宋_GB2312"/>
          <w:sz w:val="28"/>
          <w:b/>
        </w:rPr>
        <w:t>西安市蓝田县林业局（本级）</w:t>
      </w:r>
    </w:p>
    <w:p>
      <w:pPr>
        <w:pStyle w:val="null3"/>
        <w:jc w:val="center"/>
        <w:outlineLvl w:val="2"/>
      </w:pPr>
      <w:r>
        <w:rPr>
          <w:rFonts w:ascii="仿宋_GB2312" w:hAnsi="仿宋_GB2312" w:cs="仿宋_GB2312" w:eastAsia="仿宋_GB2312"/>
          <w:sz w:val="28"/>
          <w:b/>
        </w:rPr>
        <w:t>鼎正众创建设集团有限公司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鼎正众创建设集团有限公司</w:t>
      </w:r>
      <w:r>
        <w:rPr>
          <w:rFonts w:ascii="仿宋_GB2312" w:hAnsi="仿宋_GB2312" w:cs="仿宋_GB2312" w:eastAsia="仿宋_GB2312"/>
        </w:rPr>
        <w:t>（以下简称“代理机构”）受</w:t>
      </w:r>
      <w:r>
        <w:rPr>
          <w:rFonts w:ascii="仿宋_GB2312" w:hAnsi="仿宋_GB2312" w:cs="仿宋_GB2312" w:eastAsia="仿宋_GB2312"/>
        </w:rPr>
        <w:t>西安市蓝田县林业局（本级）</w:t>
      </w:r>
      <w:r>
        <w:rPr>
          <w:rFonts w:ascii="仿宋_GB2312" w:hAnsi="仿宋_GB2312" w:cs="仿宋_GB2312" w:eastAsia="仿宋_GB2312"/>
        </w:rPr>
        <w:t>委托，拟对</w:t>
      </w:r>
      <w:r>
        <w:rPr>
          <w:rFonts w:ascii="仿宋_GB2312" w:hAnsi="仿宋_GB2312" w:cs="仿宋_GB2312" w:eastAsia="仿宋_GB2312"/>
        </w:rPr>
        <w:t>蓝田县数字秦岭视频建设工程项目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DZDL-2025Z-070Z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蓝田县数字秦岭视频建设工程项目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蓝田县数字秦岭视频建设项目，建设内容为蓝田玉山监控中心项目、视频会议系统项目、森林防火监控视频项目、秦保重点区域视频监控建设项目工程，主要包含电气设备安装工程、土建工程、机械设备安装工程、建筑智能化系统设备安装工程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采购包1（蓝田县数字秦岭视频建设工程项目）：属于专门面向中小企业采购。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应为具有独立承担民事责任能力且具备向采购人提供相关服务的企业法人、事业法人、其他组织或自然人。企业法人应提供具有统一社会信用代码的营业执照；事业法人应提供事业单位法人证等证明文件；其他组织应提供合法证明文件；自然人提供身份证明文件</w:t>
      </w:r>
    </w:p>
    <w:p>
      <w:pPr>
        <w:pStyle w:val="null3"/>
      </w:pPr>
      <w:r>
        <w:rPr>
          <w:rFonts w:ascii="仿宋_GB2312" w:hAnsi="仿宋_GB2312" w:cs="仿宋_GB2312" w:eastAsia="仿宋_GB2312"/>
        </w:rPr>
        <w:t>2、企业资质要求：供应商须具备建设行政主管部门颁发的机电工程施工总承包三级及以上资质或电子与智能化工程专业承包二级及以上资质，并具有合格有效的安全生产许可证</w:t>
      </w:r>
    </w:p>
    <w:p>
      <w:pPr>
        <w:pStyle w:val="null3"/>
      </w:pPr>
      <w:r>
        <w:rPr>
          <w:rFonts w:ascii="仿宋_GB2312" w:hAnsi="仿宋_GB2312" w:cs="仿宋_GB2312" w:eastAsia="仿宋_GB2312"/>
        </w:rPr>
        <w:t>3、拟派项目负责人资质要求：拟派项目负责人证书等级：二级及以上建造师，专业：机电工程，补充说明：具备有效的安全生产考核合格证书（安全生产考核 B 类证书），且无在建工程（提供承诺书)</w:t>
      </w:r>
    </w:p>
    <w:p>
      <w:pPr>
        <w:pStyle w:val="null3"/>
      </w:pPr>
      <w:r>
        <w:rPr>
          <w:rFonts w:ascii="仿宋_GB2312" w:hAnsi="仿宋_GB2312" w:cs="仿宋_GB2312" w:eastAsia="仿宋_GB2312"/>
        </w:rPr>
        <w:t>4、依法缴纳税收的证明材料：提供递交响应文件截止之日前一年内任意一个月的纳税证明或完税证明，纳税证明或完税证明上应有代收机构或税务机关的公章或业务专用章；其他组织提供递交响应文件截止之日前一年内任意一个月缴纳税收的凭据；依法免税的供应商应提供相关文件证明</w:t>
      </w:r>
    </w:p>
    <w:p>
      <w:pPr>
        <w:pStyle w:val="null3"/>
      </w:pPr>
      <w:r>
        <w:rPr>
          <w:rFonts w:ascii="仿宋_GB2312" w:hAnsi="仿宋_GB2312" w:cs="仿宋_GB2312" w:eastAsia="仿宋_GB2312"/>
        </w:rPr>
        <w:t>5、有缴纳社会保障资金的良好记录：提供递交响应文件截止时间前一年内任意一个月已缴纳的社会保障资金的凭据（社会保障资金缴存单据或社保机构开具的社会保险参保缴费情况证明等）；依法不需要缴纳社会保障资金的供应商应提供相关文件证明</w:t>
      </w:r>
    </w:p>
    <w:p>
      <w:pPr>
        <w:pStyle w:val="null3"/>
      </w:pPr>
      <w:r>
        <w:rPr>
          <w:rFonts w:ascii="仿宋_GB2312" w:hAnsi="仿宋_GB2312" w:cs="仿宋_GB2312" w:eastAsia="仿宋_GB2312"/>
        </w:rPr>
        <w:t>6、具有履行合同所必需的设备和专业技术能力：提供具有履行合同所必需的设备和专业技术能力的承诺函</w:t>
      </w:r>
    </w:p>
    <w:p>
      <w:pPr>
        <w:pStyle w:val="null3"/>
      </w:pPr>
      <w:r>
        <w:rPr>
          <w:rFonts w:ascii="仿宋_GB2312" w:hAnsi="仿宋_GB2312" w:cs="仿宋_GB2312" w:eastAsia="仿宋_GB2312"/>
        </w:rPr>
        <w:t>7、具有良好的商业信誉和健全的财务会计制度：提供会计师事务所出具的完整的2024年度财务审计报告（成立时间至提交响应文件截止时间不足一年的可提供成立后任意时段的资产负债表），或提交响应文件截止时间前一年内银行出具的资信证明，或信用担保机构出具的担保函，（以上三种形式的资料提供任何一种即可）；其他组织提供银行出具的资信证明或财务报表</w:t>
      </w:r>
    </w:p>
    <w:p>
      <w:pPr>
        <w:pStyle w:val="null3"/>
      </w:pPr>
      <w:r>
        <w:rPr>
          <w:rFonts w:ascii="仿宋_GB2312" w:hAnsi="仿宋_GB2312" w:cs="仿宋_GB2312" w:eastAsia="仿宋_GB2312"/>
        </w:rPr>
        <w:t>8、参加政府采购活动前三年内，在经营活动中没有重大违法记录：提供参加政府采购活动前3年内在经营活动中没有重大违法记录的书面声明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9、法定代表人授权：法定代表人授权委托书（附法定代表人身份证复印件及被授权人身份证复印件）；法定代表人直接参加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10、信用查询：未在“信用中国”网站（www.creditchina.gov.cn）列入失信被执行人、重大税收违法案件当事人名单，未被列入“中国政府采购网”（ccgp.gov.cn）政府采购严重违法失信行为记录名单（代理现场查询）</w:t>
      </w:r>
    </w:p>
    <w:p>
      <w:pPr>
        <w:pStyle w:val="null3"/>
      </w:pPr>
      <w:r>
        <w:rPr>
          <w:rFonts w:ascii="仿宋_GB2312" w:hAnsi="仿宋_GB2312" w:cs="仿宋_GB2312" w:eastAsia="仿宋_GB2312"/>
        </w:rPr>
        <w:t>11、本项目不接受联合体：提供非联合体承诺书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西安市蓝田县林业局（本级）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蓝田县向阳路12号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西安市蓝田县秦保局（本级）经办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15029076206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鼎正众创建设集团有限公司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陕西省西安市雁塔区高新区科技路金桥国际广场12009号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董蔷芳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19802988926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 [2002]1980号）和国家发展改革委员会办公厅颁发的《关于招标代理服务收费有关问题的通知》（发改办价格[2003]857号）的有关规定执行。 中标单位在领取中标通知书前，须向采购代理机构一次性支付代理服务费。 银行户名：鼎正众创建设集团有限公司 开户行名称：中国建设银行股份有限公司西安高新科技支行 账 号：61001925700052502502</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西安市蓝田县林业局（本级）</w:t>
      </w:r>
      <w:r>
        <w:rPr>
          <w:rFonts w:ascii="仿宋_GB2312" w:hAnsi="仿宋_GB2312" w:cs="仿宋_GB2312" w:eastAsia="仿宋_GB2312"/>
        </w:rPr>
        <w:t>和</w:t>
      </w:r>
      <w:r>
        <w:rPr>
          <w:rFonts w:ascii="仿宋_GB2312" w:hAnsi="仿宋_GB2312" w:cs="仿宋_GB2312" w:eastAsia="仿宋_GB2312"/>
        </w:rPr>
        <w:t>鼎正众创建设集团有限公司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西安市蓝田县林业局（本级）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鼎正众创建设集团有限公司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西安市蓝田县林业局（本级）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鼎正众创建设集团有限公司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以合同签订为准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联系人：董蔷芳</w:t>
      </w:r>
    </w:p>
    <w:p>
      <w:pPr>
        <w:pStyle w:val="null3"/>
      </w:pPr>
      <w:r>
        <w:rPr>
          <w:rFonts w:ascii="仿宋_GB2312" w:hAnsi="仿宋_GB2312" w:cs="仿宋_GB2312" w:eastAsia="仿宋_GB2312"/>
        </w:rPr>
        <w:t>联系电话：029-88861150</w:t>
      </w:r>
    </w:p>
    <w:p>
      <w:pPr>
        <w:pStyle w:val="null3"/>
      </w:pPr>
      <w:r>
        <w:rPr>
          <w:rFonts w:ascii="仿宋_GB2312" w:hAnsi="仿宋_GB2312" w:cs="仿宋_GB2312" w:eastAsia="仿宋_GB2312"/>
        </w:rPr>
        <w:t>地址：西安市科技路48号创业广场B座1506</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3,800,000.00</w:t>
      </w:r>
    </w:p>
    <w:p>
      <w:pPr>
        <w:pStyle w:val="null3"/>
      </w:pPr>
      <w:r>
        <w:rPr>
          <w:rFonts w:ascii="仿宋_GB2312" w:hAnsi="仿宋_GB2312" w:cs="仿宋_GB2312" w:eastAsia="仿宋_GB2312"/>
        </w:rPr>
        <w:t>采购包最高限价（元）: 3,800,000.00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蓝田县数字秦岭视频建设工程项目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3,800,000.00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标的名称：蓝田县数字秦岭视频建设工程项目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pPr>
            <w:r>
              <w:rPr>
                <w:rFonts w:ascii="仿宋_GB2312" w:hAnsi="仿宋_GB2312" w:cs="仿宋_GB2312" w:eastAsia="仿宋_GB2312"/>
                <w:sz w:val="28"/>
              </w:rPr>
              <w:t>（一）工程内容：详见工程量清单（见附件）</w:t>
            </w:r>
          </w:p>
          <w:p>
            <w:pPr>
              <w:pStyle w:val="null3"/>
              <w:ind w:firstLine="560"/>
            </w:pPr>
            <w:r>
              <w:rPr>
                <w:rFonts w:ascii="仿宋_GB2312" w:hAnsi="仿宋_GB2312" w:cs="仿宋_GB2312" w:eastAsia="仿宋_GB2312"/>
                <w:sz w:val="28"/>
              </w:rPr>
              <w:t>（二）工程地点：陕西省西安市蓝田县玉山镇</w:t>
            </w:r>
          </w:p>
          <w:p>
            <w:pPr>
              <w:pStyle w:val="null3"/>
              <w:ind w:firstLine="560"/>
            </w:pPr>
            <w:r>
              <w:rPr>
                <w:rFonts w:ascii="仿宋_GB2312" w:hAnsi="仿宋_GB2312" w:cs="仿宋_GB2312" w:eastAsia="仿宋_GB2312"/>
                <w:sz w:val="28"/>
              </w:rPr>
              <w:t>（三）计划工期：自合同签订之日起</w:t>
            </w:r>
            <w:r>
              <w:rPr>
                <w:rFonts w:ascii="仿宋_GB2312" w:hAnsi="仿宋_GB2312" w:cs="仿宋_GB2312" w:eastAsia="仿宋_GB2312"/>
                <w:sz w:val="28"/>
              </w:rPr>
              <w:t>45日历天</w:t>
            </w:r>
          </w:p>
          <w:p>
            <w:pPr>
              <w:pStyle w:val="null3"/>
              <w:ind w:firstLine="560"/>
            </w:pPr>
            <w:r>
              <w:rPr>
                <w:rFonts w:ascii="仿宋_GB2312" w:hAnsi="仿宋_GB2312" w:cs="仿宋_GB2312" w:eastAsia="仿宋_GB2312"/>
                <w:sz w:val="28"/>
              </w:rPr>
              <w:t>（四）缺陷责任期：自本项目竣工验收合格之日起一年。</w:t>
            </w:r>
          </w:p>
          <w:p>
            <w:pPr>
              <w:pStyle w:val="null3"/>
            </w:pPr>
            <w:r>
              <w:rPr>
                <w:rFonts w:ascii="仿宋_GB2312" w:hAnsi="仿宋_GB2312" w:cs="仿宋_GB2312" w:eastAsia="仿宋_GB2312"/>
                <w:sz w:val="28"/>
              </w:rPr>
              <w:t xml:space="preserve">    （五）质量保修期（与质保金的退还无关）：工程项目质量保修期按有关文件规定执行，见《建设工程质量管理规定》。</w:t>
            </w:r>
          </w:p>
          <w:p>
            <w:pPr>
              <w:pStyle w:val="null3"/>
            </w:pPr>
            <w:r>
              <w:rPr>
                <w:rFonts w:ascii="仿宋_GB2312" w:hAnsi="仿宋_GB2312" w:cs="仿宋_GB2312" w:eastAsia="仿宋_GB2312"/>
                <w:sz w:val="28"/>
              </w:rPr>
              <w:t xml:space="preserve">    （六）</w:t>
            </w:r>
            <w:r>
              <w:rPr>
                <w:rFonts w:ascii="仿宋_GB2312" w:hAnsi="仿宋_GB2312" w:cs="仿宋_GB2312" w:eastAsia="仿宋_GB2312"/>
                <w:sz w:val="28"/>
              </w:rPr>
              <w:t>编制使用软件：广联达云计价平台</w:t>
            </w:r>
            <w:r>
              <w:rPr>
                <w:rFonts w:ascii="仿宋_GB2312" w:hAnsi="仿宋_GB2312" w:cs="仿宋_GB2312" w:eastAsia="仿宋_GB2312"/>
                <w:sz w:val="28"/>
              </w:rPr>
              <w:t>GCCP6.0版本6.4100.23.119</w:t>
            </w:r>
            <w:r>
              <w:rPr>
                <w:rFonts w:ascii="仿宋_GB2312" w:hAnsi="仿宋_GB2312" w:cs="仿宋_GB2312" w:eastAsia="仿宋_GB2312"/>
                <w:sz w:val="28"/>
              </w:rPr>
              <w:t>。</w:t>
            </w:r>
          </w:p>
          <w:p>
            <w:pPr>
              <w:pStyle w:val="null3"/>
            </w:pPr>
            <w:r>
              <w:rPr>
                <w:rFonts w:ascii="仿宋_GB2312" w:hAnsi="仿宋_GB2312" w:cs="仿宋_GB2312" w:eastAsia="仿宋_GB2312"/>
                <w:sz w:val="28"/>
              </w:rPr>
              <w:t xml:space="preserve">    （七）</w:t>
            </w:r>
            <w:r>
              <w:rPr>
                <w:rFonts w:ascii="仿宋_GB2312" w:hAnsi="仿宋_GB2312" w:cs="仿宋_GB2312" w:eastAsia="仿宋_GB2312"/>
                <w:sz w:val="28"/>
              </w:rPr>
              <w:t>工程量清单：见附件</w:t>
            </w:r>
            <w:r>
              <w:rPr>
                <w:rFonts w:ascii="仿宋_GB2312" w:hAnsi="仿宋_GB2312" w:cs="仿宋_GB2312" w:eastAsia="仿宋_GB2312"/>
                <w:sz w:val="28"/>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《建设工程质量管理条例》、《建筑工程施工质量验收统一标准》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提供会计师事务所出具的完整的2024年度财务审计报告（成立时间至提交响应文件截止时间不足一年的可提供成立后任意时段的资产负债表），或提交响应文件截止时间前一年内银行出具的资信证明，或信用担保机构出具的担保函，（以上三种形式的资料提供任何一种即可）；其他组织提供银行出具的资信证明或财务报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应为具有独立承担民事责任能力且具备向采购人提供相关服务的企业法人、事业法人、其他组织或自然人。企业法人应提供具有统一社会信用代码的营业执照；事业法人应提供事业单位法人证等证明文件；其他组织应提供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供应商须具备建设行政主管部门颁发的机电工程施工总承包三级及以上资质或电子与智能化工程专业承包二级及以上资质，并具有合格有效的安全生产许可证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拟派项目负责人资质要求</w:t>
            </w:r>
          </w:p>
        </w:tc>
        <w:tc>
          <w:tcPr>
            <w:tcW w:type="dxa" w:w="3322"/>
          </w:tcPr>
          <w:p>
            <w:pPr>
              <w:pStyle w:val="null3"/>
            </w:pPr>
            <w:r>
              <w:rPr>
                <w:rFonts w:ascii="仿宋_GB2312" w:hAnsi="仿宋_GB2312" w:cs="仿宋_GB2312" w:eastAsia="仿宋_GB2312"/>
              </w:rPr>
              <w:t>拟派项目负责人证书等级：二级及以上建造师，专业：机电工程，补充说明：具备有效的安全生产考核合格证书（安全生产考核 B 类证书），且无在建工程（提供承诺书)</w:t>
            </w:r>
          </w:p>
        </w:tc>
        <w:tc>
          <w:tcPr>
            <w:tcW w:type="dxa" w:w="1661"/>
          </w:tcPr>
          <w:p>
            <w:pPr>
              <w:pStyle w:val="null3"/>
            </w:pPr>
            <w:r>
              <w:rPr>
                <w:rFonts w:ascii="仿宋_GB2312" w:hAnsi="仿宋_GB2312" w:cs="仿宋_GB2312" w:eastAsia="仿宋_GB2312"/>
              </w:rPr>
              <w:t>供应商应提交的相关资格证明材料 响应函 主要人员简历表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依法缴纳税收的证明材料</w:t>
            </w:r>
          </w:p>
        </w:tc>
        <w:tc>
          <w:tcPr>
            <w:tcW w:type="dxa" w:w="3322"/>
          </w:tcPr>
          <w:p>
            <w:pPr>
              <w:pStyle w:val="null3"/>
            </w:pPr>
            <w:r>
              <w:rPr>
                <w:rFonts w:ascii="仿宋_GB2312" w:hAnsi="仿宋_GB2312" w:cs="仿宋_GB2312" w:eastAsia="仿宋_GB2312"/>
              </w:rPr>
              <w:t>提供递交响应文件截止之日前一年内任意一个月的纳税证明或完税证明，纳税证明或完税证明上应有代收机构或税务机关的公章或业务专用章；其他组织提供递交响应文件截止之日前一年内任意一个月缴纳税收的凭据；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有缴纳社会保障资金的良好记录</w:t>
            </w:r>
          </w:p>
        </w:tc>
        <w:tc>
          <w:tcPr>
            <w:tcW w:type="dxa" w:w="3322"/>
          </w:tcPr>
          <w:p>
            <w:pPr>
              <w:pStyle w:val="null3"/>
            </w:pPr>
            <w:r>
              <w:rPr>
                <w:rFonts w:ascii="仿宋_GB2312" w:hAnsi="仿宋_GB2312" w:cs="仿宋_GB2312" w:eastAsia="仿宋_GB2312"/>
              </w:rPr>
              <w:t>提供递交响应文件截止时间前一年内任意一个月已缴纳的社会保障资金的凭据（社会保障资金缴存单据或社保机构开具的社会保险参保缴费情况证明等）；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 相关承诺书.docx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会计师事务所出具的完整的2024年度财务审计报告（成立时间至提交响应文件截止时间不足一年的可提供成立后任意时段的资产负债表），或提交响应文件截止时间前一年内银行出具的资信证明，或信用担保机构出具的担保函，（以上三种形式的资料提供任何一种即可）；其他组织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相关承诺书.docx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法定代表人身份证明和法定代表人委托书.docx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未在“信用中国”网站（www.creditchina.gov.cn）列入失信被执行人、重大税收违法案件当事人名单，未被列入“中国政府采购网”（ccgp.gov.cn）政府采购严重违法失信行为记录名单（代理现场查询）</w:t>
            </w:r>
          </w:p>
        </w:tc>
        <w:tc>
          <w:tcPr>
            <w:tcW w:type="dxa" w:w="1661"/>
          </w:tcPr>
          <w:p>
            <w:pPr>
              <w:pStyle w:val="null3"/>
            </w:pPr>
            <w:r>
              <w:rPr>
                <w:rFonts w:ascii="仿宋_GB2312" w:hAnsi="仿宋_GB2312" w:cs="仿宋_GB2312" w:eastAsia="仿宋_GB2312"/>
              </w:rPr>
              <w:t>相关承诺书.docx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提供非联合体承诺书</w:t>
            </w:r>
          </w:p>
        </w:tc>
        <w:tc>
          <w:tcPr>
            <w:tcW w:type="dxa" w:w="1661"/>
          </w:tcPr>
          <w:p>
            <w:pPr>
              <w:pStyle w:val="null3"/>
            </w:pPr>
            <w:r>
              <w:rPr>
                <w:rFonts w:ascii="仿宋_GB2312" w:hAnsi="仿宋_GB2312" w:cs="仿宋_GB2312" w:eastAsia="仿宋_GB2312"/>
              </w:rPr>
              <w:t>相关承诺书.docx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相关承诺书.docx 响应文件封面 项目管理机构组成表 残疾人福利性单位声明函 报价函 标的清单 供应商类似项目业绩一览表 法定代表人身份证明和法定代表人委托书.docx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且报价得不超过采购预算金额或最高限价或评 标委员会认为低于成本价的报价。</w:t>
            </w:r>
          </w:p>
        </w:tc>
        <w:tc>
          <w:tcPr>
            <w:tcW w:type="dxa" w:w="1661"/>
          </w:tcPr>
          <w:p>
            <w:pPr>
              <w:pStyle w:val="null3"/>
            </w:pPr>
            <w:r>
              <w:rPr>
                <w:rFonts w:ascii="仿宋_GB2312" w:hAnsi="仿宋_GB2312" w:cs="仿宋_GB2312" w:eastAsia="仿宋_GB2312"/>
              </w:rPr>
              <w:t>已标价工程量清单 报价函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保修期和缺陷责任期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措施内容专门针对本项目编制，符合项目实际情况及实施要求，内容详尽且涵盖角度基本全面，有一定的合理性和可行性的，得4分; 措施内容专门针对本项目编制，基本符合项目实际情况及实施要求，内容较详细，涵盖角度较全面，基本合理可行的，得3分; 措施内容专门针对本项目编制，基本符合项目实际情况及实施要求，但涵盖角度不全面且实施有难度的，得2分; 措施内容简单笼统，实施难度大的，得1分;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措施内容专门针对本项目编制，符合项目实际情况及实施要求，内容详尽且涵盖角度基本全面，有一定的合理性和可行性的，得4分; 措施内容专门针对本项目编制，基本符合项目实际情况及实施要求，内容较详细，涵盖角度较全面，基本合理可行的，得3分; 措施内容专门针对本项目编制，基本符合项目实际情况及实施要求，但涵盖角度不全面且实施有难度的，得2分; 措施内容简单笼统，实施难度大的，得1分;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措施内容专门针对本项目编制，符合项目实际情况及实施要求，内容详尽且涵盖角度基本全面，有一定的合理性和可行性的，得4分; 措施内容专门针对本项目编制，基本符合项目实际情况及实施要求，内容较详细，涵盖角度较全面，基本合理可行的，得3分; 措施内容专门针对本项目编制，基本符合项目实际情况及实施要求，但涵盖角度不全面且实施有难度的，得2分; 措施内容简单笼统，实施难度大的，得1分;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措施内容专门针对本项目编制，符合项目实际情况及实施要求，内容详尽且涵盖角度基本全面，有一定的合理性和可行性的，得4分; 措施内容专门针对本项目编制，基本符合项目实际情况及实施要求，内容较详细，涵盖角度较全面，基本合理可行的，得3分; 措施内容专门针对本项目编制，基本符合项目实际情况及实施要求，但涵盖角度不全面且实施有难度的，得2分; 措施内容简单笼统，实施难度大的，得1分;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方案专门针对本项目编制，符合项目实际情况及实施要求，内容详尽且涵盖角度全面，合理性和可行性强，能够保障项目顺利实施的，得5分; 方案专门针对本项目编制，符合项目实际情况及实施要求，内容详尽且涵盖角度基本全面，有一定的合理性和可行性的，得4分; 方案专门针对本项目编制，基本符合项目实际情况及实施要求，内容较详细，涵盖角度较全面，基本合理可行的，得3分; 方案专门针对本项目编制，基本符合项目实际情况及实施要求，但方案涵盖角度不全面且实施有难度的，得2分;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施工机械及材料投入计划</w:t>
            </w:r>
          </w:p>
        </w:tc>
        <w:tc>
          <w:tcPr>
            <w:tcW w:type="dxa" w:w="2492"/>
          </w:tcPr>
          <w:p>
            <w:pPr>
              <w:pStyle w:val="null3"/>
            </w:pPr>
            <w:r>
              <w:rPr>
                <w:rFonts w:ascii="仿宋_GB2312" w:hAnsi="仿宋_GB2312" w:cs="仿宋_GB2312" w:eastAsia="仿宋_GB2312"/>
              </w:rPr>
              <w:t>投入计划专门针对本项目编制，符合项目实际情况及实施要求，内容详尽且涵盖角度全面，合理性和可行性强，能够保障项目顺利实施的，得5分; 投入计划专门针对本项目编制，符合项目实际情况及实施要求，内容详尽且涵盖角度基本全面，有一定的合理性和可行性的，得4分; 投入计划专门针对本项目编制，基本符合项目实际情况及实施要求，内容较详细，涵盖角度较全面，基本合理可行的，得3分; 投入计划专门针对本项目编制，基本符合项目实际情况及实施要求，但方案涵盖角度不全面且实施有难度的，得2分; 投入计划内容简单笼统，实施难度大的，得1分;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施工进度网络图或施工进度表</w:t>
            </w:r>
          </w:p>
        </w:tc>
        <w:tc>
          <w:tcPr>
            <w:tcW w:type="dxa" w:w="2492"/>
          </w:tcPr>
          <w:p>
            <w:pPr>
              <w:pStyle w:val="null3"/>
            </w:pPr>
            <w:r>
              <w:rPr>
                <w:rFonts w:ascii="仿宋_GB2312" w:hAnsi="仿宋_GB2312" w:cs="仿宋_GB2312" w:eastAsia="仿宋_GB2312"/>
              </w:rPr>
              <w:t>网络图或进度表内容详尽、安排合理且实施性强计5分； 网络图或进度表内容详尽、安排合理且实施性较强计4分； 网络图或进度表内容详尽、安排合理实施性缺乏计3分； 网络图或进度表内容较详尽计2分； 网络图或进度表不合理计1分。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安排计划科学全面、措施详细具体、针对性强计5分； 安排计划科学全面、措施详细具体、针对性较强计4分； 安排计划科学全面、措施详细具体、无针对性计3分； 安排计划较科学全面、措施较详细具体计2分； 安排计划内容简单笼统计1分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项目部组成科学合理、人员表配置充足，有详细的人员配置清单，针对性强，能够很好的满足项目需求，得5分； 项目部组成科学合理、人员表配置齐全，有详细的人员配置清单，有一定的针对性，满足项目需求，得4分； 项目部组成科学合理、人员表配置较齐全，有人员配置清单，但配置清单信息不全，基本满足项目需求，得3分； 项目部组成人员缺乏科学合理性，无人员配置清单，无法满足项目需求，得2分； 项目部组成内容简单笼统得1分。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施工总平面布置图</w:t>
            </w:r>
          </w:p>
        </w:tc>
        <w:tc>
          <w:tcPr>
            <w:tcW w:type="dxa" w:w="2492"/>
          </w:tcPr>
          <w:p>
            <w:pPr>
              <w:pStyle w:val="null3"/>
            </w:pPr>
            <w:r>
              <w:rPr>
                <w:rFonts w:ascii="仿宋_GB2312" w:hAnsi="仿宋_GB2312" w:cs="仿宋_GB2312" w:eastAsia="仿宋_GB2312"/>
              </w:rPr>
              <w:t>总平布置详细具体、针对性强计5分； 总平布置详细具体、针对性较强计4分； 总平布置详细具体、无针对性计3分； 总平布置较详细具体计2分； 总平布置简单笼统计1分。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施工现场扬尘污染防治措施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措施内容专门针对本项目编制，符合项目实际情况及实施要求，内容详尽且涵盖角度基本全面，有一定的合理性和可行性的，得4分; 措施内容专门针对本项目编制，基本符合项目实际情况及实施要求，内容较详细，涵盖角度较全面，基本合理可行的，得3分; 措施内容专门针对本项目编制，基本符合项目实际情况及实施要求，但涵盖角度不全面且实施有难度的，得2分; 措施内容简单笼统，实施难度大的，得1分;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应用的技术、产品、工艺、材料等先进科学、可行性高计5分； 应用的技术、产品、工艺、材料等先进科学、可行性较高计4分； 应用的技术、产品、工艺、材料等科学性、可行性缺乏计3分； 应用的技术、产品、工艺、材料等科学性描述脱离实际计2分； 其他情形计1分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工程质量和质量保修承诺</w:t>
            </w:r>
          </w:p>
        </w:tc>
        <w:tc>
          <w:tcPr>
            <w:tcW w:type="dxa" w:w="2492"/>
          </w:tcPr>
          <w:p>
            <w:pPr>
              <w:pStyle w:val="null3"/>
            </w:pPr>
            <w:r>
              <w:rPr>
                <w:rFonts w:ascii="仿宋_GB2312" w:hAnsi="仿宋_GB2312" w:cs="仿宋_GB2312" w:eastAsia="仿宋_GB2312"/>
              </w:rPr>
              <w:t>承诺方案专门针对本项目编制，符合项目实际情况及实施要求，内容详尽且涵盖角度全面，合理性和可行性强，保障充分，得5分; 承诺方案专门针对本项目编制，符合项目实际情况及实施要求，内容详尽且涵盖角度基本全面，有一定的合理性和可行性的，得4分; 承诺方案专门针对本项目编制，基本符合项目实际情况及实施要求，内容较详细，涵盖角度较全面，基本合理可行的，得3分; 承诺方案专门针对本项目编制，基本符合项目实际情况及实施要求，但涵盖角度不全面且实施有难度的，得2分; 承诺方案内容简单笼统，实施难度大的，得1分;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近三年（2022年1月1日至今），每承担过1个类似项目得2.5分，最高得5分（类似业绩合同协议书或中标通知书复印件并加盖公章，合同以签订日期为准，中标通知书以落款时间为准）。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价格分统一采用低价优先法计算，即满足磋商文件要求且报价价格最低的报价为投标基准价，其价格分为满分。其他供应商的价格分统一按照下列公式计算： 报价得分=(基准价／报价)×30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详见附件：相关承诺书.docx</w:t>
      </w:r>
    </w:p>
    <w:p>
      <w:pPr>
        <w:pStyle w:val="null3"/>
        <w:ind w:firstLine="960"/>
      </w:pPr>
      <w:r>
        <w:rPr>
          <w:rFonts w:ascii="仿宋_GB2312" w:hAnsi="仿宋_GB2312" w:cs="仿宋_GB2312" w:eastAsia="仿宋_GB2312"/>
        </w:rPr>
        <w:t>详见附件：法定代表人身份证明和法定代表人委托书.docx</w:t>
      </w:r>
    </w:p>
    <w:p>
      <w:pPr>
        <w:pStyle w:val="null3"/>
        <w:ind w:firstLine="960"/>
      </w:pPr>
      <w:r>
        <w:rPr>
          <w:rFonts w:ascii="仿宋_GB2312" w:hAnsi="仿宋_GB2312" w:cs="仿宋_GB2312" w:eastAsia="仿宋_GB2312"/>
        </w:rPr>
        <w:t>详见附件：响应实施方案.docx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