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spacing w:line="560" w:lineRule="exact"/>
        <w:ind w:firstLine="0" w:firstLineChars="0"/>
        <w:jc w:val="center"/>
        <w:outlineLvl w:val="0"/>
        <w:rPr>
          <w:rFonts w:hint="eastAsia" w:ascii="仿宋" w:hAnsi="仿宋" w:eastAsia="仿宋" w:cs="仿宋"/>
          <w:b/>
          <w:color w:val="auto"/>
          <w:kern w:val="2"/>
          <w:sz w:val="44"/>
          <w:szCs w:val="44"/>
          <w:highlight w:val="none"/>
          <w:lang w:val="en-US" w:eastAsia="zh-CN" w:bidi="ar-SA"/>
        </w:rPr>
      </w:pPr>
      <w:bookmarkStart w:id="0" w:name="_Toc16206"/>
      <w:bookmarkStart w:id="1" w:name="_Toc29103"/>
      <w:r>
        <w:rPr>
          <w:rFonts w:hint="eastAsia" w:ascii="仿宋" w:hAnsi="仿宋" w:eastAsia="仿宋" w:cs="仿宋"/>
          <w:b/>
          <w:color w:val="auto"/>
          <w:kern w:val="2"/>
          <w:sz w:val="44"/>
          <w:szCs w:val="44"/>
          <w:highlight w:val="none"/>
          <w:lang w:val="en-US" w:eastAsia="zh-CN"/>
        </w:rPr>
        <w:t xml:space="preserve"> </w:t>
      </w:r>
      <w:r>
        <w:rPr>
          <w:rFonts w:hint="eastAsia" w:ascii="仿宋" w:hAnsi="仿宋" w:eastAsia="仿宋" w:cs="仿宋"/>
          <w:b/>
          <w:color w:val="auto"/>
          <w:kern w:val="2"/>
          <w:sz w:val="44"/>
          <w:szCs w:val="44"/>
          <w:highlight w:val="none"/>
          <w:lang w:val="en-US" w:eastAsia="zh-CN" w:bidi="ar-SA"/>
        </w:rPr>
        <w:t>采购内容及技术要求</w:t>
      </w:r>
      <w:bookmarkEnd w:id="0"/>
      <w:bookmarkEnd w:id="1"/>
    </w:p>
    <w:p>
      <w:pPr>
        <w:pStyle w:val="2"/>
        <w:pageBreakBefore w:val="0"/>
        <w:kinsoku/>
        <w:wordWrap/>
        <w:overflowPunct/>
        <w:topLinePunct w:val="0"/>
        <w:autoSpaceDE/>
        <w:autoSpaceDN/>
        <w:bidi w:val="0"/>
        <w:adjustRightInd/>
        <w:snapToGrid/>
        <w:spacing w:before="0" w:beforeLines="0" w:after="0" w:afterLines="0" w:line="360" w:lineRule="auto"/>
        <w:ind w:firstLine="723" w:firstLineChars="200"/>
        <w:jc w:val="center"/>
        <w:textAlignment w:val="auto"/>
        <w:rPr>
          <w:rFonts w:hint="default"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（1标段、2标段、3标段）</w:t>
      </w:r>
    </w:p>
    <w:p>
      <w:pPr>
        <w:pStyle w:val="3"/>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kern w:val="2"/>
          <w:sz w:val="24"/>
          <w:szCs w:val="24"/>
          <w:highlight w:val="none"/>
          <w:lang w:val="en-US" w:eastAsia="zh-CN" w:bidi="ar-SA"/>
        </w:rPr>
        <w:t>商务服务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lang w:eastAsia="zh-CN"/>
        </w:rPr>
        <w:t>供货期：</w:t>
      </w:r>
      <w:r>
        <w:rPr>
          <w:rFonts w:hint="eastAsia" w:ascii="仿宋" w:hAnsi="仿宋" w:eastAsia="仿宋" w:cs="仿宋"/>
          <w:color w:val="auto"/>
          <w:sz w:val="24"/>
          <w:szCs w:val="24"/>
          <w:highlight w:val="none"/>
          <w:u w:val="none"/>
          <w:lang w:val="en-US" w:eastAsia="zh-CN"/>
        </w:rPr>
        <w:t>2024年2月-2025年1月期间教学日。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款项结算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每学期开学后两月内，支付当学期货款总额的40%，学期结束据实结算剩余货款。</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）供应商应于采购人每次付款前向采购人开具等额发票。因供应商</w:t>
      </w:r>
      <w:r>
        <w:rPr>
          <w:rFonts w:hint="eastAsia" w:ascii="仿宋" w:hAnsi="仿宋" w:eastAsia="仿宋" w:cs="仿宋"/>
          <w:color w:val="auto"/>
          <w:sz w:val="24"/>
          <w:szCs w:val="24"/>
          <w:highlight w:val="none"/>
          <w:u w:val="none"/>
          <w:lang w:val="en-US" w:eastAsia="zh-CN"/>
        </w:rPr>
        <w:t>延迟</w:t>
      </w:r>
      <w:r>
        <w:rPr>
          <w:rFonts w:hint="eastAsia" w:ascii="仿宋" w:hAnsi="仿宋" w:eastAsia="仿宋" w:cs="仿宋"/>
          <w:color w:val="auto"/>
          <w:sz w:val="24"/>
          <w:szCs w:val="24"/>
          <w:highlight w:val="none"/>
          <w:u w:val="none"/>
        </w:rPr>
        <w:t>开票，采购人有权拒不付款且不承担任何责任</w:t>
      </w:r>
      <w:r>
        <w:rPr>
          <w:rFonts w:hint="eastAsia" w:ascii="仿宋" w:hAnsi="仿宋" w:eastAsia="仿宋" w:cs="仿宋"/>
          <w:color w:val="auto"/>
          <w:sz w:val="24"/>
          <w:szCs w:val="24"/>
          <w:highlight w:val="none"/>
          <w:u w:val="none"/>
          <w:lang w:eastAsia="zh-CN"/>
        </w:rPr>
        <w:t>。</w:t>
      </w:r>
    </w:p>
    <w:p>
      <w:pPr>
        <w:spacing w:line="360" w:lineRule="auto"/>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最高限价：大米最高限价：165元/袋；面粉最高限价115元/袋；菜籽油最高限价82元/桶；牛奶最高限价：1.8元/盒；鸡蛋最高限价：0.72元/枚</w:t>
      </w:r>
      <w:r>
        <w:rPr>
          <w:rFonts w:hint="eastAsia" w:ascii="仿宋" w:hAnsi="仿宋" w:eastAsia="仿宋" w:cs="仿宋"/>
          <w:color w:val="auto"/>
          <w:sz w:val="24"/>
          <w:szCs w:val="24"/>
          <w:highlight w:val="none"/>
          <w:lang w:val="en-US" w:eastAsia="zh-CN"/>
        </w:rPr>
        <w:t>。</w:t>
      </w:r>
    </w:p>
    <w:p>
      <w:pPr>
        <w:pStyle w:val="3"/>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二、服务要求</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1.针对本项目配备配送人员（所有参与配送人员需有健康证），确保按时配送到位且不影响学校正常教学。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2.米面油、牛奶每月配送2次，鸡蛋一、四季度每2周配送1次；二、三季度每周配送1次。配送车辆定期检修、消毒，必须符合食品安全要求。</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3.有专人负责与采购人对接，有操作性强的应急配送预案，确保及时处理突发情况。</w:t>
      </w:r>
    </w:p>
    <w:p>
      <w:pPr>
        <w:pStyle w:val="3"/>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三、采购内容</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sz w:val="24"/>
          <w:szCs w:val="24"/>
          <w:highlight w:val="none"/>
          <w:u w:val="none"/>
        </w:rPr>
        <w:t>1</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none"/>
        </w:rPr>
        <w:t>实施范围：</w:t>
      </w:r>
      <w:r>
        <w:rPr>
          <w:rFonts w:hint="eastAsia" w:ascii="仿宋" w:hAnsi="仿宋" w:eastAsia="仿宋" w:cs="仿宋"/>
          <w:color w:val="auto"/>
          <w:sz w:val="24"/>
          <w:szCs w:val="24"/>
          <w:highlight w:val="none"/>
          <w:u w:val="none"/>
        </w:rPr>
        <w:t>义务段</w:t>
      </w:r>
      <w:r>
        <w:rPr>
          <w:rFonts w:hint="eastAsia" w:ascii="仿宋" w:hAnsi="仿宋" w:eastAsia="仿宋" w:cs="仿宋"/>
          <w:color w:val="auto"/>
          <w:sz w:val="24"/>
          <w:szCs w:val="24"/>
          <w:highlight w:val="none"/>
          <w:u w:val="none"/>
          <w:lang w:val="en-US" w:eastAsia="zh-CN"/>
        </w:rPr>
        <w:t>67</w:t>
      </w:r>
      <w:r>
        <w:rPr>
          <w:rFonts w:hint="eastAsia" w:ascii="仿宋" w:hAnsi="仿宋" w:eastAsia="仿宋" w:cs="仿宋"/>
          <w:color w:val="auto"/>
          <w:sz w:val="24"/>
          <w:szCs w:val="24"/>
          <w:highlight w:val="none"/>
          <w:u w:val="none"/>
        </w:rPr>
        <w:t>所有食堂的学校</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受益</w:t>
      </w:r>
      <w:r>
        <w:rPr>
          <w:rFonts w:hint="eastAsia" w:ascii="仿宋" w:hAnsi="仿宋" w:eastAsia="仿宋" w:cs="仿宋"/>
          <w:color w:val="auto"/>
          <w:sz w:val="24"/>
          <w:szCs w:val="24"/>
          <w:highlight w:val="none"/>
        </w:rPr>
        <w:t>学生</w:t>
      </w:r>
      <w:r>
        <w:rPr>
          <w:rFonts w:hint="eastAsia" w:ascii="仿宋" w:hAnsi="仿宋" w:eastAsia="仿宋" w:cs="仿宋"/>
          <w:color w:val="auto"/>
          <w:sz w:val="24"/>
          <w:szCs w:val="24"/>
          <w:highlight w:val="none"/>
          <w:lang w:val="en-US" w:eastAsia="zh-CN"/>
        </w:rPr>
        <w:t>约17875</w:t>
      </w:r>
      <w:r>
        <w:rPr>
          <w:rFonts w:hint="eastAsia" w:ascii="仿宋" w:hAnsi="仿宋" w:eastAsia="仿宋" w:cs="仿宋"/>
          <w:color w:val="auto"/>
          <w:sz w:val="24"/>
          <w:szCs w:val="24"/>
          <w:highlight w:val="none"/>
        </w:rPr>
        <w:t>人</w:t>
      </w:r>
      <w:r>
        <w:rPr>
          <w:rFonts w:hint="eastAsia" w:ascii="仿宋" w:hAnsi="仿宋" w:eastAsia="仿宋" w:cs="仿宋"/>
          <w:b w:val="0"/>
          <w:bCs w:val="0"/>
          <w:color w:val="auto"/>
          <w:kern w:val="2"/>
          <w:sz w:val="24"/>
          <w:szCs w:val="24"/>
          <w:highlight w:val="none"/>
          <w:u w:val="none"/>
          <w:lang w:val="en-US" w:eastAsia="zh-CN" w:bidi="ar-SA"/>
        </w:rPr>
        <w:t>（此为预估人数）</w:t>
      </w:r>
      <w:r>
        <w:rPr>
          <w:rFonts w:hint="eastAsia" w:ascii="仿宋" w:hAnsi="仿宋" w:eastAsia="仿宋" w:cs="仿宋"/>
          <w:color w:val="auto"/>
          <w:sz w:val="24"/>
          <w:szCs w:val="24"/>
          <w:highlight w:val="none"/>
          <w:u w:val="none"/>
        </w:rPr>
        <w:t>。</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2.采购数量（1标段）：</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（1）米面油：</w:t>
      </w:r>
      <w:r>
        <w:rPr>
          <w:rFonts w:hint="eastAsia" w:ascii="仿宋" w:hAnsi="仿宋" w:eastAsia="仿宋" w:cs="仿宋"/>
          <w:sz w:val="24"/>
          <w:szCs w:val="24"/>
          <w:highlight w:val="none"/>
          <w:u w:val="none"/>
        </w:rPr>
        <w:t>大米约</w:t>
      </w:r>
      <w:r>
        <w:rPr>
          <w:rFonts w:hint="eastAsia" w:ascii="仿宋" w:hAnsi="仿宋" w:eastAsia="仿宋" w:cs="仿宋"/>
          <w:sz w:val="24"/>
          <w:szCs w:val="24"/>
          <w:highlight w:val="none"/>
          <w:u w:val="none"/>
          <w:lang w:val="en-US" w:eastAsia="zh-CN"/>
        </w:rPr>
        <w:t>2077</w:t>
      </w:r>
      <w:r>
        <w:rPr>
          <w:rFonts w:hint="eastAsia" w:ascii="仿宋" w:hAnsi="仿宋" w:eastAsia="仿宋" w:cs="仿宋"/>
          <w:sz w:val="24"/>
          <w:szCs w:val="24"/>
          <w:highlight w:val="none"/>
          <w:u w:val="none"/>
        </w:rPr>
        <w:t>袋</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面粉约</w:t>
      </w:r>
      <w:r>
        <w:rPr>
          <w:rFonts w:hint="eastAsia" w:ascii="仿宋" w:hAnsi="仿宋" w:eastAsia="仿宋" w:cs="仿宋"/>
          <w:sz w:val="24"/>
          <w:szCs w:val="24"/>
          <w:highlight w:val="none"/>
          <w:u w:val="none"/>
          <w:lang w:val="en-US" w:eastAsia="zh-CN"/>
        </w:rPr>
        <w:t>3115</w:t>
      </w:r>
      <w:r>
        <w:rPr>
          <w:rFonts w:hint="eastAsia" w:ascii="仿宋" w:hAnsi="仿宋" w:eastAsia="仿宋" w:cs="仿宋"/>
          <w:sz w:val="24"/>
          <w:szCs w:val="24"/>
          <w:highlight w:val="none"/>
          <w:u w:val="none"/>
        </w:rPr>
        <w:t>袋</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菜籽油约</w:t>
      </w:r>
      <w:r>
        <w:rPr>
          <w:rFonts w:hint="eastAsia" w:ascii="仿宋" w:hAnsi="仿宋" w:eastAsia="仿宋" w:cs="仿宋"/>
          <w:sz w:val="24"/>
          <w:szCs w:val="24"/>
          <w:highlight w:val="none"/>
          <w:u w:val="none"/>
          <w:lang w:val="en-US" w:eastAsia="zh-CN"/>
        </w:rPr>
        <w:t>3230</w:t>
      </w:r>
      <w:r>
        <w:rPr>
          <w:rFonts w:hint="eastAsia" w:ascii="仿宋" w:hAnsi="仿宋" w:eastAsia="仿宋" w:cs="仿宋"/>
          <w:sz w:val="24"/>
          <w:szCs w:val="24"/>
          <w:highlight w:val="none"/>
          <w:u w:val="none"/>
        </w:rPr>
        <w:t>桶</w:t>
      </w:r>
      <w:r>
        <w:rPr>
          <w:rFonts w:hint="eastAsia" w:ascii="仿宋" w:hAnsi="仿宋" w:eastAsia="仿宋" w:cs="仿宋"/>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（2）牛奶：约430616盒。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（3）鸡蛋：约430616枚。</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采购数量（2标段）：</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（1）米面油：</w:t>
      </w:r>
      <w:r>
        <w:rPr>
          <w:rFonts w:hint="eastAsia" w:ascii="仿宋" w:hAnsi="仿宋" w:eastAsia="仿宋" w:cs="仿宋"/>
          <w:sz w:val="24"/>
          <w:szCs w:val="24"/>
          <w:highlight w:val="none"/>
          <w:u w:val="none"/>
        </w:rPr>
        <w:t>大米约</w:t>
      </w:r>
      <w:r>
        <w:rPr>
          <w:rFonts w:hint="eastAsia" w:ascii="仿宋" w:hAnsi="仿宋" w:eastAsia="仿宋" w:cs="仿宋"/>
          <w:sz w:val="24"/>
          <w:szCs w:val="24"/>
          <w:highlight w:val="none"/>
          <w:u w:val="none"/>
          <w:lang w:val="en-US" w:eastAsia="zh-CN"/>
        </w:rPr>
        <w:t>2227</w:t>
      </w:r>
      <w:r>
        <w:rPr>
          <w:rFonts w:hint="eastAsia" w:ascii="仿宋" w:hAnsi="仿宋" w:eastAsia="仿宋" w:cs="仿宋"/>
          <w:sz w:val="24"/>
          <w:szCs w:val="24"/>
          <w:highlight w:val="none"/>
          <w:u w:val="none"/>
        </w:rPr>
        <w:t>袋</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面粉约</w:t>
      </w:r>
      <w:r>
        <w:rPr>
          <w:rFonts w:hint="eastAsia" w:ascii="仿宋" w:hAnsi="仿宋" w:eastAsia="仿宋" w:cs="仿宋"/>
          <w:sz w:val="24"/>
          <w:szCs w:val="24"/>
          <w:highlight w:val="none"/>
          <w:u w:val="none"/>
          <w:lang w:val="en-US" w:eastAsia="zh-CN"/>
        </w:rPr>
        <w:t>3341</w:t>
      </w:r>
      <w:r>
        <w:rPr>
          <w:rFonts w:hint="eastAsia" w:ascii="仿宋" w:hAnsi="仿宋" w:eastAsia="仿宋" w:cs="仿宋"/>
          <w:sz w:val="24"/>
          <w:szCs w:val="24"/>
          <w:highlight w:val="none"/>
          <w:u w:val="none"/>
        </w:rPr>
        <w:t>袋</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菜籽油约</w:t>
      </w:r>
      <w:r>
        <w:rPr>
          <w:rFonts w:hint="eastAsia" w:ascii="仿宋" w:hAnsi="仿宋" w:eastAsia="仿宋" w:cs="仿宋"/>
          <w:sz w:val="24"/>
          <w:szCs w:val="24"/>
          <w:highlight w:val="none"/>
          <w:u w:val="none"/>
          <w:lang w:val="en-US" w:eastAsia="zh-CN"/>
        </w:rPr>
        <w:t>3496</w:t>
      </w:r>
      <w:r>
        <w:rPr>
          <w:rFonts w:hint="eastAsia" w:ascii="仿宋" w:hAnsi="仿宋" w:eastAsia="仿宋" w:cs="仿宋"/>
          <w:sz w:val="24"/>
          <w:szCs w:val="24"/>
          <w:highlight w:val="none"/>
          <w:u w:val="none"/>
        </w:rPr>
        <w:t>桶</w:t>
      </w:r>
      <w:r>
        <w:rPr>
          <w:rFonts w:hint="eastAsia" w:ascii="仿宋" w:hAnsi="仿宋" w:eastAsia="仿宋" w:cs="仿宋"/>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（2）牛奶：约466108盒。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u w:val="none"/>
          <w:lang w:val="en-US" w:eastAsia="zh-CN" w:bidi="ar-SA"/>
        </w:rPr>
      </w:pPr>
      <w:r>
        <w:rPr>
          <w:rFonts w:hint="eastAsia" w:ascii="仿宋" w:hAnsi="仿宋" w:eastAsia="仿宋" w:cs="仿宋"/>
          <w:sz w:val="24"/>
          <w:szCs w:val="24"/>
          <w:highlight w:val="none"/>
          <w:u w:val="none"/>
          <w:lang w:val="en-US" w:eastAsia="zh-CN"/>
        </w:rPr>
        <w:t>（3）鸡蛋：约466108枚。</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采购数量（3标段）：</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（1）米面油：</w:t>
      </w:r>
      <w:r>
        <w:rPr>
          <w:rFonts w:hint="eastAsia" w:ascii="仿宋" w:hAnsi="仿宋" w:eastAsia="仿宋" w:cs="仿宋"/>
          <w:sz w:val="24"/>
          <w:szCs w:val="24"/>
          <w:highlight w:val="none"/>
          <w:u w:val="none"/>
        </w:rPr>
        <w:t>大米约</w:t>
      </w:r>
      <w:r>
        <w:rPr>
          <w:rFonts w:hint="eastAsia" w:ascii="仿宋" w:hAnsi="仿宋" w:eastAsia="仿宋" w:cs="仿宋"/>
          <w:sz w:val="24"/>
          <w:szCs w:val="24"/>
          <w:highlight w:val="none"/>
          <w:u w:val="none"/>
          <w:lang w:val="en-US" w:eastAsia="zh-CN"/>
        </w:rPr>
        <w:t>2129</w:t>
      </w:r>
      <w:r>
        <w:rPr>
          <w:rFonts w:hint="eastAsia" w:ascii="仿宋" w:hAnsi="仿宋" w:eastAsia="仿宋" w:cs="仿宋"/>
          <w:sz w:val="24"/>
          <w:szCs w:val="24"/>
          <w:highlight w:val="none"/>
          <w:u w:val="none"/>
        </w:rPr>
        <w:t>袋</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面粉约</w:t>
      </w:r>
      <w:r>
        <w:rPr>
          <w:rFonts w:hint="eastAsia" w:ascii="仿宋" w:hAnsi="仿宋" w:eastAsia="仿宋" w:cs="仿宋"/>
          <w:sz w:val="24"/>
          <w:szCs w:val="24"/>
          <w:highlight w:val="none"/>
          <w:u w:val="none"/>
          <w:lang w:val="en-US" w:eastAsia="zh-CN"/>
        </w:rPr>
        <w:t>3193</w:t>
      </w:r>
      <w:r>
        <w:rPr>
          <w:rFonts w:hint="eastAsia" w:ascii="仿宋" w:hAnsi="仿宋" w:eastAsia="仿宋" w:cs="仿宋"/>
          <w:sz w:val="24"/>
          <w:szCs w:val="24"/>
          <w:highlight w:val="none"/>
          <w:u w:val="none"/>
        </w:rPr>
        <w:t>袋</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菜籽油约</w:t>
      </w:r>
      <w:r>
        <w:rPr>
          <w:rFonts w:hint="eastAsia" w:ascii="仿宋" w:hAnsi="仿宋" w:eastAsia="仿宋" w:cs="仿宋"/>
          <w:sz w:val="24"/>
          <w:szCs w:val="24"/>
          <w:highlight w:val="none"/>
          <w:u w:val="none"/>
          <w:lang w:val="en-US" w:eastAsia="zh-CN"/>
        </w:rPr>
        <w:t>3463</w:t>
      </w:r>
      <w:r>
        <w:rPr>
          <w:rFonts w:hint="eastAsia" w:ascii="仿宋" w:hAnsi="仿宋" w:eastAsia="仿宋" w:cs="仿宋"/>
          <w:sz w:val="24"/>
          <w:szCs w:val="24"/>
          <w:highlight w:val="none"/>
          <w:u w:val="none"/>
        </w:rPr>
        <w:t>桶</w:t>
      </w:r>
      <w:r>
        <w:rPr>
          <w:rFonts w:hint="eastAsia" w:ascii="仿宋" w:hAnsi="仿宋" w:eastAsia="仿宋" w:cs="仿宋"/>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（2）牛奶：约461776盒。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（3）鸡蛋：约461776枚。</w:t>
      </w:r>
    </w:p>
    <w:p>
      <w:pPr>
        <w:ind w:firstLine="482" w:firstLineChars="200"/>
        <w:outlineLvl w:val="9"/>
        <w:rPr>
          <w:rFonts w:hint="eastAsia" w:ascii="仿宋" w:hAnsi="仿宋" w:eastAsia="仿宋" w:cs="仿宋"/>
          <w:b/>
          <w:bCs/>
          <w:color w:val="auto"/>
          <w:kern w:val="0"/>
          <w:sz w:val="24"/>
          <w:szCs w:val="22"/>
          <w:highlight w:val="none"/>
        </w:rPr>
      </w:pPr>
      <w:r>
        <w:rPr>
          <w:rFonts w:hint="eastAsia" w:ascii="仿宋" w:hAnsi="仿宋" w:eastAsia="仿宋" w:cs="仿宋"/>
          <w:b/>
          <w:bCs/>
          <w:color w:val="auto"/>
          <w:kern w:val="0"/>
          <w:sz w:val="24"/>
          <w:szCs w:val="22"/>
          <w:highlight w:val="none"/>
        </w:rPr>
        <w:t>采购数量为</w:t>
      </w:r>
      <w:r>
        <w:rPr>
          <w:rFonts w:hint="eastAsia" w:ascii="仿宋" w:hAnsi="仿宋" w:eastAsia="仿宋" w:cs="仿宋"/>
          <w:b/>
          <w:bCs/>
          <w:color w:val="auto"/>
          <w:kern w:val="0"/>
          <w:sz w:val="24"/>
          <w:szCs w:val="22"/>
          <w:highlight w:val="none"/>
          <w:lang w:val="en-US" w:eastAsia="zh-CN"/>
        </w:rPr>
        <w:t>预估值</w:t>
      </w:r>
      <w:r>
        <w:rPr>
          <w:rFonts w:hint="eastAsia" w:ascii="仿宋" w:hAnsi="仿宋" w:eastAsia="仿宋" w:cs="仿宋"/>
          <w:b/>
          <w:bCs/>
          <w:color w:val="auto"/>
          <w:kern w:val="0"/>
          <w:sz w:val="24"/>
          <w:szCs w:val="22"/>
          <w:highlight w:val="none"/>
        </w:rPr>
        <w:t>，以实际发生额据实结算。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3.采购要求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大米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独立包装，每袋25公斤；质量符合国家标准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粳米国标一等；便于运输、储存，外包装上必须标明生产日期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保质期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执行标准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储存条件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生产厂家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产地等。</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面粉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独立包装，每袋25公斤；质量符合国家标准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精制粉</w:t>
      </w:r>
      <w:r>
        <w:rPr>
          <w:rFonts w:hint="eastAsia" w:ascii="仿宋" w:hAnsi="仿宋" w:eastAsia="仿宋" w:cs="仿宋"/>
          <w:sz w:val="24"/>
          <w:szCs w:val="24"/>
          <w:highlight w:val="none"/>
        </w:rPr>
        <w:t>；便于运输、储存，外包装上必须标明生产日期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保质期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执行标准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储存条件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生产厂家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产地等。</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菜籽油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独立包装，每桶5升；非转基因压榨菜籽油，质量符合国家标准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级</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以上；外包装上必须标明生产日期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保质期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执行标准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储存条件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生产厂家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产地等。</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牛奶：符合国家标准的乳制品（灭菌乳、调制乳）牛奶，产品包装形式为利乐包。每盒包装净含量均不少于200毫升。蛋白质含量符合国家标准，纯牛奶每100毫升中蛋白质平均含量≥3g；纯牛奶供货比例不低于总供货量的二分之一，在包装盒上必须印有“中国学生饮用奶”标志，并注明“不准在市场销售字样”。</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（5）鸡蛋：每枚≥60g,大小均匀、品质新鲜，无异形状蛋。有相关部门颁发的检疫合格证。</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4.配送学校人数</w:t>
      </w:r>
    </w:p>
    <w:tbl>
      <w:tblPr>
        <w:tblStyle w:val="7"/>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351"/>
        <w:gridCol w:w="2278"/>
        <w:gridCol w:w="2107"/>
        <w:gridCol w:w="1026"/>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45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78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街道名称</w:t>
            </w:r>
          </w:p>
        </w:tc>
        <w:tc>
          <w:tcPr>
            <w:tcW w:w="13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学校名称</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食堂供餐人数</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学校数</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783" w:type="pct"/>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甘亭街道</w:t>
            </w: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东关小学青羊务分校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130</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1标段</w:t>
            </w:r>
          </w:p>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color w:val="000000"/>
                <w:sz w:val="21"/>
                <w:szCs w:val="21"/>
                <w:highlight w:val="none"/>
                <w:lang w:val="en-US" w:eastAsia="zh-CN" w:bidi="ar"/>
              </w:rPr>
              <w:t>其中小学3335人、</w:t>
            </w:r>
            <w:r>
              <w:rPr>
                <w:rFonts w:hint="eastAsia" w:ascii="仿宋" w:hAnsi="仿宋" w:eastAsia="仿宋" w:cs="仿宋"/>
                <w:i w:val="0"/>
                <w:iCs w:val="0"/>
                <w:color w:val="000000"/>
                <w:kern w:val="0"/>
                <w:sz w:val="21"/>
                <w:szCs w:val="21"/>
                <w:highlight w:val="none"/>
                <w:u w:val="none"/>
                <w:lang w:val="en-US" w:eastAsia="zh-CN" w:bidi="ar"/>
              </w:rPr>
              <w:t>初中2331人）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人民路小学吕公分校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259</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特殊教育学校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荣华小学河头分校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214</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西街小学青羊寨分校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183</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北街小学郭村分校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33</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新区小学两营分校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甘亭中心校崔村分校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南羊小学</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183</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军民小学</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178</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户电路小学</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342</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1"/>
                <w:szCs w:val="21"/>
                <w:highlight w:val="none"/>
                <w:u w:val="none"/>
              </w:rPr>
            </w:pPr>
          </w:p>
        </w:tc>
        <w:tc>
          <w:tcPr>
            <w:tcW w:w="783"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1"/>
                <w:szCs w:val="21"/>
                <w:highlight w:val="none"/>
                <w:u w:val="none"/>
              </w:rPr>
            </w:pPr>
          </w:p>
        </w:tc>
        <w:tc>
          <w:tcPr>
            <w:tcW w:w="1320"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六中</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224</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祖庵街道辖区学校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1414</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余下街道辖区学校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2217（含电小柿园）</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2103"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景区管理局辖区学校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147</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小计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5666</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25</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2103"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玉蝉街道辖区学校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2944（含实验初中）</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6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2标段</w:t>
            </w:r>
          </w:p>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（其中小学3747人、初中2386人）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五竹街道辖区学校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2463（含西外实小）</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石井街道辖区学校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726</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小计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6133</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17</w:t>
            </w:r>
          </w:p>
        </w:tc>
        <w:tc>
          <w:tcPr>
            <w:tcW w:w="62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涝店街道辖区学校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1595</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623"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3标段</w:t>
            </w:r>
          </w:p>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bidi="ar"/>
              </w:rPr>
            </w:pPr>
            <w:r>
              <w:rPr>
                <w:rFonts w:hint="eastAsia" w:ascii="仿宋" w:hAnsi="仿宋" w:eastAsia="仿宋" w:cs="仿宋"/>
                <w:i w:val="0"/>
                <w:iCs w:val="0"/>
                <w:color w:val="000000"/>
                <w:kern w:val="0"/>
                <w:sz w:val="21"/>
                <w:szCs w:val="21"/>
                <w:highlight w:val="none"/>
                <w:u w:val="none"/>
                <w:lang w:val="en-US" w:eastAsia="zh-CN" w:bidi="ar"/>
              </w:rPr>
              <w:t>（其中小学4223人、初中1853人）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渭丰街道辖区学校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1008</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62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甘河街道辖区学校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1746</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62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210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蒋村街道辖区学校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1727</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62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小计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6076</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25</w:t>
            </w:r>
          </w:p>
        </w:tc>
        <w:tc>
          <w:tcPr>
            <w:tcW w:w="62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6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合计</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17875</w:t>
            </w:r>
          </w:p>
        </w:tc>
        <w:tc>
          <w:tcPr>
            <w:tcW w:w="5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67</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1"/>
                <w:szCs w:val="21"/>
                <w:highlight w:val="none"/>
                <w:u w:val="none"/>
                <w:lang w:val="en-US" w:eastAsia="zh-CN"/>
              </w:rPr>
            </w:pPr>
            <w:r>
              <w:rPr>
                <w:rFonts w:hint="eastAsia" w:ascii="仿宋" w:hAnsi="仿宋" w:eastAsia="仿宋" w:cs="仿宋"/>
                <w:b/>
                <w:bCs/>
                <w:i w:val="0"/>
                <w:iCs w:val="0"/>
                <w:color w:val="000000"/>
                <w:sz w:val="21"/>
                <w:szCs w:val="21"/>
                <w:highlight w:val="none"/>
                <w:u w:val="none"/>
                <w:lang w:val="en-US" w:eastAsia="zh-CN"/>
              </w:rPr>
              <w:t>/</w:t>
            </w:r>
          </w:p>
        </w:tc>
      </w:tr>
    </w:tbl>
    <w:p>
      <w:pPr>
        <w:pStyle w:val="3"/>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注：2024年鄠邑区义务段学校食堂供餐预计总人数17875人，其中初中6570人，小学11305人。</w:t>
      </w:r>
    </w:p>
    <w:p>
      <w:pPr>
        <w:pStyle w:val="3"/>
        <w:rPr>
          <w:rFonts w:hint="eastAsia" w:ascii="仿宋" w:hAnsi="仿宋" w:eastAsia="仿宋" w:cs="仿宋"/>
          <w:highlight w:val="none"/>
          <w:lang w:val="en-US" w:eastAsia="zh-CN"/>
        </w:rPr>
      </w:pPr>
    </w:p>
    <w:p>
      <w:pPr>
        <w:pStyle w:val="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pStyle w:val="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pStyle w:val="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pStyle w:val="3"/>
        <w:rPr>
          <w:rFonts w:hint="eastAsia" w:ascii="仿宋" w:hAnsi="仿宋" w:eastAsia="仿宋" w:cs="仿宋"/>
          <w:highlight w:val="none"/>
          <w:lang w:val="en-US" w:eastAsia="zh-CN"/>
        </w:rPr>
      </w:pPr>
    </w:p>
    <w:p>
      <w:pPr>
        <w:pStyle w:val="4"/>
        <w:rPr>
          <w:rFonts w:hint="eastAsia" w:ascii="仿宋" w:hAnsi="仿宋" w:eastAsia="仿宋" w:cs="仿宋"/>
          <w:highlight w:val="none"/>
          <w:lang w:val="en-US" w:eastAsia="zh-CN"/>
        </w:rPr>
      </w:pPr>
    </w:p>
    <w:p>
      <w:pPr>
        <w:pStyle w:val="2"/>
        <w:pageBreakBefore w:val="0"/>
        <w:kinsoku/>
        <w:wordWrap/>
        <w:overflowPunct/>
        <w:topLinePunct w:val="0"/>
        <w:autoSpaceDE/>
        <w:autoSpaceDN/>
        <w:bidi w:val="0"/>
        <w:adjustRightInd/>
        <w:snapToGrid/>
        <w:spacing w:before="0" w:beforeLines="0" w:after="0" w:afterLines="0" w:line="360" w:lineRule="auto"/>
        <w:ind w:firstLine="482" w:firstLineChars="20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r>
        <w:rPr>
          <w:rFonts w:hint="eastAsia" w:ascii="仿宋" w:hAnsi="仿宋" w:eastAsia="仿宋" w:cs="仿宋"/>
          <w:b/>
          <w:bCs/>
          <w:sz w:val="36"/>
          <w:szCs w:val="36"/>
          <w:highlight w:val="none"/>
          <w:lang w:val="en-US" w:eastAsia="zh-CN"/>
        </w:rPr>
        <w:t>（4标段）</w:t>
      </w:r>
    </w:p>
    <w:p>
      <w:pPr>
        <w:pStyle w:val="3"/>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一、商务服务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lang w:eastAsia="zh-CN"/>
        </w:rPr>
        <w:t>供货期：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2024年2月-2025年1月期间教学日。</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款项结算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（1）每学期开学后两月内，支付当学期货款总额的40%，学期结束据实结算剩余货款。热早餐</w:t>
      </w:r>
      <w:r>
        <w:rPr>
          <w:rFonts w:hint="eastAsia" w:ascii="仿宋" w:hAnsi="仿宋" w:eastAsia="仿宋" w:cs="仿宋"/>
          <w:color w:val="auto"/>
          <w:sz w:val="24"/>
          <w:szCs w:val="24"/>
          <w:highlight w:val="none"/>
          <w:u w:val="none"/>
          <w:lang w:val="en-US" w:eastAsia="zh-CN"/>
        </w:rPr>
        <w:t>加工、</w:t>
      </w:r>
      <w:r>
        <w:rPr>
          <w:rFonts w:hint="eastAsia" w:ascii="仿宋" w:hAnsi="仿宋" w:eastAsia="仿宋" w:cs="仿宋"/>
          <w:color w:val="auto"/>
          <w:sz w:val="24"/>
          <w:szCs w:val="24"/>
          <w:highlight w:val="none"/>
          <w:u w:val="none"/>
        </w:rPr>
        <w:t>配送费每学期结束后一月内结算。</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）供应商应于采购人每次付款前向采购人开具等额发票。因供应商</w:t>
      </w:r>
      <w:r>
        <w:rPr>
          <w:rFonts w:hint="eastAsia" w:ascii="仿宋" w:hAnsi="仿宋" w:eastAsia="仿宋" w:cs="仿宋"/>
          <w:color w:val="auto"/>
          <w:sz w:val="24"/>
          <w:szCs w:val="24"/>
          <w:highlight w:val="none"/>
          <w:u w:val="none"/>
          <w:lang w:eastAsia="zh-CN"/>
        </w:rPr>
        <w:t>延迟</w:t>
      </w:r>
      <w:r>
        <w:rPr>
          <w:rFonts w:hint="eastAsia" w:ascii="仿宋" w:hAnsi="仿宋" w:eastAsia="仿宋" w:cs="仿宋"/>
          <w:color w:val="auto"/>
          <w:sz w:val="24"/>
          <w:szCs w:val="24"/>
          <w:highlight w:val="none"/>
          <w:u w:val="none"/>
        </w:rPr>
        <w:t>开票，采购人有权拒不付款且不承担任何责任</w:t>
      </w:r>
      <w:r>
        <w:rPr>
          <w:rFonts w:hint="eastAsia" w:ascii="仿宋" w:hAnsi="仿宋" w:eastAsia="仿宋" w:cs="仿宋"/>
          <w:color w:val="auto"/>
          <w:sz w:val="24"/>
          <w:szCs w:val="24"/>
          <w:highlight w:val="none"/>
          <w:u w:val="none"/>
          <w:lang w:eastAsia="zh-CN"/>
        </w:rPr>
        <w:t>。</w:t>
      </w:r>
    </w:p>
    <w:p>
      <w:pPr>
        <w:spacing w:line="360" w:lineRule="auto"/>
        <w:ind w:firstLine="482" w:firstLineChars="200"/>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 w:val="24"/>
          <w:szCs w:val="24"/>
          <w:highlight w:val="none"/>
          <w:lang w:val="en-US" w:eastAsia="zh-CN"/>
        </w:rPr>
        <w:t>（3）最高限价：5.7元人/餐</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其中包含5元食品费用，0.7元食品加工、配送等费用</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w:t>
      </w:r>
    </w:p>
    <w:p>
      <w:pPr>
        <w:spacing w:line="360" w:lineRule="auto"/>
        <w:ind w:firstLine="482" w:firstLineChars="200"/>
        <w:rPr>
          <w:rFonts w:hint="eastAsia" w:ascii="仿宋" w:hAnsi="仿宋" w:eastAsia="仿宋" w:cs="仿宋"/>
          <w:b w:val="0"/>
          <w:color w:val="auto"/>
          <w:sz w:val="24"/>
          <w:szCs w:val="24"/>
          <w:highlight w:val="none"/>
        </w:rPr>
      </w:pPr>
      <w:r>
        <w:rPr>
          <w:rFonts w:hint="eastAsia" w:ascii="仿宋" w:hAnsi="仿宋" w:eastAsia="仿宋" w:cs="仿宋"/>
          <w:b/>
          <w:bCs/>
          <w:color w:val="auto"/>
          <w:sz w:val="24"/>
          <w:szCs w:val="24"/>
          <w:highlight w:val="none"/>
        </w:rPr>
        <w:t>二、服务要求</w:t>
      </w:r>
    </w:p>
    <w:p>
      <w:pPr>
        <w:spacing w:line="360" w:lineRule="auto"/>
        <w:ind w:firstLine="480" w:firstLineChars="200"/>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1.针对本项目配备专职配送人员（须有健康证），确保按时配送到位且不影响学校正常教学。</w:t>
      </w:r>
    </w:p>
    <w:p>
      <w:pPr>
        <w:spacing w:line="360" w:lineRule="auto"/>
        <w:ind w:firstLine="480" w:firstLineChars="200"/>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2.热早餐按采购人要求时间每天配送一次。配送车辆定期检修、消毒，必须符合食品安全要求。</w:t>
      </w:r>
    </w:p>
    <w:p>
      <w:pPr>
        <w:spacing w:line="360" w:lineRule="auto"/>
        <w:ind w:firstLine="480" w:firstLineChars="200"/>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3.有专人负责与采购人对接，有可操作性强的应急配送预案，确保及时处理突发情况。</w:t>
      </w:r>
    </w:p>
    <w:p>
      <w:pPr>
        <w:spacing w:line="360" w:lineRule="auto"/>
        <w:ind w:firstLine="482" w:firstLineChars="200"/>
        <w:rPr>
          <w:rFonts w:hint="eastAsia" w:ascii="仿宋" w:hAnsi="仿宋" w:eastAsia="仿宋" w:cs="仿宋"/>
          <w:bCs w:val="0"/>
          <w:color w:val="auto"/>
          <w:sz w:val="24"/>
          <w:szCs w:val="24"/>
          <w:highlight w:val="none"/>
          <w:lang w:val="en-US" w:eastAsia="zh-CN"/>
        </w:rPr>
      </w:pPr>
      <w:r>
        <w:rPr>
          <w:rFonts w:hint="eastAsia" w:ascii="仿宋" w:hAnsi="仿宋" w:eastAsia="仿宋" w:cs="仿宋"/>
          <w:b/>
          <w:bCs/>
          <w:color w:val="auto"/>
          <w:sz w:val="24"/>
          <w:szCs w:val="24"/>
          <w:highlight w:val="none"/>
          <w:u w:val="none"/>
          <w:lang w:val="en-US" w:eastAsia="zh-CN"/>
        </w:rPr>
        <w:t>三</w:t>
      </w:r>
      <w:r>
        <w:rPr>
          <w:rFonts w:hint="eastAsia" w:ascii="仿宋" w:hAnsi="仿宋" w:eastAsia="仿宋" w:cs="仿宋"/>
          <w:b/>
          <w:bCs/>
          <w:color w:val="auto"/>
          <w:sz w:val="24"/>
          <w:szCs w:val="24"/>
          <w:highlight w:val="none"/>
          <w:u w:val="none"/>
        </w:rPr>
        <w:t>、</w:t>
      </w:r>
      <w:r>
        <w:rPr>
          <w:rFonts w:hint="eastAsia" w:ascii="仿宋" w:hAnsi="仿宋" w:eastAsia="仿宋" w:cs="仿宋"/>
          <w:b/>
          <w:bCs/>
          <w:color w:val="auto"/>
          <w:sz w:val="24"/>
          <w:szCs w:val="24"/>
          <w:highlight w:val="none"/>
          <w:u w:val="none"/>
          <w:lang w:val="en-US" w:eastAsia="zh-CN"/>
        </w:rPr>
        <w:t>采购内容</w:t>
      </w:r>
    </w:p>
    <w:p>
      <w:pPr>
        <w:pStyle w:val="3"/>
        <w:numPr>
          <w:ilvl w:val="0"/>
          <w:numId w:val="0"/>
        </w:numPr>
        <w:ind w:firstLine="480" w:firstLineChars="200"/>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一</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实施范围：</w:t>
      </w:r>
    </w:p>
    <w:p>
      <w:pPr>
        <w:pStyle w:val="3"/>
        <w:numPr>
          <w:ilvl w:val="0"/>
          <w:numId w:val="0"/>
        </w:numPr>
        <w:ind w:firstLine="480" w:firstLineChars="200"/>
        <w:rPr>
          <w:rFonts w:hint="eastAsia" w:ascii="仿宋" w:hAnsi="仿宋" w:eastAsia="仿宋" w:cs="仿宋"/>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4所无食堂</w:t>
      </w:r>
      <w:r>
        <w:rPr>
          <w:rFonts w:hint="eastAsia" w:ascii="仿宋" w:hAnsi="仿宋" w:eastAsia="仿宋" w:cs="仿宋"/>
          <w:b w:val="0"/>
          <w:bCs w:val="0"/>
          <w:sz w:val="24"/>
          <w:szCs w:val="24"/>
          <w:highlight w:val="none"/>
          <w:u w:val="none"/>
        </w:rPr>
        <w:t>学校</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kern w:val="2"/>
          <w:sz w:val="24"/>
          <w:szCs w:val="24"/>
          <w:highlight w:val="none"/>
          <w:u w:val="none"/>
          <w:lang w:val="en-US" w:eastAsia="zh-CN" w:bidi="ar-SA"/>
        </w:rPr>
        <w:t>学生人数约3194人（此为预估人数），每人每餐5.7元，全学期按95天计算，共两学期。</w:t>
      </w:r>
    </w:p>
    <w:p>
      <w:pPr>
        <w:pStyle w:val="3"/>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val="en-US" w:eastAsia="zh-CN"/>
        </w:rPr>
        <w:t>采购要求</w:t>
      </w:r>
      <w:r>
        <w:rPr>
          <w:rFonts w:hint="eastAsia" w:ascii="仿宋" w:hAnsi="仿宋" w:eastAsia="仿宋" w:cs="仿宋"/>
          <w:b w:val="0"/>
          <w:bCs w:val="0"/>
          <w:sz w:val="24"/>
          <w:szCs w:val="24"/>
          <w:highlight w:val="none"/>
          <w:u w:val="none"/>
        </w:rPr>
        <w:t>：</w:t>
      </w:r>
    </w:p>
    <w:p>
      <w:pPr>
        <w:pStyle w:val="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（1）热早餐：每人每天配送1份完整的热早餐，含一份流食、一份主食、一份辅食。具体配餐内容按以下要求制作：</w:t>
      </w:r>
    </w:p>
    <w:tbl>
      <w:tblPr>
        <w:tblStyle w:val="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75"/>
        <w:gridCol w:w="825"/>
        <w:gridCol w:w="1170"/>
        <w:gridCol w:w="1530"/>
        <w:gridCol w:w="1575"/>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noWrap w:val="0"/>
            <w:vAlign w:val="center"/>
          </w:tcPr>
          <w:p>
            <w:pPr>
              <w:spacing w:line="360" w:lineRule="auto"/>
              <w:jc w:val="center"/>
              <w:rPr>
                <w:rFonts w:hint="eastAsia"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种类</w:t>
            </w:r>
          </w:p>
        </w:tc>
        <w:tc>
          <w:tcPr>
            <w:tcW w:w="975" w:type="dxa"/>
            <w:noWrap w:val="0"/>
            <w:vAlign w:val="center"/>
          </w:tcPr>
          <w:p>
            <w:pPr>
              <w:spacing w:line="360" w:lineRule="auto"/>
              <w:jc w:val="center"/>
              <w:rPr>
                <w:rFonts w:hint="eastAsia" w:ascii="仿宋" w:hAnsi="仿宋" w:eastAsia="仿宋" w:cs="仿宋"/>
                <w:b/>
                <w:kern w:val="2"/>
                <w:sz w:val="21"/>
                <w:szCs w:val="21"/>
                <w:highlight w:val="none"/>
                <w:lang w:val="en-US" w:eastAsia="zh-CN" w:bidi="ar-SA"/>
              </w:rPr>
            </w:pPr>
            <w:r>
              <w:rPr>
                <w:rFonts w:hint="eastAsia" w:ascii="仿宋" w:hAnsi="仿宋" w:eastAsia="仿宋" w:cs="仿宋"/>
                <w:b/>
                <w:sz w:val="21"/>
                <w:szCs w:val="21"/>
                <w:highlight w:val="none"/>
              </w:rPr>
              <w:t>供餐</w:t>
            </w:r>
            <w:r>
              <w:rPr>
                <w:rFonts w:hint="eastAsia" w:ascii="仿宋" w:hAnsi="仿宋" w:eastAsia="仿宋" w:cs="仿宋"/>
                <w:b/>
                <w:sz w:val="21"/>
                <w:szCs w:val="21"/>
                <w:highlight w:val="none"/>
                <w:lang w:val="en-US" w:eastAsia="zh-CN"/>
              </w:rPr>
              <w:t xml:space="preserve">  </w:t>
            </w:r>
            <w:r>
              <w:rPr>
                <w:rFonts w:hint="eastAsia" w:ascii="仿宋" w:hAnsi="仿宋" w:eastAsia="仿宋" w:cs="仿宋"/>
                <w:b/>
                <w:sz w:val="21"/>
                <w:szCs w:val="21"/>
                <w:highlight w:val="none"/>
              </w:rPr>
              <w:t>食品</w:t>
            </w:r>
          </w:p>
        </w:tc>
        <w:tc>
          <w:tcPr>
            <w:tcW w:w="825" w:type="dxa"/>
            <w:noWrap w:val="0"/>
            <w:vAlign w:val="center"/>
          </w:tcPr>
          <w:p>
            <w:pPr>
              <w:spacing w:line="360" w:lineRule="auto"/>
              <w:jc w:val="center"/>
              <w:rPr>
                <w:rFonts w:hint="eastAsia" w:ascii="仿宋" w:hAnsi="仿宋" w:eastAsia="仿宋" w:cs="仿宋"/>
                <w:b/>
                <w:kern w:val="2"/>
                <w:sz w:val="21"/>
                <w:szCs w:val="21"/>
                <w:highlight w:val="none"/>
                <w:lang w:val="en-US" w:eastAsia="zh-CN" w:bidi="ar-SA"/>
              </w:rPr>
            </w:pPr>
            <w:r>
              <w:rPr>
                <w:rFonts w:hint="eastAsia" w:ascii="仿宋" w:hAnsi="仿宋" w:eastAsia="仿宋" w:cs="仿宋"/>
                <w:b/>
                <w:sz w:val="21"/>
                <w:szCs w:val="21"/>
                <w:highlight w:val="none"/>
              </w:rPr>
              <w:t>口味要求</w:t>
            </w:r>
          </w:p>
        </w:tc>
        <w:tc>
          <w:tcPr>
            <w:tcW w:w="1170" w:type="dxa"/>
            <w:noWrap w:val="0"/>
            <w:vAlign w:val="center"/>
          </w:tcPr>
          <w:p>
            <w:pPr>
              <w:spacing w:line="360" w:lineRule="auto"/>
              <w:jc w:val="center"/>
              <w:rPr>
                <w:rFonts w:hint="eastAsia" w:ascii="仿宋" w:hAnsi="仿宋" w:eastAsia="仿宋" w:cs="仿宋"/>
                <w:b/>
                <w:kern w:val="2"/>
                <w:sz w:val="21"/>
                <w:szCs w:val="21"/>
                <w:highlight w:val="none"/>
                <w:lang w:val="en-US" w:eastAsia="zh-CN" w:bidi="ar-SA"/>
              </w:rPr>
            </w:pPr>
            <w:r>
              <w:rPr>
                <w:rFonts w:hint="eastAsia" w:ascii="仿宋" w:hAnsi="仿宋" w:eastAsia="仿宋" w:cs="仿宋"/>
                <w:b/>
                <w:sz w:val="21"/>
                <w:szCs w:val="21"/>
                <w:highlight w:val="none"/>
              </w:rPr>
              <w:t>每份重量要求</w:t>
            </w:r>
          </w:p>
        </w:tc>
        <w:tc>
          <w:tcPr>
            <w:tcW w:w="1530" w:type="dxa"/>
            <w:noWrap w:val="0"/>
            <w:vAlign w:val="center"/>
          </w:tcPr>
          <w:p>
            <w:pPr>
              <w:spacing w:line="360" w:lineRule="auto"/>
              <w:jc w:val="center"/>
              <w:rPr>
                <w:rFonts w:hint="eastAsia" w:ascii="仿宋" w:hAnsi="仿宋" w:eastAsia="仿宋" w:cs="仿宋"/>
                <w:b/>
                <w:kern w:val="2"/>
                <w:sz w:val="21"/>
                <w:szCs w:val="21"/>
                <w:highlight w:val="none"/>
                <w:lang w:val="en-US" w:eastAsia="zh-CN" w:bidi="ar-SA"/>
              </w:rPr>
            </w:pPr>
            <w:r>
              <w:rPr>
                <w:rFonts w:hint="eastAsia" w:ascii="仿宋" w:hAnsi="仿宋" w:eastAsia="仿宋" w:cs="仿宋"/>
                <w:b/>
                <w:sz w:val="21"/>
                <w:szCs w:val="21"/>
                <w:highlight w:val="none"/>
              </w:rPr>
              <w:t>保质期</w:t>
            </w:r>
          </w:p>
        </w:tc>
        <w:tc>
          <w:tcPr>
            <w:tcW w:w="1575" w:type="dxa"/>
            <w:noWrap w:val="0"/>
            <w:vAlign w:val="center"/>
          </w:tcPr>
          <w:p>
            <w:pPr>
              <w:spacing w:line="360" w:lineRule="auto"/>
              <w:jc w:val="center"/>
              <w:rPr>
                <w:rFonts w:hint="eastAsia" w:ascii="仿宋" w:hAnsi="仿宋" w:eastAsia="仿宋" w:cs="仿宋"/>
                <w:b/>
                <w:kern w:val="2"/>
                <w:sz w:val="21"/>
                <w:szCs w:val="21"/>
                <w:highlight w:val="none"/>
                <w:lang w:val="en-US" w:eastAsia="zh-CN" w:bidi="ar-SA"/>
              </w:rPr>
            </w:pPr>
            <w:r>
              <w:rPr>
                <w:rFonts w:hint="eastAsia" w:ascii="仿宋" w:hAnsi="仿宋" w:eastAsia="仿宋" w:cs="仿宋"/>
                <w:b/>
                <w:sz w:val="21"/>
                <w:szCs w:val="21"/>
                <w:highlight w:val="none"/>
              </w:rPr>
              <w:t>营养成分要求</w:t>
            </w:r>
          </w:p>
        </w:tc>
        <w:tc>
          <w:tcPr>
            <w:tcW w:w="2467" w:type="dxa"/>
            <w:noWrap w:val="0"/>
            <w:vAlign w:val="center"/>
          </w:tcPr>
          <w:p>
            <w:pPr>
              <w:spacing w:line="360" w:lineRule="auto"/>
              <w:jc w:val="center"/>
              <w:rPr>
                <w:rFonts w:hint="eastAsia" w:ascii="仿宋" w:hAnsi="仿宋" w:eastAsia="仿宋" w:cs="仿宋"/>
                <w:b/>
                <w:kern w:val="2"/>
                <w:sz w:val="21"/>
                <w:szCs w:val="21"/>
                <w:highlight w:val="none"/>
                <w:lang w:val="en-US" w:eastAsia="zh-CN" w:bidi="ar-SA"/>
              </w:rPr>
            </w:pPr>
            <w:r>
              <w:rPr>
                <w:rFonts w:hint="eastAsia" w:ascii="仿宋" w:hAnsi="仿宋" w:eastAsia="仿宋" w:cs="仿宋"/>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20" w:type="dxa"/>
            <w:vMerge w:val="restart"/>
            <w:noWrap w:val="0"/>
            <w:vAlign w:val="center"/>
          </w:tcPr>
          <w:p>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流食</w:t>
            </w: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牛奶（酸奶）</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牛奶≥200ml（酸奶≥1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牛奶≤180天，酸奶≤15天</w:t>
            </w: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牛奶每100毫升中蛋白质平均含量≥3g</w:t>
            </w:r>
          </w:p>
        </w:tc>
        <w:tc>
          <w:tcPr>
            <w:tcW w:w="2467" w:type="dxa"/>
            <w:noWrap w:val="0"/>
            <w:vAlign w:val="center"/>
          </w:tcPr>
          <w:p>
            <w:pPr>
              <w:spacing w:line="360" w:lineRule="auto"/>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所供牛奶为</w:t>
            </w:r>
            <w:r>
              <w:rPr>
                <w:rFonts w:hint="eastAsia" w:ascii="仿宋" w:hAnsi="仿宋" w:eastAsia="仿宋" w:cs="仿宋"/>
                <w:sz w:val="21"/>
                <w:szCs w:val="21"/>
                <w:highlight w:val="none"/>
              </w:rPr>
              <w:t>符合国家标准的纯乳制品，在包装盒上必须印有“中国学生饮用奶”标志，并注明“不准在市场销售字样”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根据季节，酸奶作为牛奶的调剂品种适当供应</w:t>
            </w:r>
            <w:r>
              <w:rPr>
                <w:rFonts w:hint="eastAsia" w:ascii="仿宋" w:hAnsi="仿宋" w:eastAsia="仿宋" w:cs="仿宋"/>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vMerge w:val="continue"/>
            <w:noWrap w:val="0"/>
            <w:vAlign w:val="center"/>
          </w:tcPr>
          <w:p>
            <w:pPr>
              <w:spacing w:line="360" w:lineRule="auto"/>
              <w:jc w:val="center"/>
              <w:rPr>
                <w:rFonts w:hint="eastAsia" w:ascii="仿宋" w:hAnsi="仿宋" w:eastAsia="仿宋" w:cs="仿宋"/>
                <w:sz w:val="21"/>
                <w:szCs w:val="21"/>
                <w:highlight w:val="none"/>
              </w:rPr>
            </w:pP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粥类</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≥3种</w:t>
            </w: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≥260g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每周不超过两次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vMerge w:val="continue"/>
            <w:noWrap w:val="0"/>
            <w:vAlign w:val="center"/>
          </w:tcPr>
          <w:p>
            <w:pPr>
              <w:spacing w:line="360" w:lineRule="auto"/>
              <w:jc w:val="center"/>
              <w:rPr>
                <w:rFonts w:hint="eastAsia" w:ascii="仿宋" w:hAnsi="仿宋" w:eastAsia="仿宋" w:cs="仿宋"/>
                <w:sz w:val="21"/>
                <w:szCs w:val="21"/>
                <w:highlight w:val="none"/>
                <w:lang w:val="en-US" w:eastAsia="zh-CN"/>
              </w:rPr>
            </w:pP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油茶/黑芝麻糊等</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≥260g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0" w:type="dxa"/>
            <w:vMerge w:val="restart"/>
            <w:noWrap w:val="0"/>
            <w:vAlign w:val="center"/>
          </w:tcPr>
          <w:p>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主食</w:t>
            </w: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包子</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≥3种</w:t>
            </w: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≥90g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每周</w:t>
            </w:r>
            <w:r>
              <w:rPr>
                <w:rFonts w:hint="eastAsia" w:ascii="仿宋" w:hAnsi="仿宋" w:eastAsia="仿宋" w:cs="仿宋"/>
                <w:sz w:val="21"/>
                <w:szCs w:val="21"/>
                <w:highlight w:val="none"/>
                <w:lang w:val="en-US" w:eastAsia="zh-CN"/>
              </w:rPr>
              <w:t>不超过两次，且</w:t>
            </w:r>
            <w:r>
              <w:rPr>
                <w:rFonts w:hint="eastAsia" w:ascii="仿宋" w:hAnsi="仿宋" w:eastAsia="仿宋" w:cs="仿宋"/>
                <w:sz w:val="21"/>
                <w:szCs w:val="21"/>
                <w:highlight w:val="none"/>
              </w:rPr>
              <w:t>至少一次肉馅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0" w:type="dxa"/>
            <w:vMerge w:val="continue"/>
            <w:noWrap w:val="0"/>
            <w:vAlign w:val="center"/>
          </w:tcPr>
          <w:p>
            <w:pPr>
              <w:spacing w:line="360" w:lineRule="auto"/>
              <w:jc w:val="center"/>
              <w:rPr>
                <w:rFonts w:hint="eastAsia" w:ascii="仿宋" w:hAnsi="仿宋" w:eastAsia="仿宋" w:cs="仿宋"/>
                <w:sz w:val="21"/>
                <w:szCs w:val="21"/>
                <w:highlight w:val="none"/>
              </w:rPr>
            </w:pP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荷叶饼</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≥90g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搭配</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0g</w:t>
            </w:r>
            <w:r>
              <w:rPr>
                <w:rFonts w:hint="eastAsia" w:ascii="仿宋" w:hAnsi="仿宋" w:eastAsia="仿宋" w:cs="仿宋"/>
                <w:sz w:val="21"/>
                <w:szCs w:val="21"/>
                <w:highlight w:val="none"/>
                <w:lang w:val="en-US" w:eastAsia="zh-CN"/>
              </w:rPr>
              <w:t>的热菜品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20" w:type="dxa"/>
            <w:vMerge w:val="continue"/>
            <w:noWrap w:val="0"/>
            <w:vAlign w:val="center"/>
          </w:tcPr>
          <w:p>
            <w:pPr>
              <w:spacing w:line="360" w:lineRule="auto"/>
              <w:jc w:val="center"/>
              <w:rPr>
                <w:rFonts w:hint="eastAsia" w:ascii="仿宋" w:hAnsi="仿宋" w:eastAsia="仿宋" w:cs="仿宋"/>
                <w:sz w:val="21"/>
                <w:szCs w:val="21"/>
                <w:highlight w:val="none"/>
                <w:lang w:val="en-US" w:eastAsia="zh-CN"/>
              </w:rPr>
            </w:pP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烘焙类糕点</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种</w:t>
            </w: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≥50g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rPr>
              <w:t>≤10天</w:t>
            </w: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vMerge w:val="restart"/>
            <w:noWrap w:val="0"/>
            <w:vAlign w:val="center"/>
          </w:tcPr>
          <w:p>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辅食</w:t>
            </w: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熟鸡蛋</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≥2种</w:t>
            </w: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60</w:t>
            </w:r>
            <w:r>
              <w:rPr>
                <w:rFonts w:hint="eastAsia" w:ascii="仿宋" w:hAnsi="仿宋" w:eastAsia="仿宋" w:cs="仿宋"/>
                <w:sz w:val="21"/>
                <w:szCs w:val="21"/>
                <w:highlight w:val="none"/>
              </w:rPr>
              <w:t>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0" w:type="dxa"/>
            <w:vMerge w:val="continue"/>
            <w:noWrap w:val="0"/>
            <w:vAlign w:val="center"/>
          </w:tcPr>
          <w:p>
            <w:pPr>
              <w:spacing w:line="360" w:lineRule="auto"/>
              <w:jc w:val="center"/>
              <w:rPr>
                <w:rFonts w:hint="eastAsia" w:ascii="仿宋" w:hAnsi="仿宋" w:eastAsia="仿宋" w:cs="仿宋"/>
                <w:sz w:val="21"/>
                <w:szCs w:val="21"/>
                <w:highlight w:val="none"/>
              </w:rPr>
            </w:pPr>
          </w:p>
        </w:tc>
        <w:tc>
          <w:tcPr>
            <w:tcW w:w="9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时令水果</w:t>
            </w:r>
          </w:p>
        </w:tc>
        <w:tc>
          <w:tcPr>
            <w:tcW w:w="82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≥3种</w:t>
            </w:r>
          </w:p>
        </w:tc>
        <w:tc>
          <w:tcPr>
            <w:tcW w:w="117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≥100g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符合国家农残卫生标准</w:t>
            </w:r>
          </w:p>
        </w:tc>
        <w:tc>
          <w:tcPr>
            <w:tcW w:w="2467"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不得使用农药残留超标的水果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0" w:type="dxa"/>
            <w:vMerge w:val="continue"/>
            <w:noWrap w:val="0"/>
            <w:vAlign w:val="center"/>
          </w:tcPr>
          <w:p>
            <w:pPr>
              <w:spacing w:line="360" w:lineRule="auto"/>
              <w:jc w:val="center"/>
              <w:rPr>
                <w:rFonts w:hint="eastAsia" w:ascii="仿宋" w:hAnsi="仿宋" w:eastAsia="仿宋" w:cs="仿宋"/>
                <w:sz w:val="21"/>
                <w:szCs w:val="21"/>
                <w:highlight w:val="none"/>
              </w:rPr>
            </w:pPr>
          </w:p>
        </w:tc>
        <w:tc>
          <w:tcPr>
            <w:tcW w:w="975" w:type="dxa"/>
            <w:noWrap w:val="0"/>
            <w:vAlign w:val="center"/>
          </w:tcPr>
          <w:p>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坚果</w:t>
            </w:r>
          </w:p>
        </w:tc>
        <w:tc>
          <w:tcPr>
            <w:tcW w:w="825" w:type="dxa"/>
            <w:noWrap w:val="0"/>
            <w:vAlign w:val="center"/>
          </w:tcPr>
          <w:p>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≥3种</w:t>
            </w:r>
          </w:p>
        </w:tc>
        <w:tc>
          <w:tcPr>
            <w:tcW w:w="1170" w:type="dxa"/>
            <w:noWrap w:val="0"/>
            <w:vAlign w:val="center"/>
          </w:tcPr>
          <w:p>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g</w:t>
            </w:r>
          </w:p>
        </w:tc>
        <w:tc>
          <w:tcPr>
            <w:tcW w:w="1530" w:type="dxa"/>
            <w:noWrap w:val="0"/>
            <w:vAlign w:val="center"/>
          </w:tcPr>
          <w:p>
            <w:pPr>
              <w:spacing w:line="360" w:lineRule="auto"/>
              <w:jc w:val="center"/>
              <w:rPr>
                <w:rFonts w:hint="eastAsia" w:ascii="仿宋" w:hAnsi="仿宋" w:eastAsia="仿宋" w:cs="仿宋"/>
                <w:kern w:val="2"/>
                <w:sz w:val="21"/>
                <w:szCs w:val="21"/>
                <w:highlight w:val="none"/>
                <w:lang w:val="en-US" w:eastAsia="zh-CN" w:bidi="ar-SA"/>
              </w:rPr>
            </w:pPr>
          </w:p>
        </w:tc>
        <w:tc>
          <w:tcPr>
            <w:tcW w:w="1575" w:type="dxa"/>
            <w:noWrap w:val="0"/>
            <w:vAlign w:val="center"/>
          </w:tcPr>
          <w:p>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符合国家相关标准</w:t>
            </w:r>
          </w:p>
        </w:tc>
        <w:tc>
          <w:tcPr>
            <w:tcW w:w="2467" w:type="dxa"/>
            <w:noWrap w:val="0"/>
            <w:vAlign w:val="center"/>
          </w:tcPr>
          <w:p>
            <w:pPr>
              <w:spacing w:line="360" w:lineRule="auto"/>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0" w:type="dxa"/>
            <w:noWrap w:val="0"/>
            <w:vAlign w:val="center"/>
          </w:tcPr>
          <w:p>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其他</w:t>
            </w:r>
          </w:p>
        </w:tc>
        <w:tc>
          <w:tcPr>
            <w:tcW w:w="8542" w:type="dxa"/>
            <w:gridSpan w:val="6"/>
            <w:noWrap w:val="0"/>
            <w:vAlign w:val="center"/>
          </w:tcPr>
          <w:p>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结合学生营养需求和饮食习惯，根据实际</w:t>
            </w:r>
            <w:r>
              <w:rPr>
                <w:rFonts w:hint="eastAsia" w:ascii="仿宋" w:hAnsi="仿宋" w:eastAsia="仿宋" w:cs="仿宋"/>
                <w:sz w:val="21"/>
                <w:szCs w:val="21"/>
                <w:highlight w:val="none"/>
                <w:lang w:val="en-US" w:eastAsia="zh-CN"/>
              </w:rPr>
              <w:t>不局限于以上种类</w:t>
            </w:r>
            <w:r>
              <w:rPr>
                <w:rFonts w:hint="eastAsia" w:ascii="仿宋" w:hAnsi="仿宋" w:eastAsia="仿宋" w:cs="仿宋"/>
                <w:sz w:val="21"/>
                <w:szCs w:val="21"/>
                <w:highlight w:val="none"/>
              </w:rPr>
              <w:t>搭配</w:t>
            </w:r>
          </w:p>
        </w:tc>
      </w:tr>
    </w:tbl>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（2）供餐要求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1.供餐内容要求：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包括但不限于以上内容，投标人须根据采购人要求、季节变化等，按照营养搭配均衡丰富的原则，结合学生饮食习惯，提供口味类型多样化、搭配合理、符合学生生长发育需要的的早餐供学生食用。投标人需编制不少于四周的食谱搭配方案，并提供所包含食品的分项报价（注：报价不含加工配送费用）。</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流食：纯牛奶（酸牛奶）每周搭配2次；粥类每周搭配不超过2次，每次不重样；油茶或其他每周至少一次；主食：包子每周不超过两次，且至少一次肉馅；荷叶饼配菜每周至少1次；烘焙类糕点或经采购人同意的符合国家食品安全要求的其他主食由投标人按照营养均衡的原则合理搭配。辅食：鸡蛋每周各不少于两次；水果根据季节变化每周搭配1-2次，坚果类每周至少搭配一次；其余1-2次由投标人按照营养均衡的原则合理搭配。</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如因节假日导致当周教学日不足五天，以上搭配按比例酌情缩减（每天必须配送一份流食、一份主食和一份辅食）。</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2.质量要求：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（1）学生营养改善计划营养早餐必须是正规企业生产的品牌产品，熟食产品为符合国家食品质量安全标准的新鲜产品。</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（2）纯牛奶、原味酸奶（低温冷藏类）为正规生产企业的产品，须出具纯牛奶、原味酸奶（低温冷藏类）产品市级以上（含市级）国家相关质检机构出具的近一年内有效质检报告，未出具的视为不合格产品。</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（3）所投产品的原材料（大米、面粉、食用油、肉类等）符合质量及食品安全国家标准要求，并提供具有资质的检验机构出具的合格检验报告。</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（4）牛奶、新鲜烘焙类糕点配送到校的剩余保质期不得少于标注保质期的三分之二。</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3.配送要求：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（1）按教学日配送，按照采购人时间要求每天按时按量配送到采购人指定学校（具体时间以采购人通知为准）。</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（2）严格按照采购人要求配送到校，因运输装卸过程中造成的损耗（例如包装严重变形、破损等），必须无条件更换，并不附加任何费用。</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（3）保证食品送到学校后一小时内粥类、包子、熟鸡蛋保温至适合学生进食，冬春季节牛奶要有加热保温措施。（送至学校热食中心温度不低于60℃）</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（4）每次每校配送量应包含留样1份（重量符合留样要求）。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4.包装要求：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（1）产品包装必须是符合国家相关标准规定的环保材料。</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（2）牛奶（酸奶）、烘焙类糕点为独立包装，且产品包装上必须有完好的生产厂家、规格、生产日期、保质期等有效信息。</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（3）粥类包装必须符合国家相关标准的无菌、环保、塑封包装，水果必须经过消毒清洗等处理。</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5.其他要求：</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（1）营养餐生产及配送不分包。</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（2）投标人应不定期接受市场监管、教育等部门对所提供产品的抽样检查，相关费用由中标人承担。</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（3）投标人应做出按照相关标准为每名学生购买食品安全责任保险的承诺，并在中标后切实履行该承诺。</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（4）运输车辆定时做好消杀防护,配送人员必须身体健康,确保食品安全。</w:t>
      </w:r>
    </w:p>
    <w:p>
      <w:pPr>
        <w:pStyle w:val="3"/>
        <w:spacing w:line="360" w:lineRule="auto"/>
        <w:ind w:firstLine="640"/>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（5）所有从业人员必须提供有效的健康证。</w:t>
      </w:r>
    </w:p>
    <w:p>
      <w:pPr>
        <w:pStyle w:val="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（6）中标人定期与学校对接，根据学校实际受益人数变化情况，随时对配送数量做出调整。</w:t>
      </w:r>
    </w:p>
    <w:p>
      <w:pPr>
        <w:pStyle w:val="3"/>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（三）配送学校人数</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0"/>
        <w:gridCol w:w="4070"/>
        <w:gridCol w:w="2362"/>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2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学校名称</w:t>
            </w:r>
          </w:p>
        </w:tc>
        <w:tc>
          <w:tcPr>
            <w:tcW w:w="1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食堂供餐人数</w:t>
            </w:r>
          </w:p>
        </w:tc>
        <w:tc>
          <w:tcPr>
            <w:tcW w:w="7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23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电厂小学</w:t>
            </w:r>
          </w:p>
        </w:tc>
        <w:tc>
          <w:tcPr>
            <w:tcW w:w="1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563</w:t>
            </w:r>
          </w:p>
        </w:tc>
        <w:tc>
          <w:tcPr>
            <w:tcW w:w="708"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4标段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2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惠安小学</w:t>
            </w:r>
          </w:p>
        </w:tc>
        <w:tc>
          <w:tcPr>
            <w:tcW w:w="1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1754</w:t>
            </w:r>
          </w:p>
        </w:tc>
        <w:tc>
          <w:tcPr>
            <w:tcW w:w="708"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2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光明小学</w:t>
            </w:r>
          </w:p>
        </w:tc>
        <w:tc>
          <w:tcPr>
            <w:tcW w:w="1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857</w:t>
            </w:r>
          </w:p>
        </w:tc>
        <w:tc>
          <w:tcPr>
            <w:tcW w:w="708"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23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周贵坊小学</w:t>
            </w:r>
          </w:p>
        </w:tc>
        <w:tc>
          <w:tcPr>
            <w:tcW w:w="1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w:t>
            </w:r>
          </w:p>
        </w:tc>
        <w:tc>
          <w:tcPr>
            <w:tcW w:w="708"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合计</w:t>
            </w:r>
          </w:p>
        </w:tc>
        <w:tc>
          <w:tcPr>
            <w:tcW w:w="1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highlight w:val="none"/>
                <w:u w:val="none"/>
                <w:lang w:val="en-US"/>
              </w:rPr>
            </w:pPr>
            <w:r>
              <w:rPr>
                <w:rFonts w:hint="eastAsia" w:ascii="仿宋" w:hAnsi="仿宋" w:eastAsia="仿宋" w:cs="仿宋"/>
                <w:b/>
                <w:bCs/>
                <w:i w:val="0"/>
                <w:iCs w:val="0"/>
                <w:color w:val="000000"/>
                <w:kern w:val="0"/>
                <w:sz w:val="21"/>
                <w:szCs w:val="21"/>
                <w:highlight w:val="none"/>
                <w:u w:val="none"/>
                <w:lang w:val="en-US" w:eastAsia="zh-CN" w:bidi="ar"/>
              </w:rPr>
              <w:t>3194</w:t>
            </w:r>
          </w:p>
        </w:tc>
        <w:tc>
          <w:tcPr>
            <w:tcW w:w="708" w:type="pct"/>
            <w:vMerge w:val="continue"/>
            <w:tcBorders>
              <w:left w:val="single" w:color="000000" w:sz="4" w:space="0"/>
              <w:bottom w:val="single" w:color="000000" w:sz="4" w:space="0"/>
              <w:right w:val="single" w:color="000000" w:sz="4" w:space="0"/>
            </w:tcBorders>
            <w:noWrap w:val="0"/>
            <w:vAlign w:val="center"/>
          </w:tcPr>
          <w:p>
            <w:pPr>
              <w:rPr>
                <w:rFonts w:hint="eastAsia" w:ascii="仿宋" w:hAnsi="仿宋" w:eastAsia="仿宋" w:cs="仿宋"/>
                <w:b/>
                <w:bCs/>
                <w:i w:val="0"/>
                <w:iCs w:val="0"/>
                <w:color w:val="000000"/>
                <w:sz w:val="21"/>
                <w:szCs w:val="21"/>
                <w:highlight w:val="none"/>
                <w:u w:val="none"/>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02D62"/>
    <w:multiLevelType w:val="singleLevel"/>
    <w:tmpl w:val="99B02D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MGMwOGJiMTk3ZDUwNTg4ZDAzMTc0NDUyMjU2YmIifQ=="/>
  </w:docVars>
  <w:rsids>
    <w:rsidRoot w:val="00000000"/>
    <w:rsid w:val="52C8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uiPriority w:val="0"/>
    <w:pPr>
      <w:spacing w:line="300" w:lineRule="auto"/>
      <w:ind w:firstLine="420" w:firstLineChars="200"/>
    </w:pPr>
    <w:rPr>
      <w:rFonts w:ascii="Times New Roman"/>
      <w:kern w:val="2"/>
      <w:sz w:val="21"/>
      <w:szCs w:val="24"/>
    </w:rPr>
  </w:style>
  <w:style w:type="paragraph" w:styleId="4">
    <w:name w:val="toc 4"/>
    <w:basedOn w:val="1"/>
    <w:next w:val="1"/>
    <w:unhideWhenUsed/>
    <w:uiPriority w:val="39"/>
    <w:pPr>
      <w:ind w:left="1260" w:leftChars="600"/>
    </w:pPr>
  </w:style>
  <w:style w:type="paragraph" w:styleId="5">
    <w:name w:val="Body Text"/>
    <w:basedOn w:val="1"/>
    <w:next w:val="1"/>
    <w:uiPriority w:val="0"/>
    <w:pPr>
      <w:spacing w:after="120" w:afterLines="0"/>
    </w:pPr>
    <w:rPr>
      <w:rFonts w:ascii="Times New Roman"/>
      <w:kern w:val="2"/>
      <w:sz w:val="21"/>
    </w:rPr>
  </w:style>
  <w:style w:type="paragraph" w:styleId="6">
    <w:name w:val="footer"/>
    <w:basedOn w:val="1"/>
    <w:next w:val="5"/>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2024-01-26T01:15:48Z</dcterms:created>
  <dc:creator>Administrator</dc:creator>
  <cp:lastModifiedBy>R·</cp:lastModifiedBy>
  <dcterms:modified xsi:type="dcterms:W3CDTF">2024-01-26T01:16:14Z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97E1CFB128B44F6399A6779536EF4CB2_12</vt:lpwstr>
  </property>
</Properties>
</file>