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版本号：YYZB-2025016.1B120250820001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西安市鄠邑区城市体检评估项目(二次)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YYZB-2025016.1B1</w:t>
      </w:r>
      <w:r>
        <w:br/>
      </w:r>
      <w:r>
        <w:br/>
      </w:r>
      <w:r>
        <w:br/>
      </w:r>
    </w:p>
    <w:p>
      <w:pPr>
        <w:pStyle w:val="null3"/>
        <w:jc w:val="center"/>
        <w:outlineLvl w:val="2"/>
      </w:pPr>
      <w:r>
        <w:rPr>
          <w:rFonts w:ascii="仿宋_GB2312" w:hAnsi="仿宋_GB2312" w:cs="仿宋_GB2312" w:eastAsia="仿宋_GB2312"/>
          <w:sz w:val="28"/>
          <w:b/>
        </w:rPr>
        <w:t>西安市鄠邑区住房和城乡建设局</w:t>
      </w:r>
    </w:p>
    <w:p>
      <w:pPr>
        <w:pStyle w:val="null3"/>
        <w:jc w:val="center"/>
        <w:outlineLvl w:val="2"/>
      </w:pPr>
      <w:r>
        <w:rPr>
          <w:rFonts w:ascii="仿宋_GB2312" w:hAnsi="仿宋_GB2312" w:cs="仿宋_GB2312" w:eastAsia="仿宋_GB2312"/>
          <w:sz w:val="28"/>
          <w:b/>
        </w:rPr>
        <w:t>陕西旸昀项目管理咨询有限公司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陕西旸昀项目管理咨询有限公司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西安市鄠邑区住房和城乡建设局</w:t>
      </w:r>
      <w:r>
        <w:rPr>
          <w:rFonts w:ascii="仿宋_GB2312" w:hAnsi="仿宋_GB2312" w:cs="仿宋_GB2312" w:eastAsia="仿宋_GB2312"/>
        </w:rPr>
        <w:t>委托，拟对</w:t>
      </w:r>
      <w:r>
        <w:rPr>
          <w:rFonts w:ascii="仿宋_GB2312" w:hAnsi="仿宋_GB2312" w:cs="仿宋_GB2312" w:eastAsia="仿宋_GB2312"/>
        </w:rPr>
        <w:t>西安市鄠邑区城市体检评估项目(二次)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YYZB-2025016.1B1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西安市鄠邑区城市体检评估项目(二次)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住房和城乡建设局关于2024年城市体检评估工作相关要求，为确保我区城市体检工作顺利推进，选定第三方公司组织专业技术团队，围绕4个维度的城市体检指标，完成数据采集、分析、上报及体检报告编制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采购包1（西安市鄠邑区城市体检评估项目）：属于专门面向中小企业采购。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3、纳税情况：提供2024年8月至今已缴纳的至少一个月的纳税证明或完税证明（任意税种），依法免税的单位应提供相关证明材料；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4、社会保险参保情况：提供2024年8月至今已缴存的至少一个月的社会保障资金缴存单据或社保机构开具的社会保险参保缴费情况证明，依法不需要缴纳社会保障资金的单位应提供相关证明材料；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5、履约能力：提供具有履行合同所必需的设备和专业技术能力的承诺；</w:t>
      </w:r>
    </w:p>
    <w:p>
      <w:pPr>
        <w:pStyle w:val="null3"/>
      </w:pPr>
      <w:r>
        <w:rPr>
          <w:rFonts w:ascii="仿宋_GB2312" w:hAnsi="仿宋_GB2312" w:cs="仿宋_GB2312" w:eastAsia="仿宋_GB2312"/>
        </w:rPr>
        <w:t>6、重大违法记录：参加政府采购活动前三年内，在经营活动中没有重大违法记录的书面声明</w:t>
      </w:r>
    </w:p>
    <w:p>
      <w:pPr>
        <w:pStyle w:val="null3"/>
      </w:pPr>
      <w:r>
        <w:rPr>
          <w:rFonts w:ascii="仿宋_GB2312" w:hAnsi="仿宋_GB2312" w:cs="仿宋_GB2312" w:eastAsia="仿宋_GB2312"/>
        </w:rPr>
        <w:t>7、法定代表人授权书：法定代表人授权书（附法定代表人、被授权人身份证复印件），法定代表人直接参加磋商，须提供法定代表人身份证明；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8、供应商资质：供应商需具有城乡规划（国土空间规划）编制乙级及以上资质（含乙级）</w:t>
      </w:r>
    </w:p>
    <w:p>
      <w:pPr>
        <w:pStyle w:val="null3"/>
      </w:pPr>
      <w:r>
        <w:rPr>
          <w:rFonts w:ascii="仿宋_GB2312" w:hAnsi="仿宋_GB2312" w:cs="仿宋_GB2312" w:eastAsia="仿宋_GB2312"/>
        </w:rPr>
        <w:t>9、企业信誉：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10、联合体：本项目不接受联合体磋商</w:t>
      </w:r>
    </w:p>
    <w:p>
      <w:pPr>
        <w:pStyle w:val="null3"/>
      </w:pPr>
      <w:r>
        <w:rPr>
          <w:rFonts w:ascii="仿宋_GB2312" w:hAnsi="仿宋_GB2312" w:cs="仿宋_GB2312" w:eastAsia="仿宋_GB2312"/>
        </w:rPr>
        <w:t>11、专门面向中小企业采购：本项目专门面向中小企业采购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鄠邑区人民路中段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19929096312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陕西旸昀项目管理咨询有限公司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陕西省西安市沣东新城天海星沣东数码工坊B区6座5层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17702918887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按标准收取。 2.支付方式：成交供应商应在领取通知书的同时，支付本项目代理服务费。收款账户如下：收款单位：陕西旸昀项目管理咨询有限公司；开户行：中国民生银行股份有限公司西安枫林绿洲支行；账号：643056665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西安市鄠邑区住房和城乡建设局</w:t>
      </w:r>
      <w:r>
        <w:rPr>
          <w:rFonts w:ascii="仿宋_GB2312" w:hAnsi="仿宋_GB2312" w:cs="仿宋_GB2312" w:eastAsia="仿宋_GB2312"/>
        </w:rPr>
        <w:t>和</w:t>
      </w:r>
      <w:r>
        <w:rPr>
          <w:rFonts w:ascii="仿宋_GB2312" w:hAnsi="仿宋_GB2312" w:cs="仿宋_GB2312" w:eastAsia="仿宋_GB2312"/>
        </w:rPr>
        <w:t>陕西旸昀项目管理咨询有限公司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陕西旸昀项目管理咨询有限公司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陕西旸昀项目管理咨询有限公司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陕西旸昀项目管理咨询有限公司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陕西旸昀项目管理咨询有限公司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陕西旸昀项目管理咨询有限公司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联系人：郝琦</w:t>
      </w:r>
    </w:p>
    <w:p>
      <w:pPr>
        <w:pStyle w:val="null3"/>
      </w:pPr>
      <w:r>
        <w:rPr>
          <w:rFonts w:ascii="仿宋_GB2312" w:hAnsi="仿宋_GB2312" w:cs="仿宋_GB2312" w:eastAsia="仿宋_GB2312"/>
        </w:rPr>
        <w:t>联系电话：029-81889946/19929907937</w:t>
      </w:r>
    </w:p>
    <w:p>
      <w:pPr>
        <w:pStyle w:val="null3"/>
      </w:pPr>
      <w:r>
        <w:rPr>
          <w:rFonts w:ascii="仿宋_GB2312" w:hAnsi="仿宋_GB2312" w:cs="仿宋_GB2312" w:eastAsia="仿宋_GB2312"/>
        </w:rPr>
        <w:t>地址：陕西省西安市沣东新城天海星沣东数码工坊B区6座5层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住房和城乡建设局关于2024年城市体检评估工作相关要求，为确保我区城市体检工作顺利推进，选定第三方公司组织专业技术团队，围绕4个维度的城市体检指标，完成数据采集、分析、上报及体检报告编制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西安市鄠邑区城市体检评估项目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标的名称：西安市鄠邑区城市体检评估项目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rPr>
              <w:t>1.体检范围</w:t>
            </w:r>
          </w:p>
          <w:p>
            <w:pPr>
              <w:pStyle w:val="null3"/>
            </w:pPr>
            <w:r>
              <w:rPr>
                <w:rFonts w:ascii="仿宋_GB2312" w:hAnsi="仿宋_GB2312" w:cs="仿宋_GB2312" w:eastAsia="仿宋_GB2312"/>
              </w:rPr>
              <w:t>本次城市体检范围为鄠邑区全域。</w:t>
            </w:r>
          </w:p>
          <w:p>
            <w:pPr>
              <w:pStyle w:val="null3"/>
            </w:pPr>
            <w:r>
              <w:rPr>
                <w:rFonts w:ascii="仿宋_GB2312" w:hAnsi="仿宋_GB2312" w:cs="仿宋_GB2312" w:eastAsia="仿宋_GB2312"/>
              </w:rPr>
              <w:t>2.工作内容</w:t>
            </w:r>
          </w:p>
          <w:p>
            <w:pPr>
              <w:pStyle w:val="null3"/>
              <w:jc w:val="both"/>
            </w:pPr>
            <w:r>
              <w:rPr>
                <w:rFonts w:ascii="仿宋_GB2312" w:hAnsi="仿宋_GB2312" w:cs="仿宋_GB2312" w:eastAsia="仿宋_GB2312"/>
              </w:rPr>
              <w:t>（一）制定工作方案</w:t>
            </w:r>
          </w:p>
          <w:p>
            <w:pPr>
              <w:pStyle w:val="null3"/>
              <w:jc w:val="both"/>
            </w:pPr>
            <w:r>
              <w:rPr>
                <w:rFonts w:ascii="仿宋_GB2312" w:hAnsi="仿宋_GB2312" w:cs="仿宋_GB2312" w:eastAsia="仿宋_GB2312"/>
              </w:rPr>
              <w:t>一是明确城市体检工作要求。明确鄠邑区城市体检工作总体要求、工作目标、体检范围、工作任务及重点等；二是明确城市体检工作机制，详细说明鄠邑区城市体检领导小组组成及工作职责；三是详细制定工作任务与时间安排。对鄠邑区指标体系制定、数据采集和上报、城市体检宣传、问卷调查、报告编制、成果应用等工作明确内容要求、职责分工以及完成时间。</w:t>
            </w:r>
          </w:p>
          <w:p>
            <w:pPr>
              <w:pStyle w:val="null3"/>
              <w:jc w:val="both"/>
            </w:pPr>
            <w:r>
              <w:rPr>
                <w:rFonts w:ascii="仿宋_GB2312" w:hAnsi="仿宋_GB2312" w:cs="仿宋_GB2312" w:eastAsia="仿宋_GB2312"/>
              </w:rPr>
              <w:t>（二）完善体检指标体系</w:t>
            </w:r>
          </w:p>
          <w:p>
            <w:pPr>
              <w:pStyle w:val="null3"/>
              <w:jc w:val="both"/>
            </w:pPr>
            <w:r>
              <w:rPr>
                <w:rFonts w:ascii="仿宋_GB2312" w:hAnsi="仿宋_GB2312" w:cs="仿宋_GB2312" w:eastAsia="仿宋_GB2312"/>
              </w:rPr>
              <w:t>根据《陕西省住房和城乡建设厅关于全面开展城市体检工作的通知》（陕建发〔</w:t>
            </w:r>
            <w:r>
              <w:rPr>
                <w:rFonts w:ascii="仿宋_GB2312" w:hAnsi="仿宋_GB2312" w:cs="仿宋_GB2312" w:eastAsia="仿宋_GB2312"/>
              </w:rPr>
              <w:t>2024〕36号）、《西安市2024年城市体检评估工作实施方案》，在“住房、小区（社区）、街区、城区（城市）”四个维度81项基础指标的基础上，结合鄠邑区现实特征、发展重点、亮点特色等实际情况，增加体现鄠邑区特点的差异化特色指标，形成完善的体检指标体系。</w:t>
            </w:r>
          </w:p>
          <w:p>
            <w:pPr>
              <w:pStyle w:val="null3"/>
              <w:jc w:val="both"/>
            </w:pPr>
            <w:r>
              <w:rPr>
                <w:rFonts w:ascii="仿宋_GB2312" w:hAnsi="仿宋_GB2312" w:cs="仿宋_GB2312" w:eastAsia="仿宋_GB2312"/>
              </w:rPr>
              <w:t>（三）数据采集和上报</w:t>
            </w:r>
          </w:p>
          <w:p>
            <w:pPr>
              <w:pStyle w:val="null3"/>
              <w:jc w:val="both"/>
            </w:pPr>
            <w:r>
              <w:rPr>
                <w:rFonts w:ascii="仿宋_GB2312" w:hAnsi="仿宋_GB2312" w:cs="仿宋_GB2312" w:eastAsia="仿宋_GB2312"/>
              </w:rPr>
              <w:t>针对住房、小区（社区）、街区、城区（城市）四个维度的数据进行体检采集，城区维度采用鄠邑区各部门分工负责的工作方式对数据进行采集；街区维度联合街道工作人员组成联合工作组，开展数据填报及汇总工作；住房、小区（社区）维度数据联合社区居委会、社区网格员、物业人员组成联合工作组，开展现场调研与数据填报工作。</w:t>
            </w:r>
          </w:p>
          <w:p>
            <w:pPr>
              <w:pStyle w:val="null3"/>
              <w:jc w:val="both"/>
            </w:pPr>
            <w:r>
              <w:rPr>
                <w:rFonts w:ascii="仿宋_GB2312" w:hAnsi="仿宋_GB2312" w:cs="仿宋_GB2312" w:eastAsia="仿宋_GB2312"/>
              </w:rPr>
              <w:t>（四）编制城市体检自检报告</w:t>
            </w:r>
          </w:p>
          <w:p>
            <w:pPr>
              <w:pStyle w:val="null3"/>
              <w:jc w:val="both"/>
            </w:pPr>
            <w:r>
              <w:rPr>
                <w:rFonts w:ascii="仿宋_GB2312" w:hAnsi="仿宋_GB2312" w:cs="仿宋_GB2312" w:eastAsia="仿宋_GB2312"/>
                <w:sz w:val="21"/>
              </w:rPr>
              <w:t>结合住房、小区（社区）、街区、城区（城市）四个维度指标及居民抽样问卷调查结果，对照鄠邑区规划建设管理现状，完成《鄠邑区</w:t>
            </w:r>
            <w:r>
              <w:rPr>
                <w:rFonts w:ascii="仿宋_GB2312" w:hAnsi="仿宋_GB2312" w:cs="仿宋_GB2312" w:eastAsia="仿宋_GB2312"/>
                <w:sz w:val="21"/>
              </w:rPr>
              <w:t>2024年城市体检报告》。体检报告要通过对城市体检指标数据进行全面、客观地分析评价，综合评价城市生命体征状况和建设发展质量，重点查找影响城市竞争力、承载力和可持续发展的短板弱项，找准阻碍城市发展的“症结”，客观分析评价城市人居环境质量及存在问题，提出相应“城市病”治理的对策建议，形成任务清单与责任清单建议，提出整改措施，并通过专家评审后经区政府同意按流程上报市领导小组办公室。</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技术要求</w:t>
            </w:r>
          </w:p>
          <w:p>
            <w:pPr>
              <w:pStyle w:val="null3"/>
              <w:jc w:val="both"/>
            </w:pPr>
            <w:r>
              <w:rPr>
                <w:rFonts w:ascii="仿宋_GB2312" w:hAnsi="仿宋_GB2312" w:cs="仿宋_GB2312" w:eastAsia="仿宋_GB2312"/>
              </w:rPr>
              <w:t>1、预期成果内容包含《鄠邑区2024年城市体检报告》</w:t>
            </w:r>
          </w:p>
          <w:p>
            <w:pPr>
              <w:pStyle w:val="null3"/>
              <w:jc w:val="both"/>
            </w:pPr>
            <w:r>
              <w:rPr>
                <w:rFonts w:ascii="仿宋_GB2312" w:hAnsi="仿宋_GB2312" w:cs="仿宋_GB2312" w:eastAsia="仿宋_GB2312"/>
              </w:rPr>
              <w:t>2、提交成果质量须通过鄠邑区政府验收。</w:t>
            </w:r>
          </w:p>
          <w:p>
            <w:pPr>
              <w:pStyle w:val="null3"/>
              <w:jc w:val="both"/>
            </w:pPr>
            <w:r>
              <w:rPr>
                <w:rFonts w:ascii="仿宋_GB2312" w:hAnsi="仿宋_GB2312" w:cs="仿宋_GB2312" w:eastAsia="仿宋_GB2312"/>
              </w:rPr>
              <w:t>3、提交成果形式为《鄠邑区2024年城市体检报告》研究报告及相关图纸。</w:t>
            </w:r>
          </w:p>
          <w:p>
            <w:pPr>
              <w:pStyle w:val="null3"/>
              <w:jc w:val="both"/>
            </w:pPr>
            <w:r>
              <w:rPr>
                <w:rFonts w:ascii="仿宋_GB2312" w:hAnsi="仿宋_GB2312" w:cs="仿宋_GB2312" w:eastAsia="仿宋_GB2312"/>
                <w:sz w:val="20"/>
              </w:rPr>
              <w:t>4、根据市级时间要求下，本项目预计在合同签订后3个月内完成报告编制工作，具体工作可划分为五个阶段：</w:t>
            </w:r>
          </w:p>
          <w:p>
            <w:pPr>
              <w:pStyle w:val="null3"/>
              <w:ind w:firstLine="400"/>
              <w:jc w:val="both"/>
            </w:pPr>
            <w:r>
              <w:rPr>
                <w:rFonts w:ascii="仿宋_GB2312" w:hAnsi="仿宋_GB2312" w:cs="仿宋_GB2312" w:eastAsia="仿宋_GB2312"/>
                <w:sz w:val="20"/>
              </w:rPr>
              <w:t>工作方案阶段（</w:t>
            </w:r>
            <w:r>
              <w:rPr>
                <w:rFonts w:ascii="仿宋_GB2312" w:hAnsi="仿宋_GB2312" w:cs="仿宋_GB2312" w:eastAsia="仿宋_GB2312"/>
                <w:sz w:val="20"/>
              </w:rPr>
              <w:t>2周）:自合同签订2周内制定完成城市体检工作方案。</w:t>
            </w:r>
          </w:p>
          <w:p>
            <w:pPr>
              <w:pStyle w:val="null3"/>
              <w:ind w:firstLine="400"/>
              <w:jc w:val="both"/>
            </w:pPr>
            <w:r>
              <w:rPr>
                <w:rFonts w:ascii="仿宋_GB2312" w:hAnsi="仿宋_GB2312" w:cs="仿宋_GB2312" w:eastAsia="仿宋_GB2312"/>
                <w:sz w:val="20"/>
              </w:rPr>
              <w:t>数据采集阶段（</w:t>
            </w:r>
            <w:r>
              <w:rPr>
                <w:rFonts w:ascii="仿宋_GB2312" w:hAnsi="仿宋_GB2312" w:cs="仿宋_GB2312" w:eastAsia="仿宋_GB2312"/>
                <w:sz w:val="20"/>
              </w:rPr>
              <w:t>4周）:1个月内完成项目所需基础资料收集、整理以及街道、社区、住房维度的数据采集培训、数据采集、现场调研以及访谈等工作。</w:t>
            </w:r>
          </w:p>
          <w:p>
            <w:pPr>
              <w:pStyle w:val="null3"/>
              <w:ind w:firstLine="400"/>
              <w:jc w:val="both"/>
            </w:pPr>
            <w:r>
              <w:rPr>
                <w:rFonts w:ascii="仿宋_GB2312" w:hAnsi="仿宋_GB2312" w:cs="仿宋_GB2312" w:eastAsia="仿宋_GB2312"/>
                <w:sz w:val="20"/>
              </w:rPr>
              <w:t>初步成果阶段（</w:t>
            </w:r>
            <w:r>
              <w:rPr>
                <w:rFonts w:ascii="仿宋_GB2312" w:hAnsi="仿宋_GB2312" w:cs="仿宋_GB2312" w:eastAsia="仿宋_GB2312"/>
                <w:sz w:val="20"/>
              </w:rPr>
              <w:t>3周）:在数据采集的基础上，形成初步方案，提交住建局审查，并结合意见修改完善。</w:t>
            </w:r>
          </w:p>
          <w:p>
            <w:pPr>
              <w:pStyle w:val="null3"/>
              <w:ind w:firstLine="400"/>
              <w:jc w:val="both"/>
            </w:pPr>
            <w:r>
              <w:rPr>
                <w:rFonts w:ascii="仿宋_GB2312" w:hAnsi="仿宋_GB2312" w:cs="仿宋_GB2312" w:eastAsia="仿宋_GB2312"/>
                <w:sz w:val="20"/>
              </w:rPr>
              <w:t>中期成果阶段（</w:t>
            </w:r>
            <w:r>
              <w:rPr>
                <w:rFonts w:ascii="仿宋_GB2312" w:hAnsi="仿宋_GB2312" w:cs="仿宋_GB2312" w:eastAsia="仿宋_GB2312"/>
                <w:sz w:val="20"/>
              </w:rPr>
              <w:t>1周）:在初步成果的基础上，提交区县政府审查，征求职能部门意见，结合各方意见修改完善，形成中期成果。</w:t>
            </w:r>
          </w:p>
          <w:p>
            <w:pPr>
              <w:pStyle w:val="null3"/>
              <w:ind w:firstLine="400"/>
              <w:jc w:val="both"/>
            </w:pPr>
            <w:r>
              <w:rPr>
                <w:rFonts w:ascii="仿宋_GB2312" w:hAnsi="仿宋_GB2312" w:cs="仿宋_GB2312" w:eastAsia="仿宋_GB2312"/>
                <w:sz w:val="20"/>
              </w:rPr>
              <w:t>最终成果阶段（</w:t>
            </w:r>
            <w:r>
              <w:rPr>
                <w:rFonts w:ascii="仿宋_GB2312" w:hAnsi="仿宋_GB2312" w:cs="仿宋_GB2312" w:eastAsia="仿宋_GB2312"/>
                <w:sz w:val="20"/>
              </w:rPr>
              <w:t>2周）:开展专家评审，修改完善后提交最终正式成果报市领导小组办公室，并按照要求进行归档。</w:t>
            </w:r>
          </w:p>
          <w:p>
            <w:pPr>
              <w:pStyle w:val="null3"/>
              <w:jc w:val="both"/>
            </w:pPr>
            <w:r>
              <w:rPr>
                <w:rFonts w:ascii="仿宋_GB2312" w:hAnsi="仿宋_GB2312" w:cs="仿宋_GB2312" w:eastAsia="仿宋_GB2312"/>
                <w:sz w:val="20"/>
              </w:rPr>
              <w:t>具备完成城市体检评估报告编制的技术力量，具备独立开展城市体检相关工作组织并完成研究评估的能力。</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服务要求</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1）服务方须指派专属人员与采购人联系服务事宜，服务响应时间应根据采购人实际安排随时调整。</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2）服务方需根据服务实际情况编制服务方案，服务计划、服务进度安排等方案措施。</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3）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4）服务过程中，严格按照国家及地方相关标准规范收集数据，确保数据全面性、准确性、时效性。</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5）严格按照国家、陕西省、西安市有关规定及采购人要求进行服务，不得随意更改或者变换服务内容，每项服务内容实施前应事先取得采购人的落实后方可实施。</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7）服务结束，提供本项目相关所有服务的成果报告及归档资料。</w:t>
            </w:r>
          </w:p>
          <w:p>
            <w:pPr>
              <w:pStyle w:val="null3"/>
              <w:spacing w:before="105" w:after="105"/>
              <w:jc w:val="left"/>
            </w:pPr>
            <w:r>
              <w:rPr>
                <w:rFonts w:ascii="仿宋_GB2312" w:hAnsi="仿宋_GB2312" w:cs="仿宋_GB2312" w:eastAsia="仿宋_GB2312"/>
                <w:sz w:val="20"/>
              </w:rPr>
              <w:t>成果要求：成果内容应完整真实、科学严谨、思路清晰、具有代表性，符合鄠邑区在新形势、新变化、新发展下的城市现状；成果质量符合住房和城乡建设部建筑节能与科技司印发的《城市体检评估技术指南》的相关要求，并通过采购人组织的论证或评审会。</w:t>
            </w:r>
          </w:p>
          <w:p>
            <w:pPr>
              <w:pStyle w:val="null3"/>
              <w:spacing w:before="105" w:after="105"/>
              <w:jc w:val="left"/>
            </w:pPr>
            <w:r>
              <w:rPr>
                <w:rFonts w:ascii="仿宋_GB2312" w:hAnsi="仿宋_GB2312" w:cs="仿宋_GB2312" w:eastAsia="仿宋_GB2312"/>
                <w:sz w:val="20"/>
              </w:rPr>
              <w:t>质量标准及要求：</w:t>
            </w:r>
          </w:p>
          <w:p>
            <w:pPr>
              <w:pStyle w:val="null3"/>
              <w:spacing w:before="105" w:after="105"/>
              <w:jc w:val="left"/>
            </w:pPr>
            <w:r>
              <w:rPr>
                <w:rFonts w:ascii="仿宋_GB2312" w:hAnsi="仿宋_GB2312" w:cs="仿宋_GB2312" w:eastAsia="仿宋_GB2312"/>
                <w:sz w:val="20"/>
              </w:rPr>
              <w:t>（</w:t>
            </w:r>
            <w:r>
              <w:rPr>
                <w:rFonts w:ascii="仿宋_GB2312" w:hAnsi="仿宋_GB2312" w:cs="仿宋_GB2312" w:eastAsia="仿宋_GB2312"/>
                <w:sz w:val="20"/>
              </w:rPr>
              <w:t>1）各项服务符合国家、省、市（行业）强制性标准及采购人要求的合格标准。</w:t>
            </w:r>
          </w:p>
          <w:p>
            <w:pPr>
              <w:pStyle w:val="null3"/>
              <w:numPr>
                <w:ilvl w:val="0"/>
                <w:numId w:val="1"/>
              </w:numPr>
              <w:spacing w:before="105" w:after="105"/>
              <w:jc w:val="left"/>
            </w:pPr>
            <w:r>
              <w:rPr>
                <w:rFonts w:ascii="仿宋_GB2312" w:hAnsi="仿宋_GB2312" w:cs="仿宋_GB2312" w:eastAsia="仿宋_GB2312"/>
                <w:sz w:val="20"/>
              </w:rPr>
              <w:t>服务、产品（如有）执行的标准、规范：必须执行国家、行业强制性标准；没有国家、行业强制性标准的按</w:t>
            </w:r>
            <w:r>
              <w:rPr>
                <w:rFonts w:ascii="仿宋_GB2312" w:hAnsi="仿宋_GB2312" w:cs="仿宋_GB2312" w:eastAsia="仿宋_GB2312"/>
                <w:sz w:val="20"/>
              </w:rPr>
              <w:t>①国家标准、规范→②行业标准、规范→③地方标准、规范→④团体标准、规范→⑤企业标准、规范类推顺序执行；凡涉及的相关规范，国家有最新标准的以最新标准为准，所有标准哪个标准高执行哪个标准。</w:t>
            </w:r>
          </w:p>
          <w:p>
            <w:pPr>
              <w:pStyle w:val="null3"/>
              <w:spacing w:before="105" w:after="105"/>
              <w:jc w:val="left"/>
            </w:pPr>
            <w:r>
              <w:rPr>
                <w:rFonts w:ascii="仿宋_GB2312" w:hAnsi="仿宋_GB2312" w:cs="仿宋_GB2312" w:eastAsia="仿宋_GB2312"/>
                <w:sz w:val="20"/>
              </w:rPr>
              <w:t>人员配置要求</w:t>
            </w:r>
          </w:p>
          <w:p>
            <w:pPr>
              <w:pStyle w:val="null3"/>
            </w:pPr>
            <w:r>
              <w:rPr>
                <w:rFonts w:ascii="仿宋_GB2312" w:hAnsi="仿宋_GB2312" w:cs="仿宋_GB2312" w:eastAsia="仿宋_GB2312"/>
                <w:sz w:val="20"/>
              </w:rPr>
              <w:t>服务方按项目服务要求及特性，自行组织实施与管理，建立以负责人为核心的履行合同所必需人员团队，相关人员经过严格培训，有相关工作经验，能够胜任项目工作，保证项目顺利实施。</w:t>
            </w:r>
          </w:p>
          <w:p>
            <w:pPr>
              <w:pStyle w:val="null3"/>
              <w:spacing w:before="105" w:after="105"/>
              <w:jc w:val="left"/>
            </w:pPr>
            <w:r>
              <w:rPr>
                <w:rFonts w:ascii="仿宋_GB2312" w:hAnsi="仿宋_GB2312" w:cs="仿宋_GB2312" w:eastAsia="仿宋_GB2312"/>
                <w:sz w:val="20"/>
              </w:rPr>
              <w:t>设施设备要求</w:t>
            </w:r>
          </w:p>
          <w:p>
            <w:pPr>
              <w:pStyle w:val="null3"/>
            </w:pPr>
            <w:r>
              <w:rPr>
                <w:rFonts w:ascii="仿宋_GB2312" w:hAnsi="仿宋_GB2312" w:cs="仿宋_GB2312" w:eastAsia="仿宋_GB2312"/>
                <w:sz w:val="20"/>
              </w:rPr>
              <w:t>服务方根据项目采购项目特性及要求，自行配置投入履行合同所必需的各类设施设备（不限于专业设备、辅助设备、工具、软件等）及场所，保证项目顺利实施。</w:t>
            </w:r>
          </w:p>
          <w:p>
            <w:pPr>
              <w:pStyle w:val="null3"/>
              <w:spacing w:before="105" w:after="105"/>
              <w:jc w:val="left"/>
            </w:pPr>
            <w:r>
              <w:rPr>
                <w:rFonts w:ascii="仿宋_GB2312" w:hAnsi="仿宋_GB2312" w:cs="仿宋_GB2312" w:eastAsia="仿宋_GB2312"/>
                <w:sz w:val="20"/>
              </w:rPr>
              <w:t>其他要求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1）依照规范标准提交相应成果报告资料，包括纸质成果与电子成果； （2）所有提供资料包括：①纸质成果采用 A4 幅面双面印刷装订，一式 8 份，加盖公章；②电子成果为与纸质成果相对应的电子文档（pdf 格式）、城市体检数据库及相关附件，以 U 盘形式提供 2 份。</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商务要求</w:t>
            </w:r>
          </w:p>
          <w:p>
            <w:pPr>
              <w:pStyle w:val="null3"/>
            </w:pPr>
            <w:r>
              <w:rPr>
                <w:rFonts w:ascii="仿宋_GB2312" w:hAnsi="仿宋_GB2312" w:cs="仿宋_GB2312" w:eastAsia="仿宋_GB2312"/>
                <w:sz w:val="20"/>
              </w:rPr>
              <w:t>(一)服务期限:自合同签订生效之日起3个月内完成报告编制工作。</w:t>
            </w:r>
          </w:p>
          <w:p>
            <w:pPr>
              <w:pStyle w:val="null3"/>
            </w:pPr>
            <w:r>
              <w:rPr>
                <w:rFonts w:ascii="仿宋_GB2312" w:hAnsi="仿宋_GB2312" w:cs="仿宋_GB2312" w:eastAsia="仿宋_GB2312"/>
                <w:sz w:val="20"/>
              </w:rPr>
              <w:t>（二）款项支付</w:t>
            </w:r>
            <w:r>
              <w:rPr>
                <w:rFonts w:ascii="仿宋_GB2312" w:hAnsi="仿宋_GB2312" w:cs="仿宋_GB2312" w:eastAsia="仿宋_GB2312"/>
                <w:sz w:val="20"/>
              </w:rPr>
              <w:t>:</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付款条件说明：合同签订生效，达到付款条件起</w:t>
            </w:r>
            <w:r>
              <w:rPr>
                <w:rFonts w:ascii="仿宋_GB2312" w:hAnsi="仿宋_GB2312" w:cs="仿宋_GB2312" w:eastAsia="仿宋_GB2312"/>
                <w:sz w:val="20"/>
              </w:rPr>
              <w:t>30 日内，支付合同总金额的 40.00%。</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付款条件说明：成果通过采购人验收，达到付款条件起</w:t>
            </w:r>
            <w:r>
              <w:rPr>
                <w:rFonts w:ascii="仿宋_GB2312" w:hAnsi="仿宋_GB2312" w:cs="仿宋_GB2312" w:eastAsia="仿宋_GB2312"/>
                <w:sz w:val="20"/>
              </w:rPr>
              <w:t>30 日内，支付合同总金额的 60.00%。</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其他要求</w:t>
            </w:r>
          </w:p>
          <w:p>
            <w:pPr>
              <w:pStyle w:val="null3"/>
            </w:pPr>
            <w:r>
              <w:rPr>
                <w:rFonts w:ascii="仿宋_GB2312" w:hAnsi="仿宋_GB2312" w:cs="仿宋_GB2312" w:eastAsia="仿宋_GB2312"/>
                <w:sz w:val="20"/>
              </w:rPr>
              <w:t>(一)验收要求</w:t>
            </w:r>
          </w:p>
          <w:p>
            <w:pPr>
              <w:pStyle w:val="null3"/>
            </w:pPr>
            <w:r>
              <w:rPr>
                <w:rFonts w:ascii="仿宋_GB2312" w:hAnsi="仿宋_GB2312" w:cs="仿宋_GB2312" w:eastAsia="仿宋_GB2312"/>
                <w:sz w:val="20"/>
              </w:rPr>
              <w:t>(1)国家有关法律、法规、规章和技术标准;</w:t>
            </w:r>
          </w:p>
          <w:p>
            <w:pPr>
              <w:pStyle w:val="null3"/>
            </w:pPr>
            <w:r>
              <w:rPr>
                <w:rFonts w:ascii="仿宋_GB2312" w:hAnsi="仿宋_GB2312" w:cs="仿宋_GB2312" w:eastAsia="仿宋_GB2312"/>
                <w:sz w:val="20"/>
              </w:rPr>
              <w:t>(2)项目合同条款。</w:t>
            </w:r>
          </w:p>
          <w:p>
            <w:pPr>
              <w:pStyle w:val="null3"/>
            </w:pPr>
            <w:r>
              <w:rPr>
                <w:rFonts w:ascii="仿宋_GB2312" w:hAnsi="仿宋_GB2312" w:cs="仿宋_GB2312" w:eastAsia="仿宋_GB2312"/>
                <w:sz w:val="20"/>
              </w:rPr>
              <w:t>验收结论分为</w:t>
            </w:r>
            <w:r>
              <w:rPr>
                <w:rFonts w:ascii="仿宋_GB2312" w:hAnsi="仿宋_GB2312" w:cs="仿宋_GB2312" w:eastAsia="仿宋_GB2312"/>
                <w:sz w:val="20"/>
              </w:rPr>
              <w:t>:通过和不通过两种，项目存在下列情况之一的，按“不通过”处理:</w:t>
            </w:r>
          </w:p>
          <w:p>
            <w:pPr>
              <w:pStyle w:val="null3"/>
            </w:pPr>
            <w:r>
              <w:rPr>
                <w:rFonts w:ascii="仿宋_GB2312" w:hAnsi="仿宋_GB2312" w:cs="仿宋_GB2312" w:eastAsia="仿宋_GB2312"/>
                <w:sz w:val="20"/>
              </w:rPr>
              <w:t>(1)违反国家法律法规或招标人的管理规定及技术标准;</w:t>
            </w:r>
          </w:p>
          <w:p>
            <w:pPr>
              <w:pStyle w:val="null3"/>
            </w:pPr>
            <w:r>
              <w:rPr>
                <w:rFonts w:ascii="仿宋_GB2312" w:hAnsi="仿宋_GB2312" w:cs="仿宋_GB2312" w:eastAsia="仿宋_GB2312"/>
                <w:sz w:val="20"/>
              </w:rPr>
              <w:t>(2)未按项目合同要求达到所预定的技术指标;</w:t>
            </w:r>
          </w:p>
          <w:p>
            <w:pPr>
              <w:pStyle w:val="null3"/>
            </w:pPr>
            <w:r>
              <w:rPr>
                <w:rFonts w:ascii="仿宋_GB2312" w:hAnsi="仿宋_GB2312" w:cs="仿宋_GB2312" w:eastAsia="仿宋_GB2312"/>
                <w:sz w:val="20"/>
              </w:rPr>
              <w:t>(3)所提供的验收材料不真实;</w:t>
            </w:r>
          </w:p>
          <w:p>
            <w:pPr>
              <w:pStyle w:val="null3"/>
            </w:pPr>
            <w:r>
              <w:rPr>
                <w:rFonts w:ascii="仿宋_GB2312" w:hAnsi="仿宋_GB2312" w:cs="仿宋_GB2312" w:eastAsia="仿宋_GB2312"/>
                <w:sz w:val="20"/>
              </w:rPr>
              <w:t>(4)项目的内容、目标或技术路线等已进行较大调整，但未得到招标人认可;</w:t>
            </w:r>
          </w:p>
          <w:p>
            <w:pPr>
              <w:pStyle w:val="null3"/>
            </w:pPr>
            <w:r>
              <w:rPr>
                <w:rFonts w:ascii="仿宋_GB2312" w:hAnsi="仿宋_GB2312" w:cs="仿宋_GB2312" w:eastAsia="仿宋_GB2312"/>
                <w:sz w:val="20"/>
              </w:rPr>
              <w:t>(5)实施过程中出现重大问题，尚未解决和做出说明，或项目实施过程及结果等存在纠纷尚未解决;</w:t>
            </w:r>
          </w:p>
          <w:p>
            <w:pPr>
              <w:pStyle w:val="null3"/>
            </w:pPr>
            <w:r>
              <w:rPr>
                <w:rFonts w:ascii="仿宋_GB2312" w:hAnsi="仿宋_GB2312" w:cs="仿宋_GB2312" w:eastAsia="仿宋_GB2312"/>
                <w:sz w:val="20"/>
              </w:rPr>
              <w:t>(6)验收材料未获得招标人认可。</w:t>
            </w:r>
          </w:p>
          <w:p>
            <w:pPr>
              <w:pStyle w:val="null3"/>
            </w:pPr>
            <w:r>
              <w:rPr>
                <w:rFonts w:ascii="仿宋_GB2312" w:hAnsi="仿宋_GB2312" w:cs="仿宋_GB2312" w:eastAsia="仿宋_GB2312"/>
                <w:sz w:val="20"/>
              </w:rPr>
              <w:t>招标人对项目验收不予通过的，应当明确不予通过的理由并提出。整改意见。项目组应当及时组织处理有关问题，并按照程序重新申请验收。</w:t>
            </w:r>
          </w:p>
          <w:p>
            <w:pPr>
              <w:pStyle w:val="null3"/>
            </w:pPr>
            <w:r>
              <w:rPr>
                <w:rFonts w:ascii="仿宋_GB2312" w:hAnsi="仿宋_GB2312" w:cs="仿宋_GB2312" w:eastAsia="仿宋_GB2312"/>
                <w:sz w:val="20"/>
              </w:rPr>
              <w:t>验收结论为验收通过的，招标人形成相应的验收意见并给与验收</w:t>
            </w:r>
          </w:p>
          <w:p>
            <w:pPr>
              <w:pStyle w:val="null3"/>
            </w:pPr>
            <w:r>
              <w:rPr>
                <w:rFonts w:ascii="仿宋_GB2312" w:hAnsi="仿宋_GB2312" w:cs="仿宋_GB2312" w:eastAsia="仿宋_GB2312"/>
                <w:sz w:val="20"/>
              </w:rPr>
              <w:t>项目组于十个工作日内将全部验收材料按统一要求汇总并连同相应的电子文档提交招标人。</w:t>
            </w:r>
          </w:p>
          <w:p>
            <w:pPr>
              <w:pStyle w:val="null3"/>
              <w:jc w:val="both"/>
            </w:pPr>
            <w:r>
              <w:rPr>
                <w:rFonts w:ascii="仿宋_GB2312" w:hAnsi="仿宋_GB2312" w:cs="仿宋_GB2312" w:eastAsia="仿宋_GB2312"/>
                <w:sz w:val="20"/>
              </w:rPr>
              <w:t>(二)违约责任:合同中未约定的，按《民法典》中的相关条款执行。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自合同签订生效之日起3个月内完成报告编制工作。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(一)验收要求 (1)国家有关法律、法规、规章和技术标准; (2)项目合同条款。 验收结论分为:通过和不通过两种，项目存在下列情况之一的，按“不通过”处理: (1)违反国家法律法规或招标人的管理规定及技术标准; (2)未按项目合同要求达到所预定的技术指标; (3)所提供的验收材料不真实; (4)项目的内容、目标或技术路线等已进行较大调整，但未得到招标人认可; (5)实施过程中出现重大问题，尚未解决和做出说明，或项目实施过程及结果等存在纠纷尚未解决; (6)验收材料未获得招标人认可。 招标人对项目验收不予通过的，应当明确不予通过的理由并提出。整改意见。项目组应当及时组织处理有关问题，并按照程序重新申请验收。 验收结论为验收通过的，招标人形成相应的验收意见并给与验收项目组于十个工作日内将全部验收材料按统一要求汇总并连同相应的电子文档提交招标人。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成交单位有下列情形之一的，采购人有权终止合同： （1）提交的成果未能达到采购文件规定的标准或其响应承诺的。 （2）提交的成果图纸和文字辨认不清，内容不全或粗制滥造的。 （3）未经同意，逾期形成规划成果的。 （4）为本项目所配备的人员不到位，影响策划研究报告进度及质量的，经采购单位要求成交单位及时改正，成交单位仍拒不改正的。 （5）违反相关保密规定的。 解决争议的方法：合同执行中发生争议的，当事人双方应协商解决，协商达不成一致时，可向向有管辖权的人民法院提起诉讼。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2.本项目合同包1采购标的所属行业为：其他未列明行业；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纳税情况</w:t>
            </w:r>
          </w:p>
        </w:tc>
        <w:tc>
          <w:tcPr>
            <w:tcW w:type="dxa" w:w="3322"/>
          </w:tcPr>
          <w:p>
            <w:pPr>
              <w:pStyle w:val="null3"/>
            </w:pPr>
            <w:r>
              <w:rPr>
                <w:rFonts w:ascii="仿宋_GB2312" w:hAnsi="仿宋_GB2312" w:cs="仿宋_GB2312" w:eastAsia="仿宋_GB2312"/>
              </w:rPr>
              <w:t>提供2024年8月至今已缴纳的至少一个月的纳税证明或完税证明（任意税种），依法免税的单位应提供相关证明材料；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社会保险参保情况</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供应商需具有城乡规划（国土空间规划）编制乙级及以上资质（含乙级）</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供应商参加政府采购活动承诺书.docx 其它说明.docx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根据对项目的理解情况，主要包括①工作背景、②形势分析、③总体思路、④工作依据的响应程度。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指标解读</w:t>
            </w:r>
          </w:p>
        </w:tc>
        <w:tc>
          <w:tcPr>
            <w:tcW w:type="dxa" w:w="2492"/>
          </w:tcPr>
          <w:p>
            <w:pPr>
              <w:pStyle w:val="null3"/>
            </w:pPr>
            <w:r>
              <w:rPr>
                <w:rFonts w:ascii="仿宋_GB2312" w:hAnsi="仿宋_GB2312" w:cs="仿宋_GB2312" w:eastAsia="仿宋_GB2312"/>
              </w:rPr>
              <w:t>根据对项目城市体检指标体系的理解程度，主要包括①城市体检指标体系、②单项指标的内涵的响应程度。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重点、难点分析及解决对策</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数据采集</w:t>
            </w:r>
          </w:p>
        </w:tc>
        <w:tc>
          <w:tcPr>
            <w:tcW w:type="dxa" w:w="2492"/>
          </w:tcPr>
          <w:p>
            <w:pPr>
              <w:pStyle w:val="null3"/>
            </w:pPr>
            <w:r>
              <w:rPr>
                <w:rFonts w:ascii="仿宋_GB2312" w:hAnsi="仿宋_GB2312" w:cs="仿宋_GB2312" w:eastAsia="仿宋_GB2312"/>
              </w:rPr>
              <w:t>据对项目的数据支撑和处理能力，主要包括①数据支撑能力、②数据收集方式、③数据质量控制、④数据处理分析方法的响应程度 单项内容全面具体、科学合理、针对性和可行性强的得4分；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根据实施方案的①目标计划、②思路方法、③技术路线的响应程度。 单项内容全面具体、科学合理、针对性和可行性强的得4分；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根据对服务质量的①依据标准、②问题处理对策、③保障措施的响应程度。 单项内容全面具体、科学合理、针对性和可行性强的得4分；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根据对后续服务的①方案措施和②后续服务质量保证的响应程度。 单项内容全面具体、科学合理、针对性和可行性强的得3分； 单项内容基本全面、较为合理、部分内容优化完善后较有针对性和可行性的得2分；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项目负责人具有注册城乡规划师执业资格的得3分，不具有不得分。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①项目组成人员中具有高级职称的，每有一人得1分，最高得3分； ②项目组成人员的中专业包括：城市（城乡）规划、建筑学、地理信息系统、计算机科学与技术、测绘工程等相关专业的，每配备1位专业人员的得1分，最高得4分； 说明：项目组成人员不含项目负责人，职称和专业同时具备或同时具有≥2专业的均不重复计分（一人最多只能得1分）；相关证明材料不限于：职称证、执业资格、毕业证书等。</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具有2022年8月1日起至今（以合同签订时间为准）类似项目业绩，业绩以合同扫描件（复印件）为依据；每提供1个业绩得2分，最多得10分。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 财库〔2020〕46号文件的规定，采用低价优先法计算，以本次满足磋商文件要求的最终最低评审价为磋商基准价，其磋商报价为满分。其他供应商的价格分，统一按照下列公式计算：磋商评审价=磋商最后报价×（1-磋商报价扣除幅度 ）， 磋商报价得分=(磋商基准价／磋商评审价)×10 ；（最低报价不是中标(成交)的唯一依据。因落实政府采购政策进行价格调整的，以调整后的价格计算评标基准价和响应报价）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详见附件：西安市鄠邑区城市体检评估项目采购合同.docx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