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版本号：LC-ZC-2025--02520251202001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教职工体检项目(二次)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LC-ZC-2025--025</w:t>
      </w:r>
      <w:r>
        <w:br/>
      </w:r>
      <w:r>
        <w:br/>
      </w:r>
      <w:r>
        <w:br/>
      </w:r>
    </w:p>
    <w:p>
      <w:pPr>
        <w:pStyle w:val="null3"/>
        <w:jc w:val="center"/>
        <w:outlineLvl w:val="2"/>
      </w:pPr>
      <w:r>
        <w:rPr>
          <w:rFonts w:ascii="仿宋_GB2312" w:hAnsi="仿宋_GB2312" w:cs="仿宋_GB2312" w:eastAsia="仿宋_GB2312"/>
          <w:sz w:val="28"/>
          <w:b/>
        </w:rPr>
        <w:t>西安市经开第一中学</w:t>
      </w:r>
    </w:p>
    <w:p>
      <w:pPr>
        <w:pStyle w:val="null3"/>
        <w:jc w:val="center"/>
        <w:outlineLvl w:val="2"/>
      </w:pPr>
      <w:r>
        <w:rPr>
          <w:rFonts w:ascii="仿宋_GB2312" w:hAnsi="仿宋_GB2312" w:cs="仿宋_GB2312" w:eastAsia="仿宋_GB2312"/>
          <w:sz w:val="28"/>
          <w:b/>
        </w:rPr>
        <w:t>陕西龙辰全过程工程咨询有限公司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陕西龙辰全过程工程咨询有限公司</w:t>
      </w:r>
      <w:r>
        <w:rPr>
          <w:rFonts w:ascii="仿宋_GB2312" w:hAnsi="仿宋_GB2312" w:cs="仿宋_GB2312" w:eastAsia="仿宋_GB2312"/>
        </w:rPr>
        <w:t>（以下简称“代理机构”）受</w:t>
      </w:r>
      <w:r>
        <w:rPr>
          <w:rFonts w:ascii="仿宋_GB2312" w:hAnsi="仿宋_GB2312" w:cs="仿宋_GB2312" w:eastAsia="仿宋_GB2312"/>
        </w:rPr>
        <w:t>西安市经开第一中学</w:t>
      </w:r>
      <w:r>
        <w:rPr>
          <w:rFonts w:ascii="仿宋_GB2312" w:hAnsi="仿宋_GB2312" w:cs="仿宋_GB2312" w:eastAsia="仿宋_GB2312"/>
        </w:rPr>
        <w:t>委托，拟对</w:t>
      </w:r>
      <w:r>
        <w:rPr>
          <w:rFonts w:ascii="仿宋_GB2312" w:hAnsi="仿宋_GB2312" w:cs="仿宋_GB2312" w:eastAsia="仿宋_GB2312"/>
        </w:rPr>
        <w:t>教职工体检项目(二次)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LC-ZC-2025--025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教职工体检项目(二次)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充分保障教职工身体健康，及时预防和降低教职工重大疾病的发生率，做到无病加强防范，有病及早发现、及早治疗，减少大病风险，组织教职工约215人进行体检。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w:t>
      </w:r>
    </w:p>
    <w:p>
      <w:pPr>
        <w:pStyle w:val="null3"/>
      </w:pPr>
      <w:r>
        <w:rPr>
          <w:rFonts w:ascii="仿宋_GB2312" w:hAnsi="仿宋_GB2312" w:cs="仿宋_GB2312" w:eastAsia="仿宋_GB2312"/>
        </w:rPr>
        <w:t>4、社保资金缴纳证明：提供响应文件提交截止时间一年内至少一个月的社会保障资金缴存单据或社保机构开具的社会保险参保缴费情况证明；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5、资质证书：具备卫生主管部门颁发的《医疗机构执业许可证》(诊疗科目中含健康体检服务)及《放射诊疗许可证》</w:t>
      </w:r>
    </w:p>
    <w:p>
      <w:pPr>
        <w:pStyle w:val="null3"/>
      </w:pPr>
      <w:r>
        <w:rPr>
          <w:rFonts w:ascii="仿宋_GB2312" w:hAnsi="仿宋_GB2312" w:cs="仿宋_GB2312" w:eastAsia="仿宋_GB2312"/>
        </w:rPr>
        <w:t>6、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7、履行合同所必需的设备和专业技术能力书面声明函：具有履行合同所必需的设备和专业技术能力书面声明函；</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9、非联合体投标声明函：本项目不接受联合体投标。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西安市未央区草滩五路1001号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029-89618244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陕西龙辰全过程工程咨询有限公司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陕西省西安市未央区朱宏路3号统建办大厦10层1011室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乔子霁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康钧朝</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代理服务费收费标准：参考《招标代理服务收费管理暂行办法》（计价格[2002]1980号）文件规定收取。 代理服务费缴纳及账户信息：（转账汇款时请注明：项目编号：LC-ZC-2025--025） 开户名称：陕西龙辰全过程工程咨询有限公司 开 户 行：西安银行股份有限公司星火路支行 账 号：7080 1158 0000 2694 81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西安市经开第一中学</w:t>
      </w:r>
      <w:r>
        <w:rPr>
          <w:rFonts w:ascii="仿宋_GB2312" w:hAnsi="仿宋_GB2312" w:cs="仿宋_GB2312" w:eastAsia="仿宋_GB2312"/>
        </w:rPr>
        <w:t>和</w:t>
      </w:r>
      <w:r>
        <w:rPr>
          <w:rFonts w:ascii="仿宋_GB2312" w:hAnsi="仿宋_GB2312" w:cs="仿宋_GB2312" w:eastAsia="仿宋_GB2312"/>
        </w:rPr>
        <w:t>陕西龙辰全过程工程咨询有限公司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西安市经开第一中学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陕西龙辰全过程工程咨询有限公司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西安市经开第一中学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陕西龙辰全过程工程咨询有限公司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联系人：乔子霁</w:t>
      </w:r>
    </w:p>
    <w:p>
      <w:pPr>
        <w:pStyle w:val="null3"/>
      </w:pPr>
      <w:r>
        <w:rPr>
          <w:rFonts w:ascii="仿宋_GB2312" w:hAnsi="仿宋_GB2312" w:cs="仿宋_GB2312" w:eastAsia="仿宋_GB2312"/>
        </w:rPr>
        <w:t>联系电话：029-86350681</w:t>
      </w:r>
    </w:p>
    <w:p>
      <w:pPr>
        <w:pStyle w:val="null3"/>
      </w:pPr>
      <w:r>
        <w:rPr>
          <w:rFonts w:ascii="仿宋_GB2312" w:hAnsi="仿宋_GB2312" w:cs="仿宋_GB2312" w:eastAsia="仿宋_GB2312"/>
        </w:rPr>
        <w:t>地址：西安市朱宏路3号陕西省统建管理办公室10楼（西安银行南侧）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充分保障教职工身体健康，及时预防和降低教职工重大疾病的发生率，做到无病加强防范，有病及早发现、及早治疗，减少大病风险，组织教职工约215人进行体检。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171,400.00</w:t>
      </w:r>
    </w:p>
    <w:p>
      <w:pPr>
        <w:pStyle w:val="null3"/>
      </w:pPr>
      <w:r>
        <w:rPr>
          <w:rFonts w:ascii="仿宋_GB2312" w:hAnsi="仿宋_GB2312" w:cs="仿宋_GB2312" w:eastAsia="仿宋_GB2312"/>
        </w:rPr>
        <w:t>采购包最高限价（元）: 171,400.00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教职工体检</w:t>
            </w:r>
          </w:p>
        </w:tc>
        <w:tc>
          <w:tcPr>
            <w:tcW w:type="dxa" w:w="831"/>
          </w:tcPr>
          <w:p>
            <w:pPr>
              <w:pStyle w:val="null3"/>
              <w:jc w:val="right"/>
            </w:pPr>
            <w:r>
              <w:rPr>
                <w:rFonts w:ascii="仿宋_GB2312" w:hAnsi="仿宋_GB2312" w:cs="仿宋_GB2312" w:eastAsia="仿宋_GB2312"/>
              </w:rPr>
              <w:t>215.00</w:t>
            </w:r>
          </w:p>
        </w:tc>
        <w:tc>
          <w:tcPr>
            <w:tcW w:type="dxa" w:w="831"/>
          </w:tcPr>
          <w:p>
            <w:pPr>
              <w:pStyle w:val="null3"/>
              <w:jc w:val="right"/>
            </w:pPr>
            <w:r>
              <w:rPr>
                <w:rFonts w:ascii="仿宋_GB2312" w:hAnsi="仿宋_GB2312" w:cs="仿宋_GB2312" w:eastAsia="仿宋_GB2312"/>
              </w:rPr>
              <w:t>171,400.00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标的名称：教职工体检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6"/>
              <w:gridCol w:w="261"/>
              <w:gridCol w:w="116"/>
              <w:gridCol w:w="116"/>
              <w:gridCol w:w="116"/>
              <w:gridCol w:w="116"/>
              <w:gridCol w:w="1708"/>
            </w:tblGrid>
            <w:tr>
              <w:tc>
                <w:tcPr>
                  <w:tcW w:type="dxa" w:w="2549"/>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A3838"/>
                    </w:rPr>
                    <w:t>西安市经开第一中学教职工体检项目清单</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体检项目</w:t>
                  </w:r>
                </w:p>
              </w:tc>
              <w:tc>
                <w:tcPr>
                  <w:tcW w:type="dxa" w:w="23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男性</w:t>
                  </w:r>
                </w:p>
              </w:tc>
              <w:tc>
                <w:tcPr>
                  <w:tcW w:type="dxa" w:w="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女性</w:t>
                  </w:r>
                </w:p>
              </w:tc>
              <w:tc>
                <w:tcPr>
                  <w:tcW w:type="dxa" w:w="17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项目意义</w:t>
                  </w:r>
                </w:p>
              </w:tc>
            </w:tr>
            <w:tr>
              <w:tc>
                <w:tcPr>
                  <w:tcW w:type="dxa" w:w="116"/>
                  <w:vMerge/>
                  <w:tcBorders>
                    <w:top w:val="none" w:color="000000" w:sz="4"/>
                    <w:left w:val="singl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45</w:t>
                  </w:r>
                  <w:r>
                    <w:rPr>
                      <w:rFonts w:ascii="仿宋_GB2312" w:hAnsi="仿宋_GB2312" w:cs="仿宋_GB2312" w:eastAsia="仿宋_GB2312"/>
                      <w:sz w:val="21"/>
                      <w:b/>
                      <w:color w:val="000000"/>
                    </w:rPr>
                    <w:t>岁及以上</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45</w:t>
                  </w:r>
                  <w:r>
                    <w:rPr>
                      <w:rFonts w:ascii="仿宋_GB2312" w:hAnsi="仿宋_GB2312" w:cs="仿宋_GB2312" w:eastAsia="仿宋_GB2312"/>
                      <w:sz w:val="21"/>
                      <w:b/>
                      <w:color w:val="000000"/>
                    </w:rPr>
                    <w:t>岁</w:t>
                  </w:r>
                  <w:r>
                    <w:br/>
                  </w:r>
                  <w:r>
                    <w:rPr>
                      <w:rFonts w:ascii="仿宋_GB2312" w:hAnsi="仿宋_GB2312" w:cs="仿宋_GB2312" w:eastAsia="仿宋_GB2312"/>
                      <w:sz w:val="20"/>
                      <w:b/>
                    </w:rPr>
                    <w:t xml:space="preserve"> </w:t>
                  </w:r>
                  <w:r>
                    <w:rPr>
                      <w:rFonts w:ascii="仿宋_GB2312" w:hAnsi="仿宋_GB2312" w:cs="仿宋_GB2312" w:eastAsia="仿宋_GB2312"/>
                      <w:sz w:val="21"/>
                      <w:b/>
                      <w:color w:val="000000"/>
                    </w:rPr>
                    <w:t>以下</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已婚</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未婚</w:t>
                  </w:r>
                </w:p>
              </w:tc>
              <w:tc>
                <w:tcPr>
                  <w:tcW w:type="dxa" w:w="1708"/>
                  <w:vMerge/>
                  <w:tcBorders>
                    <w:top w:val="none" w:color="000000" w:sz="4"/>
                    <w:left w:val="none" w:color="000000" w:sz="4"/>
                    <w:bottom w:val="single" w:color="000000" w:sz="4"/>
                    <w:right w:val="single" w:color="000000" w:sz="4"/>
                  </w:tcBorders>
                </w:tcP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常规检查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一般检查</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身高、体重、血压、体脂指数（</w:t>
                  </w:r>
                  <w:r>
                    <w:rPr>
                      <w:rFonts w:ascii="仿宋_GB2312" w:hAnsi="仿宋_GB2312" w:cs="仿宋_GB2312" w:eastAsia="仿宋_GB2312"/>
                      <w:sz w:val="21"/>
                      <w:color w:val="000000"/>
                    </w:rPr>
                    <w:t>BMI</w:t>
                  </w:r>
                  <w:r>
                    <w:rPr>
                      <w:rFonts w:ascii="仿宋_GB2312" w:hAnsi="仿宋_GB2312" w:cs="仿宋_GB2312" w:eastAsia="仿宋_GB2312"/>
                      <w:sz w:val="21"/>
                      <w:color w:val="000000"/>
                    </w:rPr>
                    <w:t>）、腰围、臀围、腰臀比。</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眼科常规</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通过对视力、辨色力、结膜、角膜、眼睑、瞳孔、眼球运动功能的检查，可筛查：近视、远视、散光、色盲、沙眼、结膜炎、角膜炎等疾病。</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眼科裂隙灯检查</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对角膜、虹膜、晶状体、前房、瞳孔做全面的观察，是眼科检查必不可少的重要项目。可筛查：老年性白内障、先天性白内障、角膜溃疡、角膜炎、虹膜炎等疾病。</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耳鼻喉科</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通过对听力、外耳道、鼓膜、鼻窦、鼻腔、咽喉、扁桃体的检查，可筛查：中耳炎、耳鸣、耳聋、慢性中耳炎、慢性鼻炎、慢性鼻窦炎、变应性鼻炎、鼻出血、鼻中膈偏曲、鼻咽癌、咽炎、扁桃体炎等疾病。</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内科检查</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通过对人体视、触、叩、听等物理方法检查，了解心脏、肺部、肝脾、腹部、神经反射等是否正常。可筛查诊断：先天性心脏病、肺气肿、肺炎、肝硬化、肝炎、胆囊炎、脾肿大、肾炎等疾病。</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彩色多普勒彩超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甲状腺及颈部淋巴结彩超</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通过彩色超声影像检查可筛查甲状腺肿、甲状腺囊肿、甲状腺炎、甲状腺瘤、甲状腺癌等疾病。</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腹部彩超（男）</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通过彩超对人体腹腔内肝、胆、胰、脾等器官的内部结构形态进行检查，可筛查：脂肪肝、结石、囊肿、肿瘤、血管瘤、肝硬化、肾实质病变。</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彩超泌尿系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过彩色超声影像对双肾、输尿管、膀胱及男性的前列腺进行检查，可筛查肾脏疾病、输尿管结石、前列腺肥大、前列腺癌、前列腺囊肿、前列腺钙化及膀胱占位性病变。</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腹部彩超（女）（肝胆胰脾双肾）</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通过彩超对人体腹腔内肝、胆、胰、脾、双肾等器官的内部结构形态进行检查，可筛查：脂肪肝、结石、囊肿、肿瘤、血管瘤、肝硬化、肾实质等病变，是腹部脏器检查的重要项目。</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彩超（子宫附件）</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通过彩色超声影像对女性子宫、附件进行检查，可筛查子宫肌瘤、子宫癌、子宫内膜增生、卵巢囊肿、卵巢癌等疾病。需在膀胱充盈时检查。</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妇科检查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妇科常规</w:t>
                  </w:r>
                  <w:r>
                    <w:rPr>
                      <w:rFonts w:ascii="仿宋_GB2312" w:hAnsi="仿宋_GB2312" w:cs="仿宋_GB2312" w:eastAsia="仿宋_GB2312"/>
                      <w:sz w:val="21"/>
                    </w:rPr>
                    <w:t>+</w:t>
                  </w:r>
                  <w:r>
                    <w:rPr>
                      <w:rFonts w:ascii="仿宋_GB2312" w:hAnsi="仿宋_GB2312" w:cs="仿宋_GB2312" w:eastAsia="仿宋_GB2312"/>
                      <w:sz w:val="21"/>
                    </w:rPr>
                    <w:t>白带常规</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过问诊女性月经史、手术史、孕产史及对外阴、阴道分泌物、宫颈、宫体、附件的检查，了解女性子宫大小、形态及位置有无异常，可筛查：阴道炎、宫颈糜烂、附件炎、盆腔炎等疾病。通过显微镜对阴道分泌物的检查，确定阴道清洁程度，寻找病原体，确定阴道炎症性质。</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宫颈液基薄层细胞学检查</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宫颈薄层细胞学检查是筛查宫颈癌的最有效方法。该测试方法大大减少了血液、黏液、炎症的干扰，提高了子宫颈细胞样本的纯度，从而大大提高了妇女宫颈癌早期病变的检出率。</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实验室检查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血常规（五分类）</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通过血液分析可发现有无贫血、细菌感染、病毒感染、白血病、败血病、血小板数量异常等血液方面疾病，对机体其他器官的病变，也具有重要的诊断价值。</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尿常规</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通过对尿液的检查分析，可以诊断泌尿系统疾病，如泌尿系感染、肾炎、肿瘤、结石、血管病变，还可以协助诊断其他系统疾病，如糖尿病、急性胰腺炎、急性或慢性溶血、肝胆疾病等。</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肝功能六项</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检测谷丙转氨酶、谷草转氨酶、转氨酶比、总胆红素、直接胆红素、间接胆红素，评估肝脏的功能。</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肾功四项</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通过血液检查尿素、尿酸、肌酐、二氧化碳四项，可筛查肾脏是否受损，是否有急（慢）性肾功能减退或肾衰，有无痛风、高尿酸血症等疾病。</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血脂四项</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筛查是否有高血脂症、动脉粥样硬化。对高血压、糖尿病、心肌梗塞、脑卒中、肥胖症、冠心病、肾病综合症有较高的预测和参考价值。</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空腹血糖</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通过血液检测，可了解空腹时血液中葡萄糖的含量，是筛查糖尿病最基本的方法，也是判断糖尿病病情控制程度及进行饮食指导的主要指标。</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功能性检查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心电图</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通过心电图机检查，可诊断心律失常、心绞痛、心肌梗塞、冠心病、心室肥厚、心肌缺血、心脏传导阻滞等心脏疾患，是健康体检不可缺少的一项检查。</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经颅多普勒血流图</w:t>
                  </w:r>
                  <w:r>
                    <w:rPr>
                      <w:rFonts w:ascii="仿宋_GB2312" w:hAnsi="仿宋_GB2312" w:cs="仿宋_GB2312" w:eastAsia="仿宋_GB2312"/>
                      <w:sz w:val="21"/>
                    </w:rPr>
                    <w:t>TCD</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通过连续实时式的彩色多普勒影像结合定量分析技术，对颅内血管进行检查，可发现脑供血不足、脑血管痉挛、脑血管硬化、脑血管狭窄、血管性头疼等疾病，具有很高的临床参考价值。</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肺功能检测</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肺功能检查是呼吸系统疾病的重要检查手段，可早期检出肺、气道病变，鉴别呼吸困难的原因，判断气道阻塞的部位。对评估肺部疾病的病情严重程度等方面有重要的指导意义；是职业病患者的劳动力鉴定、手术风险评估的重要手段；对气管炎、支气管哮喘、肺纤维化、支气管扩张等呼吸系统常见病的诊断与鉴别诊断具有重要价值。</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骨密度检查</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通过骨密度仪测定人体骨骼矿物质密度，可检测有无骨量减少或骨质疏松症及其严重程度，对钙缺乏的人群有重要的指导作用。</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肝纤维化无创检测</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肝纤维化是许多肝脏疾病尤其是各种慢性肝病常见和共同的病理转归，既是一种代偿修复反应，又是肝损伤的一种促进因素，其形成与发展是一个动态的病理过程。肝纤维化无创诊断则是无创伤对肝组织纤维化检测的方法。</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动脉血管硬化检测</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血管硬化程度是反映人体循环系统机能的重要生理参数，动脉血管硬化是心血管疾病重要的危险因子，其检查结果具有很高的参考价值。</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人体成分检查</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人体成分检查精准分析脂肪（尤其内脏脂肪）、肌肉、水分分布，揭示隐藏健康风险（如肥胖类型、营养不良），指导科学减脂增肌和慢病管理。</w:t>
                  </w:r>
                </w:p>
              </w:tc>
            </w:tr>
            <w:tr>
              <w:tc>
                <w:tcPr>
                  <w:tcW w:type="dxa" w:w="116"/>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呼气试验幽门螺杆菌（</w:t>
                  </w:r>
                  <w:r>
                    <w:rPr>
                      <w:rFonts w:ascii="仿宋_GB2312" w:hAnsi="仿宋_GB2312" w:cs="仿宋_GB2312" w:eastAsia="仿宋_GB2312"/>
                      <w:sz w:val="21"/>
                    </w:rPr>
                    <w:t>C14</w:t>
                  </w: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幽门螺杆菌是慢性胃炎、胃溃疡、十二指肠溃疡、胃癌的主要致病因子，</w:t>
                  </w:r>
                  <w:r>
                    <w:rPr>
                      <w:rFonts w:ascii="仿宋_GB2312" w:hAnsi="仿宋_GB2312" w:cs="仿宋_GB2312" w:eastAsia="仿宋_GB2312"/>
                      <w:sz w:val="21"/>
                      <w:color w:val="000000"/>
                    </w:rPr>
                    <w:t>C-13</w:t>
                  </w:r>
                  <w:r>
                    <w:rPr>
                      <w:rFonts w:ascii="仿宋_GB2312" w:hAnsi="仿宋_GB2312" w:cs="仿宋_GB2312" w:eastAsia="仿宋_GB2312"/>
                      <w:sz w:val="21"/>
                      <w:color w:val="000000"/>
                    </w:rPr>
                    <w:t>呼气试验检测系统已被公认为检测幽门螺杆菌的有效方法。</w:t>
                  </w:r>
                </w:p>
              </w:tc>
            </w:tr>
            <w:tr>
              <w:tc>
                <w:tcPr>
                  <w:tcW w:type="dxa" w:w="11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防癌筛查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甲胎蛋白定量（</w:t>
                  </w:r>
                  <w:r>
                    <w:rPr>
                      <w:rFonts w:ascii="仿宋_GB2312" w:hAnsi="仿宋_GB2312" w:cs="仿宋_GB2312" w:eastAsia="仿宋_GB2312"/>
                      <w:sz w:val="21"/>
                    </w:rPr>
                    <w:t>AFP</w:t>
                  </w:r>
                  <w:r>
                    <w:rPr>
                      <w:rFonts w:ascii="仿宋_GB2312" w:hAnsi="仿宋_GB2312" w:cs="仿宋_GB2312" w:eastAsia="仿宋_GB2312"/>
                      <w:sz w:val="21"/>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甲胎蛋白是胚胎时期肝细胞合成的一种特殊糖蛋白，又称甲种胎儿球蛋白，是原发性肝癌的重要标志物，是诊断原发性肝癌的临床指标</w:t>
                  </w:r>
                </w:p>
              </w:tc>
            </w:tr>
            <w:tr>
              <w:tc>
                <w:tcPr>
                  <w:tcW w:type="dxa" w:w="116"/>
                  <w:vMerge/>
                  <w:tcBorders>
                    <w:top w:val="none" w:color="000000" w:sz="4"/>
                    <w:left w:val="single" w:color="000000" w:sz="4"/>
                    <w:bottom w:val="none" w:color="000000" w:sz="4"/>
                    <w:right w:val="single" w:color="000000" w:sz="4"/>
                  </w:tcBorders>
                </w:tcPr>
                <w:p/>
              </w:tc>
              <w:tc>
                <w:tcPr>
                  <w:tcW w:type="dxa" w:w="2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前列腺特异抗原</w:t>
                  </w:r>
                  <w:r>
                    <w:rPr>
                      <w:rFonts w:ascii="仿宋_GB2312" w:hAnsi="仿宋_GB2312" w:cs="仿宋_GB2312" w:eastAsia="仿宋_GB2312"/>
                      <w:sz w:val="21"/>
                    </w:rPr>
                    <w:t>PSA</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70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与游离</w:t>
                  </w:r>
                  <w:r>
                    <w:rPr>
                      <w:rFonts w:ascii="仿宋_GB2312" w:hAnsi="仿宋_GB2312" w:cs="仿宋_GB2312" w:eastAsia="仿宋_GB2312"/>
                      <w:sz w:val="21"/>
                      <w:color w:val="000000"/>
                    </w:rPr>
                    <w:t>PSA</w:t>
                  </w:r>
                  <w:r>
                    <w:rPr>
                      <w:rFonts w:ascii="仿宋_GB2312" w:hAnsi="仿宋_GB2312" w:cs="仿宋_GB2312" w:eastAsia="仿宋_GB2312"/>
                      <w:sz w:val="21"/>
                      <w:color w:val="000000"/>
                    </w:rPr>
                    <w:t>同属早期诊断和监测前列腺癌的重要指标之一，对前列腺炎及前列腺肥大的鉴别诊断也有一定意义。</w:t>
                  </w:r>
                </w:p>
              </w:tc>
            </w:tr>
            <w:tr>
              <w:tc>
                <w:tcPr>
                  <w:tcW w:type="dxa" w:w="116"/>
                  <w:vMerge/>
                  <w:tcBorders>
                    <w:top w:val="none" w:color="000000" w:sz="4"/>
                    <w:left w:val="single" w:color="000000" w:sz="4"/>
                    <w:bottom w:val="none" w:color="000000" w:sz="4"/>
                    <w:right w:val="single" w:color="000000" w:sz="4"/>
                  </w:tcBorders>
                </w:tcPr>
                <w:p/>
              </w:tc>
              <w:tc>
                <w:tcPr>
                  <w:tcW w:type="dxa" w:w="2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糖类抗原</w:t>
                  </w:r>
                  <w:r>
                    <w:rPr>
                      <w:rFonts w:ascii="仿宋_GB2312" w:hAnsi="仿宋_GB2312" w:cs="仿宋_GB2312" w:eastAsia="仿宋_GB2312"/>
                      <w:sz w:val="21"/>
                    </w:rPr>
                    <w:t>Ca199</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诊断消化道肿瘤、胰腺胆道系统恶性肿瘤的重要指标。</w:t>
                  </w:r>
                </w:p>
              </w:tc>
            </w:tr>
            <w:tr>
              <w:tc>
                <w:tcPr>
                  <w:tcW w:type="dxa" w:w="116"/>
                  <w:vMerge/>
                  <w:tcBorders>
                    <w:top w:val="none" w:color="000000" w:sz="4"/>
                    <w:left w:val="single" w:color="000000" w:sz="4"/>
                    <w:bottom w:val="none" w:color="000000" w:sz="4"/>
                    <w:right w:val="single" w:color="000000" w:sz="4"/>
                  </w:tcBorders>
                </w:tcPr>
                <w:p/>
              </w:tc>
              <w:tc>
                <w:tcPr>
                  <w:tcW w:type="dxa" w:w="2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糖类抗原</w:t>
                  </w:r>
                  <w:r>
                    <w:rPr>
                      <w:rFonts w:ascii="仿宋_GB2312" w:hAnsi="仿宋_GB2312" w:cs="仿宋_GB2312" w:eastAsia="仿宋_GB2312"/>
                      <w:sz w:val="21"/>
                    </w:rPr>
                    <w:t>Ca125</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诊断卵巢上皮癌，输卵管癌、子宫内膜癌、子宫颈腺癌等恶性肿瘤的重要指标。</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CT</w:t>
                  </w:r>
                  <w:r>
                    <w:rPr>
                      <w:rFonts w:ascii="仿宋_GB2312" w:hAnsi="仿宋_GB2312" w:cs="仿宋_GB2312" w:eastAsia="仿宋_GB2312"/>
                      <w:sz w:val="21"/>
                      <w:b/>
                    </w:rPr>
                    <w:t>检查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颅脑</w:t>
                  </w:r>
                  <w:r>
                    <w:rPr>
                      <w:rFonts w:ascii="仿宋_GB2312" w:hAnsi="仿宋_GB2312" w:cs="仿宋_GB2312" w:eastAsia="仿宋_GB2312"/>
                      <w:sz w:val="21"/>
                    </w:rPr>
                    <w:t>CT/</w:t>
                  </w:r>
                  <w:r>
                    <w:rPr>
                      <w:rFonts w:ascii="仿宋_GB2312" w:hAnsi="仿宋_GB2312" w:cs="仿宋_GB2312" w:eastAsia="仿宋_GB2312"/>
                      <w:sz w:val="21"/>
                    </w:rPr>
                    <w:t>胸部</w:t>
                  </w:r>
                  <w:r>
                    <w:rPr>
                      <w:rFonts w:ascii="仿宋_GB2312" w:hAnsi="仿宋_GB2312" w:cs="仿宋_GB2312" w:eastAsia="仿宋_GB2312"/>
                      <w:sz w:val="21"/>
                    </w:rPr>
                    <w:t>CT</w:t>
                  </w:r>
                  <w:r>
                    <w:br/>
                  </w:r>
                  <w:r>
                    <w:rPr>
                      <w:rFonts w:ascii="仿宋_GB2312" w:hAnsi="仿宋_GB2312" w:cs="仿宋_GB2312" w:eastAsia="仿宋_GB2312"/>
                      <w:sz w:val="20"/>
                    </w:rPr>
                    <w:t xml:space="preserve">  </w:t>
                  </w:r>
                  <w:r>
                    <w:rPr>
                      <w:rFonts w:ascii="仿宋_GB2312" w:hAnsi="仿宋_GB2312" w:cs="仿宋_GB2312" w:eastAsia="仿宋_GB2312"/>
                      <w:sz w:val="21"/>
                    </w:rPr>
                    <w:t>可二选一</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颅脑的</w:t>
                  </w:r>
                  <w:r>
                    <w:rPr>
                      <w:rFonts w:ascii="仿宋_GB2312" w:hAnsi="仿宋_GB2312" w:cs="仿宋_GB2312" w:eastAsia="仿宋_GB2312"/>
                      <w:sz w:val="21"/>
                    </w:rPr>
                    <w:t>CT</w:t>
                  </w:r>
                  <w:r>
                    <w:rPr>
                      <w:rFonts w:ascii="仿宋_GB2312" w:hAnsi="仿宋_GB2312" w:cs="仿宋_GB2312" w:eastAsia="仿宋_GB2312"/>
                      <w:sz w:val="21"/>
                    </w:rPr>
                    <w:t>检查对外伤、脑血管性疾病、颅内肿瘤、先天发育异常、颅内压增高、脑积水、脑萎缩、脑白质病变、颅骨骨源性疾病、颅内感染性疾病的诊断有重要意义。胸部的</w:t>
                  </w:r>
                  <w:r>
                    <w:rPr>
                      <w:rFonts w:ascii="仿宋_GB2312" w:hAnsi="仿宋_GB2312" w:cs="仿宋_GB2312" w:eastAsia="仿宋_GB2312"/>
                      <w:sz w:val="21"/>
                    </w:rPr>
                    <w:t>CT</w:t>
                  </w:r>
                  <w:r>
                    <w:rPr>
                      <w:rFonts w:ascii="仿宋_GB2312" w:hAnsi="仿宋_GB2312" w:cs="仿宋_GB2312" w:eastAsia="仿宋_GB2312"/>
                      <w:sz w:val="21"/>
                    </w:rPr>
                    <w:t>检查是通过</w:t>
                  </w:r>
                  <w:r>
                    <w:rPr>
                      <w:rFonts w:ascii="仿宋_GB2312" w:hAnsi="仿宋_GB2312" w:cs="仿宋_GB2312" w:eastAsia="仿宋_GB2312"/>
                      <w:sz w:val="21"/>
                    </w:rPr>
                    <w:t>CT</w:t>
                  </w:r>
                  <w:r>
                    <w:rPr>
                      <w:rFonts w:ascii="仿宋_GB2312" w:hAnsi="仿宋_GB2312" w:cs="仿宋_GB2312" w:eastAsia="仿宋_GB2312"/>
                      <w:sz w:val="21"/>
                    </w:rPr>
                    <w:t>对双肺及纵膈进行检查的一种方法，对胸部外伤、肺部急慢性炎性病变、肺内良恶性肿瘤的诊断与鉴别诊断、纵膈肿瘤和大血管病变、心包及胸膜病变、肺部弥漫性病变的诊断有重要意义。</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2"/>
                <w:b/>
              </w:rPr>
              <w:t>采购需求</w:t>
            </w:r>
          </w:p>
          <w:p>
            <w:pPr>
              <w:pStyle w:val="null3"/>
              <w:jc w:val="both"/>
            </w:pPr>
            <w:r>
              <w:rPr>
                <w:rFonts w:ascii="仿宋_GB2312" w:hAnsi="仿宋_GB2312" w:cs="仿宋_GB2312" w:eastAsia="仿宋_GB2312"/>
                <w:sz w:val="22"/>
                <w:b/>
              </w:rPr>
              <w:t>一、服务概况：</w:t>
            </w:r>
            <w:r>
              <w:rPr>
                <w:rFonts w:ascii="仿宋_GB2312" w:hAnsi="仿宋_GB2312" w:cs="仿宋_GB2312" w:eastAsia="仿宋_GB2312"/>
                <w:sz w:val="22"/>
              </w:rPr>
              <w:t>充分保障教职工身体健康，及时预防和降低教职工重大疾病的发生率，做到无病加强防范，有病及早发现、及早治疗，减少大病风险，组织教职工约</w:t>
            </w:r>
            <w:r>
              <w:rPr>
                <w:rFonts w:ascii="仿宋_GB2312" w:hAnsi="仿宋_GB2312" w:cs="仿宋_GB2312" w:eastAsia="仿宋_GB2312"/>
                <w:sz w:val="22"/>
              </w:rPr>
              <w:t>215</w:t>
            </w:r>
            <w:r>
              <w:rPr>
                <w:rFonts w:ascii="仿宋_GB2312" w:hAnsi="仿宋_GB2312" w:cs="仿宋_GB2312" w:eastAsia="仿宋_GB2312"/>
                <w:sz w:val="22"/>
              </w:rPr>
              <w:t>人进行体检。</w:t>
            </w:r>
          </w:p>
          <w:p>
            <w:pPr>
              <w:pStyle w:val="null3"/>
              <w:jc w:val="both"/>
            </w:pPr>
            <w:r>
              <w:rPr>
                <w:rFonts w:ascii="仿宋_GB2312" w:hAnsi="仿宋_GB2312" w:cs="仿宋_GB2312" w:eastAsia="仿宋_GB2312"/>
                <w:sz w:val="22"/>
                <w:b/>
              </w:rPr>
              <w:t>二、技术要求：</w:t>
            </w:r>
            <w:r>
              <w:rPr>
                <w:rFonts w:ascii="仿宋_GB2312" w:hAnsi="仿宋_GB2312" w:cs="仿宋_GB2312" w:eastAsia="仿宋_GB2312"/>
                <w:sz w:val="22"/>
              </w:rPr>
              <w:t>达到国家相关规范标准及采购人要求。</w:t>
            </w:r>
          </w:p>
          <w:p>
            <w:pPr>
              <w:pStyle w:val="null3"/>
              <w:jc w:val="both"/>
            </w:pPr>
            <w:r>
              <w:rPr>
                <w:rFonts w:ascii="仿宋_GB2312" w:hAnsi="仿宋_GB2312" w:cs="仿宋_GB2312" w:eastAsia="仿宋_GB2312"/>
                <w:sz w:val="22"/>
                <w:b/>
              </w:rPr>
              <w:t>三、商务要求：</w:t>
            </w:r>
          </w:p>
          <w:p>
            <w:pPr>
              <w:pStyle w:val="null3"/>
              <w:ind w:firstLine="480"/>
              <w:jc w:val="both"/>
            </w:pPr>
            <w:r>
              <w:rPr>
                <w:rFonts w:ascii="仿宋_GB2312" w:hAnsi="仿宋_GB2312" w:cs="仿宋_GB2312" w:eastAsia="仿宋_GB2312"/>
                <w:sz w:val="22"/>
              </w:rPr>
              <w:t>1</w:t>
            </w:r>
            <w:r>
              <w:rPr>
                <w:rFonts w:ascii="仿宋_GB2312" w:hAnsi="仿宋_GB2312" w:cs="仿宋_GB2312" w:eastAsia="仿宋_GB2312"/>
                <w:sz w:val="22"/>
              </w:rPr>
              <w:t>、服务周期及实施地点：</w:t>
            </w:r>
          </w:p>
          <w:p>
            <w:pPr>
              <w:pStyle w:val="null3"/>
              <w:ind w:firstLine="720"/>
              <w:jc w:val="both"/>
            </w:pPr>
            <w:r>
              <w:rPr>
                <w:rFonts w:ascii="仿宋_GB2312" w:hAnsi="仿宋_GB2312" w:cs="仿宋_GB2312" w:eastAsia="仿宋_GB2312"/>
                <w:sz w:val="22"/>
              </w:rPr>
              <w:t>1.1</w:t>
            </w:r>
            <w:r>
              <w:rPr>
                <w:rFonts w:ascii="仿宋_GB2312" w:hAnsi="仿宋_GB2312" w:cs="仿宋_GB2312" w:eastAsia="仿宋_GB2312"/>
                <w:sz w:val="22"/>
              </w:rPr>
              <w:t>服务周期：合同签订之日起不低于</w:t>
            </w:r>
            <w:r>
              <w:rPr>
                <w:rFonts w:ascii="仿宋_GB2312" w:hAnsi="仿宋_GB2312" w:cs="仿宋_GB2312" w:eastAsia="仿宋_GB2312"/>
                <w:sz w:val="22"/>
              </w:rPr>
              <w:t>2</w:t>
            </w:r>
            <w:r>
              <w:rPr>
                <w:rFonts w:ascii="仿宋_GB2312" w:hAnsi="仿宋_GB2312" w:cs="仿宋_GB2312" w:eastAsia="仿宋_GB2312"/>
                <w:sz w:val="22"/>
              </w:rPr>
              <w:t>年</w:t>
            </w:r>
          </w:p>
          <w:p>
            <w:pPr>
              <w:pStyle w:val="null3"/>
              <w:ind w:firstLine="720"/>
              <w:jc w:val="both"/>
            </w:pPr>
            <w:r>
              <w:rPr>
                <w:rFonts w:ascii="仿宋_GB2312" w:hAnsi="仿宋_GB2312" w:cs="仿宋_GB2312" w:eastAsia="仿宋_GB2312"/>
                <w:sz w:val="22"/>
              </w:rPr>
              <w:t>1.2</w:t>
            </w:r>
            <w:r>
              <w:rPr>
                <w:rFonts w:ascii="仿宋_GB2312" w:hAnsi="仿宋_GB2312" w:cs="仿宋_GB2312" w:eastAsia="仿宋_GB2312"/>
                <w:sz w:val="22"/>
              </w:rPr>
              <w:t>实施地点：成交供应商拟实施服务地点</w:t>
            </w:r>
          </w:p>
          <w:p>
            <w:pPr>
              <w:pStyle w:val="null3"/>
              <w:ind w:firstLine="480"/>
              <w:jc w:val="both"/>
            </w:pPr>
            <w:r>
              <w:rPr>
                <w:rFonts w:ascii="仿宋_GB2312" w:hAnsi="仿宋_GB2312" w:cs="仿宋_GB2312" w:eastAsia="仿宋_GB2312"/>
                <w:sz w:val="22"/>
              </w:rPr>
              <w:t>2</w:t>
            </w:r>
            <w:r>
              <w:rPr>
                <w:rFonts w:ascii="仿宋_GB2312" w:hAnsi="仿宋_GB2312" w:cs="仿宋_GB2312" w:eastAsia="仿宋_GB2312"/>
                <w:sz w:val="22"/>
              </w:rPr>
              <w:t>、服务费支付方式：</w:t>
            </w:r>
          </w:p>
          <w:p>
            <w:pPr>
              <w:pStyle w:val="null3"/>
              <w:ind w:firstLine="720"/>
              <w:jc w:val="both"/>
            </w:pPr>
            <w:r>
              <w:rPr>
                <w:rFonts w:ascii="仿宋_GB2312" w:hAnsi="仿宋_GB2312" w:cs="仿宋_GB2312" w:eastAsia="仿宋_GB2312"/>
                <w:sz w:val="22"/>
              </w:rPr>
              <w:t>2.1</w:t>
            </w:r>
            <w:r>
              <w:rPr>
                <w:rFonts w:ascii="仿宋_GB2312" w:hAnsi="仿宋_GB2312" w:cs="仿宋_GB2312" w:eastAsia="仿宋_GB2312"/>
                <w:sz w:val="22"/>
              </w:rPr>
              <w:t>付款方式：合同签订后，达到付款条件起</w:t>
            </w:r>
            <w:r>
              <w:rPr>
                <w:rFonts w:ascii="仿宋_GB2312" w:hAnsi="仿宋_GB2312" w:cs="仿宋_GB2312" w:eastAsia="仿宋_GB2312"/>
                <w:sz w:val="22"/>
              </w:rPr>
              <w:t>15</w:t>
            </w:r>
            <w:r>
              <w:rPr>
                <w:rFonts w:ascii="仿宋_GB2312" w:hAnsi="仿宋_GB2312" w:cs="仿宋_GB2312" w:eastAsia="仿宋_GB2312"/>
                <w:sz w:val="22"/>
              </w:rPr>
              <w:t>日内，支付合同总金额的</w:t>
            </w:r>
            <w:r>
              <w:rPr>
                <w:rFonts w:ascii="仿宋_GB2312" w:hAnsi="仿宋_GB2312" w:cs="仿宋_GB2312" w:eastAsia="仿宋_GB2312"/>
                <w:sz w:val="22"/>
              </w:rPr>
              <w:t>100.00%</w:t>
            </w:r>
            <w:r>
              <w:rPr>
                <w:rFonts w:ascii="仿宋_GB2312" w:hAnsi="仿宋_GB2312" w:cs="仿宋_GB2312" w:eastAsia="仿宋_GB2312"/>
                <w:sz w:val="22"/>
              </w:rPr>
              <w:t>。</w:t>
            </w:r>
          </w:p>
          <w:p>
            <w:pPr>
              <w:pStyle w:val="null3"/>
              <w:ind w:firstLine="720"/>
              <w:jc w:val="both"/>
            </w:pPr>
            <w:r>
              <w:rPr>
                <w:rFonts w:ascii="仿宋_GB2312" w:hAnsi="仿宋_GB2312" w:cs="仿宋_GB2312" w:eastAsia="仿宋_GB2312"/>
                <w:sz w:val="22"/>
              </w:rPr>
              <w:t>2.2</w:t>
            </w:r>
            <w:r>
              <w:rPr>
                <w:rFonts w:ascii="仿宋_GB2312" w:hAnsi="仿宋_GB2312" w:cs="仿宋_GB2312" w:eastAsia="仿宋_GB2312"/>
                <w:sz w:val="22"/>
              </w:rPr>
              <w:t>结算方式：银行转账。</w:t>
            </w:r>
          </w:p>
          <w:p>
            <w:pPr>
              <w:pStyle w:val="null3"/>
              <w:ind w:firstLine="720"/>
              <w:jc w:val="both"/>
            </w:pPr>
            <w:r>
              <w:rPr>
                <w:rFonts w:ascii="仿宋_GB2312" w:hAnsi="仿宋_GB2312" w:cs="仿宋_GB2312" w:eastAsia="仿宋_GB2312"/>
                <w:sz w:val="22"/>
              </w:rPr>
              <w:t>2.3</w:t>
            </w:r>
            <w:r>
              <w:rPr>
                <w:rFonts w:ascii="仿宋_GB2312" w:hAnsi="仿宋_GB2312" w:cs="仿宋_GB2312" w:eastAsia="仿宋_GB2312"/>
                <w:sz w:val="22"/>
              </w:rPr>
              <w:t>在甲方支付每笔款项前，乙方应提供符合甲方要求的合法税务发票。否则，甲方有权暂停支付相应款项。</w:t>
            </w:r>
          </w:p>
          <w:p>
            <w:pPr>
              <w:pStyle w:val="null3"/>
              <w:ind w:firstLine="720"/>
              <w:jc w:val="both"/>
            </w:pPr>
            <w:r>
              <w:rPr>
                <w:rFonts w:ascii="仿宋_GB2312" w:hAnsi="仿宋_GB2312" w:cs="仿宋_GB2312" w:eastAsia="仿宋_GB2312"/>
                <w:sz w:val="22"/>
              </w:rPr>
              <w:t>注：供应商须完全响应此付款方式，否则按无效响应文件处理。</w:t>
            </w:r>
          </w:p>
          <w:p>
            <w:pPr>
              <w:pStyle w:val="null3"/>
              <w:ind w:firstLine="480"/>
              <w:jc w:val="both"/>
            </w:pPr>
            <w:r>
              <w:rPr>
                <w:rFonts w:ascii="仿宋_GB2312" w:hAnsi="仿宋_GB2312" w:cs="仿宋_GB2312" w:eastAsia="仿宋_GB2312"/>
                <w:sz w:val="22"/>
              </w:rPr>
              <w:t>3</w:t>
            </w:r>
            <w:r>
              <w:rPr>
                <w:rFonts w:ascii="仿宋_GB2312" w:hAnsi="仿宋_GB2312" w:cs="仿宋_GB2312" w:eastAsia="仿宋_GB2312"/>
                <w:sz w:val="22"/>
              </w:rPr>
              <w:t>、质量要求：符合国家相关技术标准及采购人要求。</w:t>
            </w:r>
          </w:p>
          <w:p>
            <w:pPr>
              <w:pStyle w:val="null3"/>
              <w:ind w:firstLine="480"/>
              <w:jc w:val="both"/>
            </w:pPr>
            <w:r>
              <w:rPr>
                <w:rFonts w:ascii="仿宋_GB2312" w:hAnsi="仿宋_GB2312" w:cs="仿宋_GB2312" w:eastAsia="仿宋_GB2312"/>
                <w:sz w:val="22"/>
              </w:rPr>
              <w:t>4</w:t>
            </w:r>
            <w:r>
              <w:rPr>
                <w:rFonts w:ascii="仿宋_GB2312" w:hAnsi="仿宋_GB2312" w:cs="仿宋_GB2312" w:eastAsia="仿宋_GB2312"/>
                <w:sz w:val="22"/>
              </w:rPr>
              <w:t>、违约责任：</w:t>
            </w:r>
          </w:p>
          <w:p>
            <w:pPr>
              <w:pStyle w:val="null3"/>
              <w:ind w:firstLine="720"/>
              <w:jc w:val="both"/>
            </w:pPr>
            <w:r>
              <w:rPr>
                <w:rFonts w:ascii="仿宋_GB2312" w:hAnsi="仿宋_GB2312" w:cs="仿宋_GB2312" w:eastAsia="仿宋_GB2312"/>
                <w:sz w:val="22"/>
              </w:rPr>
              <w:t xml:space="preserve">4.1 </w:t>
            </w:r>
            <w:r>
              <w:rPr>
                <w:rFonts w:ascii="仿宋_GB2312" w:hAnsi="仿宋_GB2312" w:cs="仿宋_GB2312" w:eastAsia="仿宋_GB2312"/>
                <w:sz w:val="22"/>
              </w:rPr>
              <w:t>按《民法典》等相关法律法规中的相关条款执行。</w:t>
            </w:r>
          </w:p>
          <w:p>
            <w:pPr>
              <w:pStyle w:val="null3"/>
              <w:ind w:firstLine="720"/>
              <w:jc w:val="both"/>
            </w:pPr>
            <w:r>
              <w:rPr>
                <w:rFonts w:ascii="仿宋_GB2312" w:hAnsi="仿宋_GB2312" w:cs="仿宋_GB2312" w:eastAsia="仿宋_GB2312"/>
                <w:sz w:val="22"/>
              </w:rPr>
              <w:t xml:space="preserve">4.2 </w:t>
            </w:r>
            <w:r>
              <w:rPr>
                <w:rFonts w:ascii="仿宋_GB2312" w:hAnsi="仿宋_GB2312" w:cs="仿宋_GB2312" w:eastAsia="仿宋_GB2312"/>
                <w:sz w:val="22"/>
              </w:rPr>
              <w:t>未按合同要求达到国家标准要求，由成交供应商负责整改，并承担相关费用，由此引起一切经济损失及政治影响由成交供应商承担。</w:t>
            </w:r>
          </w:p>
          <w:p>
            <w:pPr>
              <w:pStyle w:val="null3"/>
              <w:ind w:firstLine="480"/>
              <w:jc w:val="both"/>
            </w:pPr>
            <w:r>
              <w:rPr>
                <w:rFonts w:ascii="仿宋_GB2312" w:hAnsi="仿宋_GB2312" w:cs="仿宋_GB2312" w:eastAsia="仿宋_GB2312"/>
                <w:sz w:val="22"/>
              </w:rPr>
              <w:t>5</w:t>
            </w:r>
            <w:r>
              <w:rPr>
                <w:rFonts w:ascii="仿宋_GB2312" w:hAnsi="仿宋_GB2312" w:cs="仿宋_GB2312" w:eastAsia="仿宋_GB2312"/>
                <w:sz w:val="22"/>
              </w:rPr>
              <w:t>、验收：</w:t>
            </w:r>
          </w:p>
          <w:p>
            <w:pPr>
              <w:pStyle w:val="null3"/>
              <w:ind w:firstLine="720"/>
              <w:jc w:val="both"/>
            </w:pPr>
            <w:r>
              <w:rPr>
                <w:rFonts w:ascii="仿宋_GB2312" w:hAnsi="仿宋_GB2312" w:cs="仿宋_GB2312" w:eastAsia="仿宋_GB2312"/>
                <w:sz w:val="22"/>
              </w:rPr>
              <w:t>5.1</w:t>
            </w:r>
            <w:r>
              <w:rPr>
                <w:rFonts w:ascii="仿宋_GB2312" w:hAnsi="仿宋_GB2312" w:cs="仿宋_GB2312" w:eastAsia="仿宋_GB2312"/>
                <w:sz w:val="22"/>
              </w:rPr>
              <w:t>验收要求：国家标准、行业标准及采购人要求。</w:t>
            </w:r>
          </w:p>
          <w:p>
            <w:pPr>
              <w:pStyle w:val="null3"/>
              <w:ind w:firstLine="720"/>
              <w:jc w:val="both"/>
            </w:pPr>
            <w:r>
              <w:rPr>
                <w:rFonts w:ascii="仿宋_GB2312" w:hAnsi="仿宋_GB2312" w:cs="仿宋_GB2312" w:eastAsia="仿宋_GB2312"/>
                <w:sz w:val="22"/>
              </w:rPr>
              <w:t>5.2</w:t>
            </w:r>
            <w:r>
              <w:rPr>
                <w:rFonts w:ascii="仿宋_GB2312" w:hAnsi="仿宋_GB2312" w:cs="仿宋_GB2312" w:eastAsia="仿宋_GB2312"/>
                <w:sz w:val="22"/>
              </w:rPr>
              <w:t>验收依据：经济合同、国家相关的标准和规范。</w:t>
            </w:r>
          </w:p>
          <w:p>
            <w:pPr>
              <w:pStyle w:val="null3"/>
              <w:ind w:firstLine="480"/>
              <w:jc w:val="both"/>
            </w:pPr>
            <w:r>
              <w:rPr>
                <w:rFonts w:ascii="仿宋_GB2312" w:hAnsi="仿宋_GB2312" w:cs="仿宋_GB2312" w:eastAsia="仿宋_GB2312"/>
                <w:sz w:val="22"/>
              </w:rPr>
              <w:t>6</w:t>
            </w:r>
            <w:r>
              <w:rPr>
                <w:rFonts w:ascii="仿宋_GB2312" w:hAnsi="仿宋_GB2312" w:cs="仿宋_GB2312" w:eastAsia="仿宋_GB2312"/>
                <w:sz w:val="22"/>
              </w:rPr>
              <w:t>、争议：在签订正式合同时具体约定。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合同签订之日起不低于2年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成交供应商拟实施服务地点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详见甲乙双方签订合同。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2.未按合同要求提供服务质量不能满足技术要求，采购人有权终止合同，并对成交供应商违约行为进行追究，同时按《中华人民共和国政府采购法》的有关规定进行处罚。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3.4.1合格供应商少于3家的处理 3.4.1.1评审过程中，若出现合格供应商只有2家时，符合《政府采购竞争性磋商采购方式管理暂行办法》第3条第4项情形的，或者本项目为政府购买服务指导性目录中的，可以继续进行；只有1家时，采购人应依法重新组织采购活动。 3.4.1.2评审过程中，除符合第3.4.1.1条条款规定情形外，若出现合格供应商少于3家时，采购人应依法重新组织采购活动。 3.4.2本项目需要落实的政府采购政策：（1）《国务院办公厅关于建立政府强制采购节能产品制度的通知》（国办发〔2007〕51号）；（2）《财政部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3.4.3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叁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具备卫生主管部门颁发的《医疗机构执业许可证》(诊疗科目中含健康体检服务)及《放射诊疗许可证》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法定代表人身份证明书或授权委托书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（1）响应文件封面 （2）响应函 （3）法定代表人（负责人）委托授权书</w:t>
            </w:r>
          </w:p>
        </w:tc>
        <w:tc>
          <w:tcPr>
            <w:tcW w:type="dxa" w:w="1661"/>
          </w:tcPr>
          <w:p>
            <w:pPr>
              <w:pStyle w:val="null3"/>
            </w:pPr>
            <w:r>
              <w:rPr>
                <w:rFonts w:ascii="仿宋_GB2312" w:hAnsi="仿宋_GB2312" w:cs="仿宋_GB2312" w:eastAsia="仿宋_GB2312"/>
              </w:rPr>
              <w:t>响应文件封面 法定代表人身份证明书或授权委托书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响应文件封面 中小企业声明函 残疾人福利性单位声明函 法定代表人身份证明书或授权委托书 服务方案 标的清单 供应商应提交的相关资格证明材料 服务内容及服务要求应答表 报价表 响应函 监狱企业的证明文件 商务内容应答表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（1）货币单位符合磋商文件要求（2）未超出采购预算或最高限价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服务内容及服务要求应答表 商务内容应答表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符合法律、法规和竞争性磋商文件中规定的其他实质性要求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服务内容及服务要求应答表 商务内容应答表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根据本项目需求编制服务方案，包括以下6项内容：①总体服务方案；②体检流程；③场次安排；④现场管理方案；⑤人员接送方案；⑥早餐用餐方案。 二、评审标准 完整性：方案须全面，对评审内容中的各项要求有详细描述及说明； 可实施性：切合本项目实际情况，实施步骤清晰、合理； 针对性：方案能够紧扣项目实际情况，内容科学合理。 三、赋分标准 1、供应商制定的服务方案对项目要求理解准确，内容齐全、结构完整、表述准确、条理清晰得18.0分，评审内容每缺失一项，扣3.0分。 2、根据评审标准对供应商服务方案进行评审，每项评审内容有一处存在缺陷的扣1.0分。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有相关行业资质、执业证书及中级及以上职称证；且提供相关人员本单位的劳动合同或近半年内任意一个月的社保缴纳证明 ：1、15人（含）以上得15分； 2、10-14人得10分； 3、5-9人得5分； 4、5人（不含）以下得2分； 5、未提供证明材料或证明材料不齐全不得分。 注：需提供以上人员的相关证书及证明材料复印件并加盖公章赋予响应文件内，未提供不计分。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一、评审内容： 供应商提交的管理方案，包括以下5项内容：①具备健全的规章制度；②有良好的内务管理方案；③有质量管理体系并严格开展质量控制；④有关样品的采集、接收、流转、保存和安全处置操作方案；⑤有合理的体检时间安排方案。 二、评审标准 完整性：方案须全面，对评审内容中的各项要求有详细描述及说明； 可实施性：切合本项目实际情况，实施步骤清晰、合理； 针对性：方案能够紧扣项目实际情况，内容科学合理。 三、赋分标准 1、供应商制定的管理方案对项目要求理解准确，内容齐全、结构完整、表述准确、条理清晰得15.0分，评审内容每缺失一项，扣3.0分。 2、根据评审标准对供应商管理方案进行评审，每项评审内容有一处存在缺陷的扣1.0分。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体检环境及设备</w:t>
            </w:r>
          </w:p>
        </w:tc>
        <w:tc>
          <w:tcPr>
            <w:tcW w:type="dxa" w:w="2492"/>
          </w:tcPr>
          <w:p>
            <w:pPr>
              <w:pStyle w:val="null3"/>
            </w:pPr>
            <w:r>
              <w:rPr>
                <w:rFonts w:ascii="仿宋_GB2312" w:hAnsi="仿宋_GB2312" w:cs="仿宋_GB2312" w:eastAsia="仿宋_GB2312"/>
              </w:rPr>
              <w:t>一、评审内容： ①供应商具备独立的体检场所、体检空间和受检者专用通道，遵循“医检分开、相对独立”的原则，防止受检者与其他无关人员接触；②体检中心设有独立的妇科检查区域，人性化的女性专属通道，查体男女分区等根据服务体检环境、布局合理程度；③体检场地的空气质量、生物安全、电磁辐射等安全配套设施；④实施过程中所必需的检测仪器、试剂耗材等设备设施清单，并提供相关证明材料。 二、评审标准 完整性：方案须全面，对评审内容中的各项要求有详细描述及说明； 可实施性：切合本项目实际情况，实施步骤清晰、合理； 针对性：方案能够紧扣项目实际情况，内容科学合理。 三、赋分标准 1、供应商的体检环境舒适，能满足采购人要求，得12.0分，评审内容每缺失一项，扣3.0分。 2、根据评审标准对体检环境进行评审，每项评审内容有一处存在缺陷的扣1.0分。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 根据供应商服务保障措施进行评审，包括以下5项内容：①体检分析报告及相关建议；②后期动态跟踪；③体检人员隐私保密；④重大疾病绿色通道就医；⑤应急保障措施。 二、评审标准 完整性：方案须全面，对评审内容中的各项要求有详细描述及说明； 可实施性：切合本项目实际情况，实施步骤清晰、合理； 针对性：方案能够紧扣项目实际情况，内容科学合理。 三、赋分标准 1、供应商制定的服务保障方案对项目要求理解准确，内容齐全、结构完整、表述准确、条理清晰得15.0分，评审内容每缺失一项，扣3.0分。 2、根据评审标准对供应商服务保障进行评审，每项评审内容有一处存在缺陷的扣1.0分。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3.0分，最多得15.0分。（时间以合同或中标（成交）通知书日期为准，响应文件中附加盖公章的合同或中标（成交）通知书复印件，否则不作为评审依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详见附件：法定代表人身份证明书或授权委托书</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详见附件：商务内容应答表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