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版本号：ZCZX2025-ZB-144（S）20250812002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曲江新区城市管理工作人员食堂食材配送服务(二次)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ZCZX2025-ZB-144（S）</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曲江新区城市管理工作人员食堂食材配送服务(二次)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ZCZX2025-ZB-144（S）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曲江新区城市管理工作人员食堂食材配送服务(二次)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曲江新区城市管理工作人员食堂食材配送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投标人应授权合法的人员参加投标全过程，法定代表人（或负责人）委托代理人参加投标时，应提供法定代表人委托授权书及被授权人的参保缴费证明（须赋可查询的验证编号或验证二维码）和劳动合同；法定代表人（或负责人）亲自参加投标时，应提供法定代表人（或负责人）身份证，并与营业执照上信息一致。</w:t>
      </w:r>
    </w:p>
    <w:p>
      <w:pPr>
        <w:pStyle w:val="null3"/>
      </w:pPr>
      <w:r>
        <w:rPr>
          <w:rFonts w:ascii="仿宋_GB2312" w:hAnsi="仿宋_GB2312" w:cs="仿宋_GB2312" w:eastAsia="仿宋_GB2312"/>
        </w:rPr>
        <w:t>2、投标人资格：投标人具有有效的《食品经营许可证》或《食品经营者备案表》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68660318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由于本项目报价为下浮率，因此计费基数以采购预算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 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曲江新区城市管理工作人员食堂食材配送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2,772,000.00</w:t>
      </w:r>
    </w:p>
    <w:p>
      <w:pPr>
        <w:pStyle w:val="null3"/>
      </w:pPr>
      <w:r>
        <w:rPr>
          <w:rFonts w:ascii="仿宋_GB2312" w:hAnsi="仿宋_GB2312" w:cs="仿宋_GB2312" w:eastAsia="仿宋_GB2312"/>
        </w:rPr>
        <w:t>采购包最高限价（元）: 2,772,000.00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一、采购内容</w:t>
            </w:r>
          </w:p>
          <w:p>
            <w:pPr>
              <w:pStyle w:val="null3"/>
              <w:ind w:firstLine="400"/>
              <w:jc w:val="both"/>
            </w:pPr>
            <w:r>
              <w:rPr>
                <w:rFonts w:ascii="仿宋_GB2312" w:hAnsi="仿宋_GB2312" w:cs="仿宋_GB2312" w:eastAsia="仿宋_GB2312"/>
                <w:sz w:val="20"/>
              </w:rPr>
              <w:t>1、投标人根据采购人要求提供其食堂所需的主副食品， 主要种类有:生鲜肉类、禽蛋类(猪肉、牛肉、鸡、鸭、鱼、 禽蛋等);蔬菜、瓜果类(各类生鲜蔬菜、瓜果、水果);粮 油面、干货、调料类(大米、面粉、食用油，各类干货、调 料等)。</w:t>
            </w:r>
          </w:p>
          <w:p>
            <w:pPr>
              <w:pStyle w:val="null3"/>
              <w:ind w:firstLine="400"/>
              <w:jc w:val="both"/>
            </w:pPr>
            <w:r>
              <w:rPr>
                <w:rFonts w:ascii="仿宋_GB2312" w:hAnsi="仿宋_GB2312" w:cs="仿宋_GB2312" w:eastAsia="仿宋_GB2312"/>
                <w:sz w:val="20"/>
              </w:rPr>
              <w:t>2、投标人根据采购人要求将采购的主副食品定时送至指定地点。</w:t>
            </w:r>
          </w:p>
          <w:p>
            <w:pPr>
              <w:pStyle w:val="null3"/>
              <w:ind w:firstLine="400"/>
              <w:jc w:val="both"/>
            </w:pPr>
            <w:r>
              <w:rPr>
                <w:rFonts w:ascii="仿宋_GB2312" w:hAnsi="仿宋_GB2312" w:cs="仿宋_GB2312" w:eastAsia="仿宋_GB2312"/>
                <w:sz w:val="20"/>
              </w:rPr>
              <w:t>送货时间</w:t>
            </w:r>
            <w:r>
              <w:rPr>
                <w:rFonts w:ascii="仿宋_GB2312" w:hAnsi="仿宋_GB2312" w:cs="仿宋_GB2312" w:eastAsia="仿宋_GB2312"/>
                <w:sz w:val="20"/>
              </w:rPr>
              <w:t>:根据采购人要求，每日8点前配送至指定地点，如时间有调整，另行约定。</w:t>
            </w:r>
          </w:p>
          <w:p>
            <w:pPr>
              <w:pStyle w:val="null3"/>
              <w:ind w:firstLine="400"/>
              <w:jc w:val="both"/>
            </w:pPr>
            <w:r>
              <w:rPr>
                <w:rFonts w:ascii="仿宋_GB2312" w:hAnsi="仿宋_GB2312" w:cs="仿宋_GB2312" w:eastAsia="仿宋_GB2312"/>
                <w:sz w:val="20"/>
              </w:rPr>
              <w:t>送货地址</w:t>
            </w:r>
            <w:r>
              <w:rPr>
                <w:rFonts w:ascii="仿宋_GB2312" w:hAnsi="仿宋_GB2312" w:cs="仿宋_GB2312" w:eastAsia="仿宋_GB2312"/>
                <w:sz w:val="20"/>
              </w:rPr>
              <w:t>:曲江新区，具体地址由采购人指定。</w:t>
            </w:r>
          </w:p>
          <w:p>
            <w:pPr>
              <w:pStyle w:val="null3"/>
              <w:ind w:firstLine="400"/>
              <w:jc w:val="both"/>
            </w:pPr>
            <w:r>
              <w:rPr>
                <w:rFonts w:ascii="仿宋_GB2312" w:hAnsi="仿宋_GB2312" w:cs="仿宋_GB2312" w:eastAsia="仿宋_GB2312"/>
                <w:sz w:val="20"/>
              </w:rPr>
              <w:t>3、投标人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pPr>
              <w:pStyle w:val="null3"/>
              <w:ind w:firstLine="400"/>
              <w:jc w:val="both"/>
            </w:pPr>
            <w:r>
              <w:rPr>
                <w:rFonts w:ascii="仿宋_GB2312" w:hAnsi="仿宋_GB2312" w:cs="仿宋_GB2312" w:eastAsia="仿宋_GB2312"/>
                <w:sz w:val="20"/>
              </w:rPr>
              <w:t>4、不得提供假冒、伪劣、过期或者不符合规定包装、卫生标准的物品。</w:t>
            </w:r>
          </w:p>
          <w:p>
            <w:pPr>
              <w:pStyle w:val="null3"/>
              <w:ind w:firstLine="400"/>
              <w:jc w:val="both"/>
            </w:pPr>
            <w:r>
              <w:rPr>
                <w:rFonts w:ascii="仿宋_GB2312" w:hAnsi="仿宋_GB2312" w:cs="仿宋_GB2312" w:eastAsia="仿宋_GB2312"/>
                <w:sz w:val="20"/>
              </w:rPr>
              <w:t>5、不得提供来历不明、不能提供相应产品标签的散装物品。</w:t>
            </w:r>
          </w:p>
          <w:p>
            <w:pPr>
              <w:pStyle w:val="null3"/>
              <w:ind w:firstLine="400"/>
              <w:jc w:val="both"/>
            </w:pPr>
            <w:r>
              <w:rPr>
                <w:rFonts w:ascii="仿宋_GB2312" w:hAnsi="仿宋_GB2312" w:cs="仿宋_GB2312" w:eastAsia="仿宋_GB2312"/>
                <w:sz w:val="20"/>
              </w:rPr>
              <w:t>6、当天送达食品，在检查过程中发现存在变质腐败、油脂酸败、霉变、生虫、污秽不洁、混有异物或者其他感官性状异常、含有毒有害物质或者被有毒有害物质污染，可能对人体健康有害的物品，投标人必须在当天及时更换货物，如有造成的损失由投标人承担。</w:t>
            </w:r>
          </w:p>
          <w:p>
            <w:pPr>
              <w:pStyle w:val="null3"/>
              <w:ind w:firstLine="400"/>
              <w:jc w:val="both"/>
            </w:pPr>
            <w:r>
              <w:rPr>
                <w:rFonts w:ascii="仿宋_GB2312" w:hAnsi="仿宋_GB2312" w:cs="仿宋_GB2312" w:eastAsia="仿宋_GB2312"/>
                <w:sz w:val="20"/>
              </w:rPr>
              <w:t>7、投标人提供的物资必须达到国家规定的卫生安全标准，蔬菜、禽蛋、畜禽肉类等食品能够按有相应的质量检疫检验报告供采购人随时抽查，抽查发现供应商提供的报告与本批次物资不符时，采购人按本批物资量合同价值的3倍给予处罚。</w:t>
            </w:r>
          </w:p>
          <w:p>
            <w:pPr>
              <w:pStyle w:val="null3"/>
              <w:ind w:firstLine="400"/>
              <w:jc w:val="both"/>
            </w:pPr>
            <w:r>
              <w:rPr>
                <w:rFonts w:ascii="仿宋_GB2312" w:hAnsi="仿宋_GB2312" w:cs="仿宋_GB2312" w:eastAsia="仿宋_GB2312"/>
                <w:sz w:val="20"/>
              </w:rPr>
              <w:t>8、物资产品在送达采购人指定地点时保质期剩余时间应在三分之二以上。</w:t>
            </w:r>
          </w:p>
          <w:p>
            <w:pPr>
              <w:pStyle w:val="null3"/>
              <w:ind w:firstLine="400"/>
              <w:jc w:val="both"/>
            </w:pPr>
            <w:r>
              <w:rPr>
                <w:rFonts w:ascii="仿宋_GB2312" w:hAnsi="仿宋_GB2312" w:cs="仿宋_GB2312" w:eastAsia="仿宋_GB2312"/>
                <w:sz w:val="20"/>
              </w:rPr>
              <w:t>9、如因投标人提供的物资，因质量等问题而使采购人人员发生食物中毒事件的，投标人将承担相应的法律责任。</w:t>
            </w:r>
          </w:p>
          <w:p>
            <w:pPr>
              <w:pStyle w:val="null3"/>
              <w:ind w:firstLine="400"/>
              <w:jc w:val="both"/>
            </w:pPr>
            <w:r>
              <w:rPr>
                <w:rFonts w:ascii="仿宋_GB2312" w:hAnsi="仿宋_GB2312" w:cs="仿宋_GB2312" w:eastAsia="仿宋_GB2312"/>
                <w:sz w:val="20"/>
              </w:rPr>
              <w:t>10、投标人配送的食品应无毒、无害，具有完好的形、色、 香、味等性状，并符合下述质量要求:</w:t>
            </w:r>
          </w:p>
          <w:p>
            <w:pPr>
              <w:pStyle w:val="null3"/>
              <w:ind w:firstLine="402"/>
              <w:jc w:val="both"/>
            </w:pPr>
            <w:r>
              <w:rPr>
                <w:rFonts w:ascii="仿宋_GB2312" w:hAnsi="仿宋_GB2312" w:cs="仿宋_GB2312" w:eastAsia="仿宋_GB2312"/>
                <w:sz w:val="20"/>
                <w:b/>
              </w:rPr>
              <w:t>10.1、食用油供货:</w:t>
            </w:r>
          </w:p>
          <w:p>
            <w:pPr>
              <w:pStyle w:val="null3"/>
              <w:ind w:firstLine="400"/>
              <w:jc w:val="both"/>
            </w:pPr>
            <w:r>
              <w:rPr>
                <w:rFonts w:ascii="仿宋_GB2312" w:hAnsi="仿宋_GB2312" w:cs="仿宋_GB2312" w:eastAsia="仿宋_GB2312"/>
                <w:sz w:val="20"/>
              </w:rPr>
              <w:t>食用油为非转基因食用油，品牌必须由采购人指定，应符合</w:t>
            </w:r>
            <w:r>
              <w:rPr>
                <w:rFonts w:ascii="仿宋_GB2312" w:hAnsi="仿宋_GB2312" w:cs="仿宋_GB2312" w:eastAsia="仿宋_GB2312"/>
                <w:sz w:val="20"/>
              </w:rPr>
              <w:t>“国家标准一级”产品质量标准。</w:t>
            </w:r>
          </w:p>
          <w:p>
            <w:pPr>
              <w:pStyle w:val="null3"/>
              <w:ind w:firstLine="400"/>
              <w:jc w:val="both"/>
            </w:pPr>
            <w:r>
              <w:rPr>
                <w:rFonts w:ascii="仿宋_GB2312" w:hAnsi="仿宋_GB2312" w:cs="仿宋_GB2312" w:eastAsia="仿宋_GB2312"/>
                <w:sz w:val="20"/>
              </w:rPr>
              <w:t>食用油应外包装完好，有</w:t>
            </w:r>
            <w:r>
              <w:rPr>
                <w:rFonts w:ascii="仿宋_GB2312" w:hAnsi="仿宋_GB2312" w:cs="仿宋_GB2312" w:eastAsia="仿宋_GB2312"/>
                <w:sz w:val="20"/>
              </w:rPr>
              <w:t>SC 标志，标明品名、厂名、重量、 生产日期、保质期或保存期、执行标准，剩余保存期不少于保质期的三分之二，具有产品合格证。具有正常植物油的色泽、透明度、气味和滋味，无焦臭、酸败及其他异味。</w:t>
            </w:r>
          </w:p>
          <w:p>
            <w:pPr>
              <w:pStyle w:val="null3"/>
              <w:ind w:firstLine="402"/>
              <w:jc w:val="both"/>
            </w:pPr>
            <w:r>
              <w:rPr>
                <w:rFonts w:ascii="仿宋_GB2312" w:hAnsi="仿宋_GB2312" w:cs="仿宋_GB2312" w:eastAsia="仿宋_GB2312"/>
                <w:sz w:val="20"/>
                <w:b/>
              </w:rPr>
              <w:t>10.2、面粉供货:</w:t>
            </w:r>
          </w:p>
          <w:p>
            <w:pPr>
              <w:pStyle w:val="null3"/>
              <w:ind w:firstLine="400"/>
              <w:jc w:val="both"/>
            </w:pPr>
            <w:r>
              <w:rPr>
                <w:rFonts w:ascii="仿宋_GB2312" w:hAnsi="仿宋_GB2312" w:cs="仿宋_GB2312" w:eastAsia="仿宋_GB2312"/>
                <w:sz w:val="20"/>
              </w:rPr>
              <w:t>面粉</w:t>
            </w:r>
            <w:r>
              <w:rPr>
                <w:rFonts w:ascii="仿宋_GB2312" w:hAnsi="仿宋_GB2312" w:cs="仿宋_GB2312" w:eastAsia="仿宋_GB2312"/>
                <w:sz w:val="20"/>
              </w:rPr>
              <w:t>:应符合《馒头用小麦粉》(LS/T 3204-1993)标准指标要求(遇国家修改标准，自新标准施行之日起采用新标准);水分≤14.0%;灰分(以干基计)≤0.70%;粗细度:全部通过 GB36 号筛;湿面筋 25.0%—30.0%;粉质曲线稳定时 间≥3.0min;降落数值≥250s;含砂量≤0.02%;磁性金属 物≤0.003g/Kg;气味、口感:正常。</w:t>
            </w:r>
          </w:p>
          <w:p>
            <w:pPr>
              <w:pStyle w:val="null3"/>
              <w:ind w:firstLine="402"/>
              <w:jc w:val="both"/>
            </w:pPr>
            <w:r>
              <w:rPr>
                <w:rFonts w:ascii="仿宋_GB2312" w:hAnsi="仿宋_GB2312" w:cs="仿宋_GB2312" w:eastAsia="仿宋_GB2312"/>
                <w:sz w:val="20"/>
                <w:b/>
              </w:rPr>
              <w:t>10.3、蔬菜供货:</w:t>
            </w:r>
          </w:p>
          <w:p>
            <w:pPr>
              <w:pStyle w:val="null3"/>
              <w:ind w:firstLine="400"/>
              <w:jc w:val="both"/>
            </w:pPr>
            <w:r>
              <w:rPr>
                <w:rFonts w:ascii="仿宋_GB2312" w:hAnsi="仿宋_GB2312" w:cs="仿宋_GB2312" w:eastAsia="仿宋_GB2312"/>
                <w:sz w:val="20"/>
              </w:rPr>
              <w:t>投标人销售给采购人的蔬菜应当是新鲜、青嫩、干净、无腐</w:t>
            </w:r>
            <w:r>
              <w:rPr>
                <w:rFonts w:ascii="仿宋_GB2312" w:hAnsi="仿宋_GB2312" w:cs="仿宋_GB2312" w:eastAsia="仿宋_GB2312"/>
                <w:sz w:val="20"/>
              </w:rPr>
              <w:t>烂、无杂质、无杂草、无黄叶、无老叶、无浸水泡水或注水，并提供农药残留检测报告。</w:t>
            </w:r>
          </w:p>
          <w:p>
            <w:pPr>
              <w:pStyle w:val="null3"/>
              <w:ind w:firstLine="400"/>
              <w:jc w:val="both"/>
            </w:pPr>
            <w:r>
              <w:rPr>
                <w:rFonts w:ascii="仿宋_GB2312" w:hAnsi="仿宋_GB2312" w:cs="仿宋_GB2312" w:eastAsia="仿宋_GB2312"/>
                <w:sz w:val="20"/>
              </w:rPr>
              <w:t>新鲜指各类蔬菜无腐烂、变质、无臭水伤味、无糟软状态，尤其是黄、绿豆芽鲜菌类应保持应有的新鲜度</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青嫩是指绝大多数蔬菜</w:t>
            </w:r>
            <w:r>
              <w:rPr>
                <w:rFonts w:ascii="仿宋_GB2312" w:hAnsi="仿宋_GB2312" w:cs="仿宋_GB2312" w:eastAsia="仿宋_GB2312"/>
                <w:sz w:val="20"/>
              </w:rPr>
              <w:t>(除冬瓜、南瓜等外)不但青而且嫩;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ind w:firstLine="400"/>
              <w:jc w:val="both"/>
            </w:pPr>
            <w:r>
              <w:rPr>
                <w:rFonts w:ascii="仿宋_GB2312" w:hAnsi="仿宋_GB2312" w:cs="仿宋_GB2312" w:eastAsia="仿宋_GB2312"/>
                <w:sz w:val="20"/>
              </w:rPr>
              <w:t>无黄叶、老叶主要指青菜、白菜类不能有老叶，鲜蒜、香葱等的杆部应当见白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无浸水、泡水或注水主要指白菜类</w:t>
            </w:r>
            <w:r>
              <w:rPr>
                <w:rFonts w:ascii="仿宋_GB2312" w:hAnsi="仿宋_GB2312" w:cs="仿宋_GB2312" w:eastAsia="仿宋_GB2312"/>
                <w:sz w:val="20"/>
              </w:rPr>
              <w:t>(含花菜)、瓜果类、鲜 菌类及根(块)茎类蔬菜不能浸水、泡水或注水;</w:t>
            </w:r>
          </w:p>
          <w:p>
            <w:pPr>
              <w:pStyle w:val="null3"/>
              <w:ind w:firstLine="400"/>
              <w:jc w:val="both"/>
            </w:pPr>
            <w:r>
              <w:rPr>
                <w:rFonts w:ascii="仿宋_GB2312" w:hAnsi="仿宋_GB2312" w:cs="仿宋_GB2312" w:eastAsia="仿宋_GB2312"/>
                <w:sz w:val="20"/>
              </w:rPr>
              <w:t>净菜率须在</w:t>
            </w:r>
            <w:r>
              <w:rPr>
                <w:rFonts w:ascii="仿宋_GB2312" w:hAnsi="仿宋_GB2312" w:cs="仿宋_GB2312" w:eastAsia="仿宋_GB2312"/>
                <w:sz w:val="20"/>
              </w:rPr>
              <w:t>95%以上。</w:t>
            </w:r>
          </w:p>
          <w:p>
            <w:pPr>
              <w:pStyle w:val="null3"/>
              <w:ind w:firstLine="402"/>
              <w:jc w:val="both"/>
            </w:pPr>
            <w:r>
              <w:rPr>
                <w:rFonts w:ascii="仿宋_GB2312" w:hAnsi="仿宋_GB2312" w:cs="仿宋_GB2312" w:eastAsia="仿宋_GB2312"/>
                <w:sz w:val="20"/>
                <w:b/>
              </w:rPr>
              <w:t>10.4、鲜肉供货:</w:t>
            </w:r>
          </w:p>
          <w:p>
            <w:pPr>
              <w:pStyle w:val="null3"/>
              <w:ind w:firstLine="400"/>
              <w:jc w:val="both"/>
            </w:pPr>
            <w:r>
              <w:rPr>
                <w:rFonts w:ascii="仿宋_GB2312" w:hAnsi="仿宋_GB2312" w:cs="仿宋_GB2312" w:eastAsia="仿宋_GB2312"/>
                <w:sz w:val="20"/>
              </w:rPr>
              <w:t>产品为在政府规定的屠宰场所屠杀的生鲜禽畜肉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产品应符合国家食品安全标准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产品非病死禽畜肉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产品非</w:t>
            </w:r>
            <w:r>
              <w:rPr>
                <w:rFonts w:ascii="仿宋_GB2312" w:hAnsi="仿宋_GB2312" w:cs="仿宋_GB2312" w:eastAsia="仿宋_GB2312"/>
                <w:sz w:val="20"/>
              </w:rPr>
              <w:t>“注水”禽畜肉、母猪肉、老猪肉;</w:t>
            </w:r>
          </w:p>
          <w:p>
            <w:pPr>
              <w:pStyle w:val="null3"/>
              <w:ind w:firstLine="400"/>
              <w:jc w:val="both"/>
            </w:pPr>
            <w:r>
              <w:rPr>
                <w:rFonts w:ascii="仿宋_GB2312" w:hAnsi="仿宋_GB2312" w:cs="仿宋_GB2312" w:eastAsia="仿宋_GB2312"/>
                <w:sz w:val="20"/>
              </w:rPr>
              <w:t>新鲜的肉类，表面有光泽，颜色均匀，有弹性，不得呈现青紫色死斑。</w:t>
            </w:r>
          </w:p>
          <w:p>
            <w:pPr>
              <w:pStyle w:val="null3"/>
              <w:ind w:firstLine="402"/>
              <w:jc w:val="both"/>
            </w:pPr>
            <w:r>
              <w:rPr>
                <w:rFonts w:ascii="仿宋_GB2312" w:hAnsi="仿宋_GB2312" w:cs="仿宋_GB2312" w:eastAsia="仿宋_GB2312"/>
                <w:sz w:val="20"/>
                <w:b/>
              </w:rPr>
              <w:t>10.5、副食品供货:</w:t>
            </w:r>
          </w:p>
          <w:p>
            <w:pPr>
              <w:pStyle w:val="null3"/>
              <w:ind w:firstLine="400"/>
              <w:jc w:val="both"/>
            </w:pPr>
            <w:r>
              <w:rPr>
                <w:rFonts w:ascii="仿宋_GB2312" w:hAnsi="仿宋_GB2312" w:cs="仿宋_GB2312" w:eastAsia="仿宋_GB2312"/>
                <w:sz w:val="20"/>
              </w:rPr>
              <w:t>产品无发霉、无变质、无变味、不掺杂、不掺假、不掺水、干货无受潮</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产品包装应该有产品名</w:t>
            </w:r>
            <w:r>
              <w:rPr>
                <w:rFonts w:ascii="仿宋_GB2312" w:hAnsi="仿宋_GB2312" w:cs="仿宋_GB2312" w:eastAsia="仿宋_GB2312"/>
                <w:sz w:val="20"/>
              </w:rPr>
              <w:t>称、厂名、厂址或出产地等，应有产品质量合格证明</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产品生产厂家应持有卫生许可证</w:t>
            </w:r>
            <w:r>
              <w:rPr>
                <w:rFonts w:ascii="仿宋_GB2312" w:hAnsi="仿宋_GB2312" w:cs="仿宋_GB2312" w:eastAsia="仿宋_GB2312"/>
                <w:sz w:val="20"/>
              </w:rPr>
              <w:t>; 产品应符合国家食品卫生法规规定的标准。</w:t>
            </w:r>
          </w:p>
          <w:p>
            <w:pPr>
              <w:pStyle w:val="null3"/>
              <w:ind w:firstLine="402"/>
              <w:jc w:val="both"/>
            </w:pPr>
            <w:r>
              <w:rPr>
                <w:rFonts w:ascii="仿宋_GB2312" w:hAnsi="仿宋_GB2312" w:cs="仿宋_GB2312" w:eastAsia="仿宋_GB2312"/>
                <w:sz w:val="20"/>
                <w:b/>
              </w:rPr>
              <w:t>10.6、冻品供货:</w:t>
            </w:r>
          </w:p>
          <w:p>
            <w:pPr>
              <w:pStyle w:val="null3"/>
              <w:ind w:firstLine="400"/>
              <w:jc w:val="both"/>
            </w:pPr>
            <w:r>
              <w:rPr>
                <w:rFonts w:ascii="仿宋_GB2312" w:hAnsi="仿宋_GB2312" w:cs="仿宋_GB2312" w:eastAsia="仿宋_GB2312"/>
                <w:sz w:val="20"/>
              </w:rPr>
              <w:t>冻禽产品应符合国家标准《鲜、冻禽产品》</w:t>
            </w:r>
            <w:r>
              <w:rPr>
                <w:rFonts w:ascii="仿宋_GB2312" w:hAnsi="仿宋_GB2312" w:cs="仿宋_GB2312" w:eastAsia="仿宋_GB2312"/>
                <w:sz w:val="20"/>
              </w:rPr>
              <w:t>(GB16869-2005)、</w:t>
            </w:r>
          </w:p>
          <w:p>
            <w:pPr>
              <w:pStyle w:val="null3"/>
              <w:ind w:firstLine="400"/>
              <w:jc w:val="both"/>
            </w:pPr>
            <w:r>
              <w:rPr>
                <w:rFonts w:ascii="仿宋_GB2312" w:hAnsi="仿宋_GB2312" w:cs="仿宋_GB2312" w:eastAsia="仿宋_GB2312"/>
                <w:sz w:val="20"/>
              </w:rPr>
              <w:t>《食品安全国家标准</w:t>
            </w:r>
            <w:r>
              <w:rPr>
                <w:rFonts w:ascii="仿宋_GB2312" w:hAnsi="仿宋_GB2312" w:cs="仿宋_GB2312" w:eastAsia="仿宋_GB2312"/>
                <w:sz w:val="20"/>
              </w:rPr>
              <w:t>鲜</w:t>
            </w:r>
            <w:r>
              <w:rPr>
                <w:rFonts w:ascii="仿宋_GB2312" w:hAnsi="仿宋_GB2312" w:cs="仿宋_GB2312" w:eastAsia="仿宋_GB2312"/>
                <w:sz w:val="20"/>
              </w:rPr>
              <w:t>(冻)畜、禽产品》(GB 2707-2016)，</w:t>
            </w:r>
          </w:p>
          <w:p>
            <w:pPr>
              <w:pStyle w:val="null3"/>
              <w:ind w:firstLine="400"/>
              <w:jc w:val="both"/>
            </w:pPr>
            <w:r>
              <w:rPr>
                <w:rFonts w:ascii="仿宋_GB2312" w:hAnsi="仿宋_GB2312" w:cs="仿宋_GB2312" w:eastAsia="仿宋_GB2312"/>
                <w:sz w:val="20"/>
              </w:rPr>
              <w:t>其他冻品应符合相应国家标准。遇国家修改标准，自新标准施行之日超采用新标准。</w:t>
            </w:r>
            <w:r>
              <w:rPr>
                <w:rFonts w:ascii="仿宋_GB2312" w:hAnsi="仿宋_GB2312" w:cs="仿宋_GB2312" w:eastAsia="仿宋_GB2312"/>
                <w:sz w:val="20"/>
              </w:rPr>
              <w:t>产品无变质、无异味、无腐败、无杂质</w:t>
            </w:r>
            <w:r>
              <w:rPr>
                <w:rFonts w:ascii="仿宋_GB2312" w:hAnsi="仿宋_GB2312" w:cs="仿宋_GB2312" w:eastAsia="仿宋_GB2312"/>
                <w:sz w:val="20"/>
              </w:rPr>
              <w:t>; 产品无过保质期;</w:t>
            </w:r>
          </w:p>
          <w:p>
            <w:pPr>
              <w:pStyle w:val="null3"/>
              <w:ind w:firstLine="400"/>
              <w:jc w:val="both"/>
            </w:pPr>
            <w:r>
              <w:rPr>
                <w:rFonts w:ascii="仿宋_GB2312" w:hAnsi="仿宋_GB2312" w:cs="仿宋_GB2312" w:eastAsia="仿宋_GB2312"/>
                <w:sz w:val="20"/>
              </w:rPr>
              <w:t>产品非病死禽、畜制品</w:t>
            </w:r>
            <w:r>
              <w:rPr>
                <w:rFonts w:ascii="仿宋_GB2312" w:hAnsi="仿宋_GB2312" w:cs="仿宋_GB2312" w:eastAsia="仿宋_GB2312"/>
                <w:sz w:val="20"/>
              </w:rPr>
              <w:t>; 产品应经检验、检疫合格; 有冻品厂家合格证明供采购人随时抽查。</w:t>
            </w:r>
          </w:p>
          <w:p>
            <w:pPr>
              <w:pStyle w:val="null3"/>
              <w:ind w:firstLine="402"/>
              <w:jc w:val="both"/>
            </w:pPr>
            <w:r>
              <w:rPr>
                <w:rFonts w:ascii="仿宋_GB2312" w:hAnsi="仿宋_GB2312" w:cs="仿宋_GB2312" w:eastAsia="仿宋_GB2312"/>
                <w:sz w:val="20"/>
                <w:b/>
              </w:rPr>
              <w:t>10.7、水果供货:</w:t>
            </w:r>
          </w:p>
          <w:p>
            <w:pPr>
              <w:pStyle w:val="null3"/>
              <w:ind w:firstLine="400"/>
              <w:jc w:val="both"/>
            </w:pPr>
            <w:r>
              <w:rPr>
                <w:rFonts w:ascii="仿宋_GB2312" w:hAnsi="仿宋_GB2312" w:cs="仿宋_GB2312" w:eastAsia="仿宋_GB2312"/>
                <w:sz w:val="20"/>
              </w:rPr>
              <w:t>果形完整、质地好、新鲜，无影响消费的腐烂变质</w:t>
            </w:r>
            <w:r>
              <w:rPr>
                <w:rFonts w:ascii="仿宋_GB2312" w:hAnsi="仿宋_GB2312" w:cs="仿宋_GB2312" w:eastAsia="仿宋_GB2312"/>
                <w:sz w:val="20"/>
              </w:rPr>
              <w:t>;清洁，基本不含可见异物，无坏死斑块，无明显的机械伤，基本无虫害，无冷害，无异常的外部水分，但冷藏取出后的冷凝水除外;无异常气味和味道，发育充分，达到适当的成熟度;带柄时，其长度不能超过 1 cm。</w:t>
            </w:r>
          </w:p>
          <w:p>
            <w:pPr>
              <w:pStyle w:val="null3"/>
              <w:ind w:firstLine="402"/>
              <w:jc w:val="both"/>
            </w:pPr>
            <w:r>
              <w:rPr>
                <w:rFonts w:ascii="仿宋_GB2312" w:hAnsi="仿宋_GB2312" w:cs="仿宋_GB2312" w:eastAsia="仿宋_GB2312"/>
                <w:sz w:val="20"/>
                <w:b/>
              </w:rPr>
              <w:t>10.8、糕点供货:</w:t>
            </w:r>
          </w:p>
          <w:p>
            <w:pPr>
              <w:pStyle w:val="null3"/>
              <w:ind w:firstLine="400"/>
              <w:jc w:val="both"/>
            </w:pPr>
            <w:r>
              <w:rPr>
                <w:rFonts w:ascii="仿宋_GB2312" w:hAnsi="仿宋_GB2312" w:cs="仿宋_GB2312" w:eastAsia="仿宋_GB2312"/>
                <w:sz w:val="20"/>
              </w:rPr>
              <w:t>产品须经过正规厂家生产，并符合《食品安全国家标准糕点、面包》</w:t>
            </w:r>
            <w:r>
              <w:rPr>
                <w:rFonts w:ascii="仿宋_GB2312" w:hAnsi="仿宋_GB2312" w:cs="仿宋_GB2312" w:eastAsia="仿宋_GB2312"/>
                <w:sz w:val="20"/>
              </w:rPr>
              <w:t>(GB 7099-2015)、《糕点通则》(GB/T 20977-2007) 等相关标准;</w:t>
            </w:r>
          </w:p>
          <w:p>
            <w:pPr>
              <w:pStyle w:val="null3"/>
              <w:ind w:firstLine="400"/>
              <w:jc w:val="both"/>
            </w:pPr>
            <w:r>
              <w:rPr>
                <w:rFonts w:ascii="仿宋_GB2312" w:hAnsi="仿宋_GB2312" w:cs="仿宋_GB2312" w:eastAsia="仿宋_GB2312"/>
                <w:sz w:val="20"/>
              </w:rPr>
              <w:t>外包装完好，有</w:t>
            </w:r>
            <w:r>
              <w:rPr>
                <w:rFonts w:ascii="仿宋_GB2312" w:hAnsi="仿宋_GB2312" w:cs="仿宋_GB2312" w:eastAsia="仿宋_GB2312"/>
                <w:sz w:val="20"/>
              </w:rPr>
              <w:t>SC 标志，标明品名、厂名、重量、生产日期、保质期或保存期、执行标准，剩余保存期不少于保质期的三分之二，具有产品合格证。包装无胀气，破损，具有正 常糕点气味和滋味，无焦臭、酸败及其他异味。</w:t>
            </w:r>
          </w:p>
          <w:p>
            <w:pPr>
              <w:pStyle w:val="null3"/>
              <w:ind w:firstLine="400"/>
              <w:jc w:val="both"/>
            </w:pPr>
            <w:r>
              <w:rPr>
                <w:rFonts w:ascii="仿宋_GB2312" w:hAnsi="仿宋_GB2312" w:cs="仿宋_GB2312" w:eastAsia="仿宋_GB2312"/>
                <w:sz w:val="20"/>
              </w:rPr>
              <w:t>11、采购定价标准，本项目按折扣报价，结算单价=基准价×折扣</w:t>
            </w:r>
          </w:p>
          <w:p>
            <w:pPr>
              <w:pStyle w:val="null3"/>
              <w:ind w:firstLine="400"/>
              <w:jc w:val="both"/>
            </w:pPr>
            <w:r>
              <w:rPr>
                <w:rFonts w:ascii="仿宋_GB2312" w:hAnsi="仿宋_GB2312" w:cs="仿宋_GB2312" w:eastAsia="仿宋_GB2312"/>
                <w:sz w:val="20"/>
              </w:rPr>
              <w:t>12、投标人所报的折扣系数在合同实施期间保持不变，即不因市场价格或政策性价格的调整而增减。</w:t>
            </w:r>
          </w:p>
          <w:p>
            <w:pPr>
              <w:pStyle w:val="null3"/>
              <w:ind w:firstLine="400"/>
              <w:jc w:val="both"/>
            </w:pPr>
            <w:r>
              <w:rPr>
                <w:rFonts w:ascii="仿宋_GB2312" w:hAnsi="仿宋_GB2312" w:cs="仿宋_GB2312" w:eastAsia="仿宋_GB2312"/>
                <w:sz w:val="20"/>
              </w:rPr>
              <w:t>13、如遇自然灾害等不可预见的因素造成的个别品种价格需临时做调整的，投标人应遵循当时的市场价格标准，事先与采购人协商，并书面通知采购人，在采购人确认后方可调整。</w:t>
            </w:r>
          </w:p>
          <w:p>
            <w:pPr>
              <w:pStyle w:val="null3"/>
              <w:ind w:firstLine="400"/>
              <w:jc w:val="both"/>
            </w:pPr>
            <w:r>
              <w:rPr>
                <w:rFonts w:ascii="仿宋_GB2312" w:hAnsi="仿宋_GB2312" w:cs="仿宋_GB2312" w:eastAsia="仿宋_GB2312"/>
                <w:sz w:val="20"/>
              </w:rPr>
              <w:t>14、食材签收过程中，如发现所送食材重量短缺部分超过采购量的 10%，采购人按食材短缺部分价值的3倍给予处罚。</w:t>
            </w:r>
          </w:p>
          <w:p>
            <w:pPr>
              <w:pStyle w:val="null3"/>
              <w:ind w:firstLine="400"/>
              <w:jc w:val="both"/>
            </w:pPr>
            <w:r>
              <w:rPr>
                <w:rFonts w:ascii="仿宋_GB2312" w:hAnsi="仿宋_GB2312" w:cs="仿宋_GB2312" w:eastAsia="仿宋_GB2312"/>
                <w:sz w:val="20"/>
              </w:rPr>
              <w:t>15、投标人应严格按照投标文件、合同以及相关政策规定为采购人供应所需副主食品，否则采购人有权根据相关法规进行处罚或有权单方面终止合同。</w:t>
            </w:r>
          </w:p>
          <w:p>
            <w:pPr>
              <w:pStyle w:val="null3"/>
              <w:ind w:firstLine="400"/>
              <w:jc w:val="both"/>
            </w:pPr>
            <w:r>
              <w:rPr>
                <w:rFonts w:ascii="仿宋_GB2312" w:hAnsi="仿宋_GB2312" w:cs="仿宋_GB2312" w:eastAsia="仿宋_GB2312"/>
                <w:sz w:val="20"/>
              </w:rPr>
              <w:t>16、由于投标人原因导致一次 10 人以上食品安全事件，采购人有权终止合同，投标人需按相关规定进行赔偿并负相应法律责任。</w:t>
            </w:r>
          </w:p>
          <w:p>
            <w:pPr>
              <w:pStyle w:val="null3"/>
              <w:jc w:val="both"/>
            </w:pPr>
            <w:r>
              <w:rPr>
                <w:rFonts w:ascii="仿宋_GB2312" w:hAnsi="仿宋_GB2312" w:cs="仿宋_GB2312" w:eastAsia="仿宋_GB2312"/>
                <w:sz w:val="20"/>
              </w:rPr>
              <w:t>17、须根据配送物资的种类配备运输车辆。</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结合配送服务当月食材的采购数量及月度考核结果据实结算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中标供应商在领取中标通知书前，需向采购代理机构提交纸质版响应文件2份，纸质版文件须为电子响应文件的打印版。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投标人应授权合法的人员参加投标全过程，法定代表人（或负责人）委托代理人参加投标时，应提供法定代表人委托授权书及被授权人的参保缴费证明（须赋可查询的验证编号或验证二维码）和劳动合同；法定代表人（或负责人）亲自参加投标时，应提供法定代表人（或负责人）身份证，并与营业执照上信息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w:t>
            </w:r>
          </w:p>
        </w:tc>
        <w:tc>
          <w:tcPr>
            <w:tcW w:type="dxa" w:w="3322"/>
          </w:tcPr>
          <w:p>
            <w:pPr>
              <w:pStyle w:val="null3"/>
            </w:pPr>
            <w:r>
              <w:rPr>
                <w:rFonts w:ascii="仿宋_GB2312" w:hAnsi="仿宋_GB2312" w:cs="仿宋_GB2312" w:eastAsia="仿宋_GB2312"/>
              </w:rPr>
              <w:t>投标人具有有效的《食品经营许可证》或《食品经营者备案表》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商务条款（合同条款）偏离表.docx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商务条款（合同条款）偏离表.docx 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1、整体配送方案合理、详细、周到，具有科学性、可操作性、实用性等情况，按其响应程度计0～5分。 2、有针对本项目的配送人员和车辆，合理的配送方案及配送路线，按其响应程度计0～5分。 3、有食品配送服务应急方案，保证食品的正常食用，按其响应程度计0～5分。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w:t>
            </w:r>
          </w:p>
        </w:tc>
        <w:tc>
          <w:tcPr>
            <w:tcW w:type="dxa" w:w="2492"/>
          </w:tcPr>
          <w:p>
            <w:pPr>
              <w:pStyle w:val="null3"/>
            </w:pPr>
            <w:r>
              <w:rPr>
                <w:rFonts w:ascii="仿宋_GB2312" w:hAnsi="仿宋_GB2312" w:cs="仿宋_GB2312" w:eastAsia="仿宋_GB2312"/>
              </w:rPr>
              <w:t>1、食品安全保证措施，此项满分12分。 1-1、生鲜肉类、禽蛋类具有食品安全保证措施，按其响应程度计0～4分； 1-2、蔬菜、瓜果类具有食品安全保证措施，按其响应程度计0～4分； 1-3、粮油面、干货、调料类具有食品安全保证措施，按其响应程度计0～4分。 2、食品危机管理应急方案，按其响应程度计0～5分。 3、在服务期内食材质量、配送等若出现问题，投标人有完整的赔偿措施及赔偿方式。按其响应程度计0～5分。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 xml:space="preserve"> 1、生鲜肉类、禽蛋类货源渠道清晰、明确，齐全。按其响应程度计0～4分。 2、蔬菜、瓜果类货源渠道清晰、明确，齐全。按其响应程度计0～4分。 3、粮油面、干货、调料类货源渠道清晰、明确，齐全。按其响应程度计0～4分。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投标人有良好储存场所及条件，在本地有固定的符合《食品安全法》规定的仓储和配送设备及能力，提供相关证明材料。按其响应程度计0～5分。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1、有健全的内部管理制度及财务制度，按其响应程度计0～5分。 2、有完整的质量保证措施方案，按其响应程度计0～5分。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投标人提供2022年1月1日至今同类项目业绩，业绩以合同为依据，投标文件中附有其证明资料，每提供一个业绩证明计1分，满分6分。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报价方式：下浮率。 评标基准下浮率：满足招标文件要求的有效投标报价中下浮率最高报价为评标基准下浮率，即其报价得分为30分，价格分计算公式：报价得分= (1-评价基准下浮率）/(1-投标下浮率）×30 （最后得分取小数点后两位）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