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98A8B"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宋体" w:hAnsi="宋体" w:cs="宋体"/>
          <w:b/>
          <w:spacing w:val="6"/>
          <w:sz w:val="28"/>
          <w:szCs w:val="28"/>
          <w:highlight w:val="none"/>
          <w:lang w:val="en-US" w:eastAsia="zh-CN"/>
        </w:rPr>
        <w:t>具有独立承担民事责任能力</w:t>
      </w:r>
    </w:p>
    <w:p w14:paraId="329C702E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企业法人应提供合法有效的标识有统一社会信用代码的营业执照；事业法人应提供事业单位法人证书；其他组织应提供合法登记证明文件，自然人提供身份证。</w:t>
      </w:r>
    </w:p>
    <w:p w14:paraId="3D3270DD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p w14:paraId="26420A73">
      <w:pPr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49F72CE2"/>
    <w:rsid w:val="01146ECB"/>
    <w:rsid w:val="1E3F0D8E"/>
    <w:rsid w:val="49F72CE2"/>
    <w:rsid w:val="50D61E8E"/>
    <w:rsid w:val="5842572D"/>
    <w:rsid w:val="6D96525D"/>
    <w:rsid w:val="711B525F"/>
    <w:rsid w:val="73D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华采</cp:lastModifiedBy>
  <dcterms:modified xsi:type="dcterms:W3CDTF">2025-06-26T09:26:25Z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