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版本号：FHGJ-2025-0810.1B120250825001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铜川实验中学餐厅改造维修(二次)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FHGJ-2025-0810.1B1</w:t>
      </w:r>
      <w:r>
        <w:br/>
      </w:r>
      <w:r>
        <w:br/>
      </w:r>
      <w:r>
        <w:br/>
      </w:r>
    </w:p>
    <w:p>
      <w:pPr>
        <w:pStyle w:val="null3"/>
        <w:jc w:val="center"/>
        <w:outlineLvl w:val="2"/>
      </w:pPr>
      <w:r>
        <w:rPr>
          <w:rFonts w:ascii="仿宋_GB2312" w:hAnsi="仿宋_GB2312" w:cs="仿宋_GB2312" w:eastAsia="仿宋_GB2312"/>
          <w:sz w:val="28"/>
          <w:b/>
        </w:rPr>
        <w:t>铜川市实验中学</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铜川市实验中学</w:t>
      </w:r>
      <w:r>
        <w:rPr>
          <w:rFonts w:ascii="仿宋_GB2312" w:hAnsi="仿宋_GB2312" w:cs="仿宋_GB2312" w:eastAsia="仿宋_GB2312"/>
        </w:rPr>
        <w:t>委托，拟对</w:t>
      </w:r>
      <w:r>
        <w:rPr>
          <w:rFonts w:ascii="仿宋_GB2312" w:hAnsi="仿宋_GB2312" w:cs="仿宋_GB2312" w:eastAsia="仿宋_GB2312"/>
        </w:rPr>
        <w:t>铜川实验中学餐厅改造维修(二次)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FHGJ-2025-0810.1B1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铜川实验中学餐厅改造维修(二次)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校舍维修改造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采购包1（铜川实验中学餐厅改造维修）：属于专门面向中小企业采购。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及项目经理资格要求：投标人须具有建筑工程专业承包三级及以上资质，并具有有效的安全生产许可证；拟派项目经理须具有房建专业二级及以上注册建造师证书和有效的安全生产考核合格证书（B证）</w:t>
      </w:r>
    </w:p>
    <w:p>
      <w:pPr>
        <w:pStyle w:val="null3"/>
      </w:pPr>
      <w:r>
        <w:rPr>
          <w:rFonts w:ascii="仿宋_GB2312" w:hAnsi="仿宋_GB2312" w:cs="仿宋_GB2312" w:eastAsia="仿宋_GB2312"/>
        </w:rPr>
        <w:t>2、主体经营资格：投标人须为合法注册的法人、其他组织或者自然人，并具有独立承担民事责任的能力，且具备向采购人提供相关货物和服务的能力；提供统一社会信用代码的营业执照（或事业法人证、自然人身份证）等合法证明文件</w:t>
      </w:r>
    </w:p>
    <w:p>
      <w:pPr>
        <w:pStyle w:val="null3"/>
      </w:pPr>
      <w:r>
        <w:rPr>
          <w:rFonts w:ascii="仿宋_GB2312" w:hAnsi="仿宋_GB2312" w:cs="仿宋_GB2312" w:eastAsia="仿宋_GB2312"/>
        </w:rPr>
        <w:t>3、财务状况：投标人须提供2023/2024年度财务审计报告或其投标截止时间前三个月内其开户银行出具的资信证明（附开户许可证或开户备案证明）；</w:t>
      </w:r>
    </w:p>
    <w:p>
      <w:pPr>
        <w:pStyle w:val="null3"/>
      </w:pPr>
      <w:r>
        <w:rPr>
          <w:rFonts w:ascii="仿宋_GB2312" w:hAnsi="仿宋_GB2312" w:cs="仿宋_GB2312" w:eastAsia="仿宋_GB2312"/>
        </w:rPr>
        <w:t>4、社会保障资金缴纳要求：提供递交投标文件截止之日前一年内任意3个月的社会保障资金缴存单据或社保机构开具的社会保险参保缴费情况证明。依法不需要缴纳社会保障资金的供应商应提供相关声明或承诺。</w:t>
      </w:r>
    </w:p>
    <w:p>
      <w:pPr>
        <w:pStyle w:val="null3"/>
      </w:pPr>
      <w:r>
        <w:rPr>
          <w:rFonts w:ascii="仿宋_GB2312" w:hAnsi="仿宋_GB2312" w:cs="仿宋_GB2312" w:eastAsia="仿宋_GB2312"/>
        </w:rPr>
        <w:t>5、税收缴纳证明：提供递交投标文件截止之日前一年内任意3个月的依法缴纳税收的相关凭据（时间以税款所属日期为准、税种须为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6、履约能力的书面要求：提供具有履行合同所必需的设备和专业技术能力的书面声明。</w:t>
      </w:r>
    </w:p>
    <w:p>
      <w:pPr>
        <w:pStyle w:val="null3"/>
      </w:pPr>
      <w:r>
        <w:rPr>
          <w:rFonts w:ascii="仿宋_GB2312" w:hAnsi="仿宋_GB2312" w:cs="仿宋_GB2312" w:eastAsia="仿宋_GB2312"/>
        </w:rPr>
        <w:t>7、信用记录：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8、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rFonts w:ascii="仿宋_GB2312" w:hAnsi="仿宋_GB2312" w:cs="仿宋_GB2312" w:eastAsia="仿宋_GB2312"/>
        </w:rPr>
        <w:t>9、中小企业声明函：本项目专门面向中小企业采购，投标人应为中小企业（残疾人福利性单位及监狱企业视同小型、微型企业），投标人须提供中小企业声明函（如有虚假，将依法承担相应责任）；</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铜川市实验中学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铜川市耀州区大唐五路与旺旺路交叉口东 200 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田盼盼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0919-3235031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陕西省西安市碑林区长安北路113号大话南门壹中心13楼1309室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焦敏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18966511108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采购包1：2,305,412.00元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关于印发《招标代理服务收费管理暂行办法》的通知(计价格〔2002〕1980号）及《国家发展改革委办公厅关于招标代理服务收费有关问题的通知》（发改办价格〔2003〕857号）文件规定的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铜川市实验中学</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铜川市实验中学</w:t>
      </w:r>
      <w:r>
        <w:rPr>
          <w:rFonts w:ascii="仿宋_GB2312" w:hAnsi="仿宋_GB2312" w:cs="仿宋_GB2312" w:eastAsia="仿宋_GB2312"/>
        </w:rPr>
        <w:t>负责解释。除上述磋商文件内容，其他内容由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铜川市实验中学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联系人：焦敏</w:t>
      </w:r>
    </w:p>
    <w:p>
      <w:pPr>
        <w:pStyle w:val="null3"/>
      </w:pPr>
      <w:r>
        <w:rPr>
          <w:rFonts w:ascii="仿宋_GB2312" w:hAnsi="仿宋_GB2312" w:cs="仿宋_GB2312" w:eastAsia="仿宋_GB2312"/>
        </w:rPr>
        <w:t>联系电话：18966511108</w:t>
      </w:r>
    </w:p>
    <w:p>
      <w:pPr>
        <w:pStyle w:val="null3"/>
      </w:pPr>
      <w:r>
        <w:rPr>
          <w:rFonts w:ascii="仿宋_GB2312" w:hAnsi="仿宋_GB2312" w:cs="仿宋_GB2312" w:eastAsia="仿宋_GB2312"/>
        </w:rPr>
        <w:t>地址：陕西省西安市碑林区长安北路113号大话南门壹中心13楼1309室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2,305,412.00</w:t>
      </w:r>
    </w:p>
    <w:p>
      <w:pPr>
        <w:pStyle w:val="null3"/>
      </w:pPr>
      <w:r>
        <w:rPr>
          <w:rFonts w:ascii="仿宋_GB2312" w:hAnsi="仿宋_GB2312" w:cs="仿宋_GB2312" w:eastAsia="仿宋_GB2312"/>
        </w:rPr>
        <w:t>采购包最高限价（元）: 2,305,412.00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铜川市实验中学餐厅改造维修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2,305,412.00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标的名称：铜川市实验中学餐厅改造维修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工程量清单详见附件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企业资质及项目经理资格要求</w:t>
            </w:r>
          </w:p>
        </w:tc>
        <w:tc>
          <w:tcPr>
            <w:tcW w:type="dxa" w:w="3322"/>
          </w:tcPr>
          <w:p>
            <w:pPr>
              <w:pStyle w:val="null3"/>
            </w:pPr>
            <w:r>
              <w:rPr>
                <w:rFonts w:ascii="仿宋_GB2312" w:hAnsi="仿宋_GB2312" w:cs="仿宋_GB2312" w:eastAsia="仿宋_GB2312"/>
              </w:rPr>
              <w:t>投标人须具有建筑工程专业承包三级及以上资质，并具有有效的安全生产许可证；拟派项目经理须具有房建专业二级及以上注册建造师证书和有效的安全生产考核合格证书（B证）</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投标人须为合法注册的法人、其他组织或者自然人，并具有独立承担民事责任的能力，且具备向采购人提供相关货物和服务的能力；提供统一社会信用代码的营业执照（或事业法人证、自然人身份证）等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投标人须提供2023/2024年度财务审计报告或其投标截止时间前三个月内其开户银行出具的资信证明（附开户许可证或开户备案证明）；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社会保障资金缴纳要求</w:t>
            </w:r>
          </w:p>
        </w:tc>
        <w:tc>
          <w:tcPr>
            <w:tcW w:type="dxa" w:w="3322"/>
          </w:tcPr>
          <w:p>
            <w:pPr>
              <w:pStyle w:val="null3"/>
            </w:pPr>
            <w:r>
              <w:rPr>
                <w:rFonts w:ascii="仿宋_GB2312" w:hAnsi="仿宋_GB2312" w:cs="仿宋_GB2312" w:eastAsia="仿宋_GB2312"/>
              </w:rPr>
              <w:t>提供递交投标文件截止之日前一年内任意3个月的社会保障资金缴存单据或社保机构开具的社会保险参保缴费情况证明。依法不需要缴纳社会保障资金的供应商应提供相关声明或承诺。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3个月的依法缴纳税收的相关凭据（时间以税款所属日期为准、税种须为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履约能力的书面要求</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本项目专门面向中小企业采购，投标人应为中小企业（残疾人福利性单位及监狱企业视同小型、微型企业），投标人须提供中小企业声明函（如有虚假，将依法承担相应责任）；</w:t>
            </w:r>
          </w:p>
        </w:tc>
        <w:tc>
          <w:tcPr>
            <w:tcW w:type="dxa" w:w="1661"/>
          </w:tcPr>
          <w:p>
            <w:pPr>
              <w:pStyle w:val="null3"/>
            </w:pPr>
            <w:r>
              <w:rPr>
                <w:rFonts w:ascii="仿宋_GB2312" w:hAnsi="仿宋_GB2312" w:cs="仿宋_GB2312" w:eastAsia="仿宋_GB2312"/>
              </w:rPr>
              <w:t>中小企业声明函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投标文件的签章均符合招标文件要求，且无遗漏。</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同时满足以下条款：（1）货币单位符合招标文件要求 ；（2）报价符合唯一性要求； （3）未超出采购预算或最高限价 ；（4）符合《开标一览表》、《分项报价表》及《标的清单》的填报要求</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完全理解并接受招标文件《合同文本》条款的要求，且未有采购人不能接受的附加条件的。</w:t>
            </w:r>
          </w:p>
        </w:tc>
        <w:tc>
          <w:tcPr>
            <w:tcW w:type="dxa" w:w="1661"/>
          </w:tcPr>
          <w:p>
            <w:pPr>
              <w:pStyle w:val="null3"/>
            </w:pPr>
            <w:r>
              <w:rPr>
                <w:rFonts w:ascii="仿宋_GB2312" w:hAnsi="仿宋_GB2312" w:cs="仿宋_GB2312" w:eastAsia="仿宋_GB2312"/>
              </w:rPr>
              <w:t>报价函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项目总体施工方案</w:t>
            </w:r>
          </w:p>
        </w:tc>
        <w:tc>
          <w:tcPr>
            <w:tcW w:type="dxa" w:w="2492"/>
          </w:tcPr>
          <w:p>
            <w:pPr>
              <w:pStyle w:val="null3"/>
            </w:pPr>
            <w:r>
              <w:rPr>
                <w:rFonts w:ascii="仿宋_GB2312" w:hAnsi="仿宋_GB2312" w:cs="仿宋_GB2312" w:eastAsia="仿宋_GB2312"/>
              </w:rPr>
              <w:t>施工组织安排合理、施工部署全面有效、施工工艺明确。安排合理部署全面有效、工艺先进得10.1-20.0分，组织安排较合理、部署较有效、工艺较先进得 0-10.0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拟派项目经理、技术负责人、施工员、质量员、安全员、材料员、资料员等人员配备合理、工种齐全、职位分明并提供人员相关证明材料。人员安排工种齐全、配置合理、满足施工要求，最高得 10.0 分，每减少 1 名扣 0.5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总工期满足磋商文件要求，有合理压缩节点工期分析，有科学合理补救延误工期的措施，从而确保总工期的技术组织措施。科学、合理、措施详细得5.1-10.0分；较为完善得0-5.0分。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确保工程质量的技术措施</w:t>
            </w:r>
          </w:p>
        </w:tc>
        <w:tc>
          <w:tcPr>
            <w:tcW w:type="dxa" w:w="2492"/>
          </w:tcPr>
          <w:p>
            <w:pPr>
              <w:pStyle w:val="null3"/>
            </w:pPr>
            <w:r>
              <w:rPr>
                <w:rFonts w:ascii="仿宋_GB2312" w:hAnsi="仿宋_GB2312" w:cs="仿宋_GB2312" w:eastAsia="仿宋_GB2312"/>
              </w:rPr>
              <w:t>质量目标明确，管理体系健全，质量管理组织体系、措施完善质量管理措施科学、合理。由磋商小组根据情况自主打分。质量措施科学、合理得8.1-15.0分；措施较为合理得0-8.0分。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确保安全文明降低环境污染的技术组织措施</w:t>
            </w:r>
          </w:p>
        </w:tc>
        <w:tc>
          <w:tcPr>
            <w:tcW w:type="dxa" w:w="2492"/>
          </w:tcPr>
          <w:p>
            <w:pPr>
              <w:pStyle w:val="null3"/>
            </w:pPr>
            <w:r>
              <w:rPr>
                <w:rFonts w:ascii="仿宋_GB2312" w:hAnsi="仿宋_GB2312" w:cs="仿宋_GB2312" w:eastAsia="仿宋_GB2312"/>
              </w:rPr>
              <w:t>有详细合理可行的安全施工、文明施工、降低环境污染的管理制度及措施；科学、合理得6.1-10.0分；较为完善的0-6.0分。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供应商近年（2022年01月01日至今）类似项目业绩，提供中标通知书或合同（以中标通知书或合同签订时间为准） 每提供一个计得2.5分，满分5分。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磋商报价得分=（磋商基准价/最后磋商报价）×价格权值×100 依据《政府采购竞争性磋商采购方式管理暂行办法》的有关规定，将满足竞争性磋商文件要求且第二次（最终）磋商报价最低的供应商的价格为磋商基准价，其价格分为满分。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详见附件：竞争性磋商工程合同模板.docx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