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版本号：JX-TC-2025-05.1B120250923001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变压器增容配套工程项目(二次)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JX-TC-2025-05.1B1</w:t>
      </w:r>
      <w:r>
        <w:br/>
      </w:r>
      <w:r>
        <w:br/>
      </w:r>
      <w:r>
        <w:br/>
      </w:r>
    </w:p>
    <w:p>
      <w:pPr>
        <w:pStyle w:val="null3"/>
        <w:jc w:val="center"/>
        <w:outlineLvl w:val="2"/>
      </w:pPr>
      <w:r>
        <w:rPr>
          <w:rFonts w:ascii="仿宋_GB2312" w:hAnsi="仿宋_GB2312" w:cs="仿宋_GB2312" w:eastAsia="仿宋_GB2312"/>
          <w:sz w:val="28"/>
          <w:b/>
        </w:rPr>
        <w:t>铜川职业技术学院</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铜川职业技术学院</w:t>
      </w:r>
      <w:r>
        <w:rPr>
          <w:rFonts w:ascii="仿宋_GB2312" w:hAnsi="仿宋_GB2312" w:cs="仿宋_GB2312" w:eastAsia="仿宋_GB2312"/>
        </w:rPr>
        <w:t>委托，拟对</w:t>
      </w:r>
      <w:r>
        <w:rPr>
          <w:rFonts w:ascii="仿宋_GB2312" w:hAnsi="仿宋_GB2312" w:cs="仿宋_GB2312" w:eastAsia="仿宋_GB2312"/>
        </w:rPr>
        <w:t>变压器增容配套工程项目(二次)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JX-TC-2025-05.1B1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变压器增容配套工程项目(二次)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变压器增容配套工程（详见清单）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采购包1（变压器增容配套工程项目）：属于专门面向中小企业采购。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1、主体资格：法人或者其他组织的营业执照等证明文件或者自然人身份证明；供应商需在项目电子化交易系统中按要求上传相应证明文件并进行电子签章。</w:t>
      </w:r>
    </w:p>
    <w:p>
      <w:pPr>
        <w:pStyle w:val="null3"/>
      </w:pPr>
      <w:r>
        <w:rPr>
          <w:rFonts w:ascii="仿宋_GB2312" w:hAnsi="仿宋_GB2312" w:cs="仿宋_GB2312" w:eastAsia="仿宋_GB2312"/>
        </w:rPr>
        <w:t>2、企业资质：供应商须具备建设行政主管部门颁发的电力工程施工总承包三级及以上资质并具有有效的安全生产许可证、具有承装（修、试）电力设施许可证（承装类、承修类、承试类）三级及以上资质（或旧证承装（修、试）电力设施许可证（承装类、承修类、承试类）四级及以上资质）；并在人员、设备、资金等方面具备相应的施工能力；供应商需在项目电子化交易系统中按要求上传相应证明文件并进行电子签章。</w:t>
      </w:r>
    </w:p>
    <w:p>
      <w:pPr>
        <w:pStyle w:val="null3"/>
      </w:pPr>
      <w:r>
        <w:rPr>
          <w:rFonts w:ascii="仿宋_GB2312" w:hAnsi="仿宋_GB2312" w:cs="仿宋_GB2312" w:eastAsia="仿宋_GB2312"/>
        </w:rPr>
        <w:t>3、拟派项目经理：需具备机电工程专业注册建造师证书二级及以上资质，同时需取得安全生产考核合格证书（B 证）；且无在建工程且在本单位注册；供应商需在项目电子化交易系统中按要求上传相应证明文件并进行电子签章。</w:t>
      </w:r>
    </w:p>
    <w:p>
      <w:pPr>
        <w:pStyle w:val="null3"/>
      </w:pPr>
      <w:r>
        <w:rPr>
          <w:rFonts w:ascii="仿宋_GB2312" w:hAnsi="仿宋_GB2312" w:cs="仿宋_GB2312" w:eastAsia="仿宋_GB2312"/>
        </w:rPr>
        <w:t>4、社会保障资金缴纳证明：自2025年1月到开标截止日前任意一个月的社会保障资金缴存单据或税收机构开具的完税证明；单据或证明上应有社保机构或代收机构的公章或业务专用章。依法不需要缴纳社会保障资金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5、税收缴纳证明：自2025年1月到开标截止日前任意一个月的完税证明或缴存单据，完税证明或缴存单据上应有代收机构或税务机关的公章或业务专用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6、无重大违法记录：参加政府采购活动前三年内在经营活动中没有重大违法记录的书面声明；供应商需在项目电子化交易系统中按要求上传相应证明文件并进行电子签章。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8、供应商基本信息要求：供应商基本信息【企业资质信息（承装（修 、试）电力设施许可证除外），项目经理执业信息】应在“陕西建设网(http://js.shaanxi.gov.cn/ )陕西省建筑市场监管与诚信信息发布平台”可查询；供应商如为外省进陕企业，须提供陕西省住房和城乡建设厅官网企业库外省进陕企业信息首页截图。供应商需在项目电子化交易系统中按要求上传相应证明文件并进行电子签章。</w:t>
      </w:r>
    </w:p>
    <w:p>
      <w:pPr>
        <w:pStyle w:val="null3"/>
      </w:pPr>
      <w:r>
        <w:rPr>
          <w:rFonts w:ascii="仿宋_GB2312" w:hAnsi="仿宋_GB2312" w:cs="仿宋_GB2312" w:eastAsia="仿宋_GB2312"/>
        </w:rPr>
        <w:t>9、本项目不接受联合体：提供非联合体声明；供应商需在项目电子化交易系统中按要求上传相应证明文件并进行电子签章。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陈帮贵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0919-3589350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陕西省西安市碑林区南二环路79号广丰国际大厦II区906室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18161791282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采购包1：905,029.00元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代理服务费收费标准：按国家计委颁布的《招标代理服务收费管理暂行办法》（计价格[2002]1980号）及发改办价格[2003]857号文件计取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铜川职业技术学院</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联系人：李伟</w:t>
      </w:r>
    </w:p>
    <w:p>
      <w:pPr>
        <w:pStyle w:val="null3"/>
      </w:pPr>
      <w:r>
        <w:rPr>
          <w:rFonts w:ascii="仿宋_GB2312" w:hAnsi="仿宋_GB2312" w:cs="仿宋_GB2312" w:eastAsia="仿宋_GB2312"/>
        </w:rPr>
        <w:t>联系电话：18161791282</w:t>
      </w:r>
    </w:p>
    <w:p>
      <w:pPr>
        <w:pStyle w:val="null3"/>
      </w:pPr>
      <w:r>
        <w:rPr>
          <w:rFonts w:ascii="仿宋_GB2312" w:hAnsi="仿宋_GB2312" w:cs="仿宋_GB2312" w:eastAsia="仿宋_GB2312"/>
        </w:rPr>
        <w:t>地址：陕西省西安市碑林区南二环路79号广丰国际大厦II区906室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905,029.00</w:t>
      </w:r>
    </w:p>
    <w:p>
      <w:pPr>
        <w:pStyle w:val="null3"/>
      </w:pPr>
      <w:r>
        <w:rPr>
          <w:rFonts w:ascii="仿宋_GB2312" w:hAnsi="仿宋_GB2312" w:cs="仿宋_GB2312" w:eastAsia="仿宋_GB2312"/>
        </w:rPr>
        <w:t>采购包最高限价（元）: 905,029.00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铜川职业技术学院变压器增容配套工程项目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905,029.00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标的名称：铜川职业技术学院变压器增容配套工程项目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1、建设单位：铜川职业技术学院；</w:t>
            </w:r>
          </w:p>
          <w:p>
            <w:pPr>
              <w:pStyle w:val="null3"/>
            </w:pPr>
            <w:r>
              <w:rPr>
                <w:rFonts w:ascii="仿宋_GB2312" w:hAnsi="仿宋_GB2312" w:cs="仿宋_GB2312" w:eastAsia="仿宋_GB2312"/>
              </w:rPr>
              <w:t>2、建设地点：铜川职业技术学院院内；</w:t>
            </w:r>
          </w:p>
          <w:p>
            <w:pPr>
              <w:pStyle w:val="null3"/>
            </w:pPr>
            <w:r>
              <w:rPr>
                <w:rFonts w:ascii="仿宋_GB2312" w:hAnsi="仿宋_GB2312" w:cs="仿宋_GB2312" w:eastAsia="仿宋_GB2312"/>
              </w:rPr>
              <w:t>3、工程概况：铜川职业技术学院变压器增容配套工程项目（具体内容详见清单）。</w:t>
            </w:r>
          </w:p>
          <w:p>
            <w:pPr>
              <w:pStyle w:val="null3"/>
            </w:pPr>
            <w:r>
              <w:rPr>
                <w:rFonts w:ascii="仿宋_GB2312" w:hAnsi="仿宋_GB2312" w:cs="仿宋_GB2312" w:eastAsia="仿宋_GB2312"/>
              </w:rPr>
              <w:t>4、工期：自合同签订之日起30日历日内完成。</w:t>
            </w:r>
          </w:p>
          <w:p>
            <w:pPr>
              <w:pStyle w:val="null3"/>
            </w:pPr>
            <w:r>
              <w:rPr>
                <w:rFonts w:ascii="仿宋_GB2312" w:hAnsi="仿宋_GB2312" w:cs="仿宋_GB2312" w:eastAsia="仿宋_GB2312"/>
              </w:rPr>
              <w:t>二、质量标准</w:t>
            </w:r>
          </w:p>
          <w:p>
            <w:pPr>
              <w:pStyle w:val="null3"/>
            </w:pPr>
            <w:r>
              <w:rPr>
                <w:rFonts w:ascii="仿宋_GB2312" w:hAnsi="仿宋_GB2312" w:cs="仿宋_GB2312" w:eastAsia="仿宋_GB2312"/>
              </w:rPr>
              <w:t>1、工程质量：必须达到国家现行施工验收规范“合格”标准。</w:t>
            </w:r>
          </w:p>
          <w:p>
            <w:pPr>
              <w:pStyle w:val="null3"/>
            </w:pPr>
            <w:r>
              <w:rPr>
                <w:rFonts w:ascii="仿宋_GB2312" w:hAnsi="仿宋_GB2312" w:cs="仿宋_GB2312" w:eastAsia="仿宋_GB2312"/>
              </w:rPr>
              <w:t>2、如工程质量达不到约定条件的部分，一经发现。可要求中标人返工，直至达到合同约定条件，并由中标人承担返工费用。经两次以上返工后仍达不到约定标准，采购人有权终止中标人继续施工资格，并拒付中标人已完工项目工程款。</w:t>
            </w:r>
          </w:p>
          <w:p>
            <w:pPr>
              <w:pStyle w:val="null3"/>
            </w:pPr>
            <w:r>
              <w:rPr>
                <w:rFonts w:ascii="仿宋_GB2312" w:hAnsi="仿宋_GB2312" w:cs="仿宋_GB2312" w:eastAsia="仿宋_GB2312"/>
              </w:rPr>
              <w:t>3、工程保修期：自竣工验收合格之日起2年。</w:t>
            </w:r>
          </w:p>
          <w:p>
            <w:pPr>
              <w:pStyle w:val="null3"/>
            </w:pPr>
            <w:r>
              <w:rPr>
                <w:rFonts w:ascii="仿宋_GB2312" w:hAnsi="仿宋_GB2312" w:cs="仿宋_GB2312" w:eastAsia="仿宋_GB2312"/>
              </w:rPr>
              <w:t>三、施工技术规范</w:t>
            </w:r>
          </w:p>
          <w:p>
            <w:pPr>
              <w:pStyle w:val="null3"/>
            </w:pPr>
            <w:r>
              <w:rPr>
                <w:rFonts w:ascii="仿宋_GB2312" w:hAnsi="仿宋_GB2312" w:cs="仿宋_GB2312" w:eastAsia="仿宋_GB2312"/>
              </w:rPr>
              <w:t>1、本项目施工应符合国家有关建设标准强制性条文和国家或有关部门对建筑施工等方面现行的标准、规范、规程、定额、办法、示例。</w:t>
            </w:r>
          </w:p>
          <w:p>
            <w:pPr>
              <w:pStyle w:val="null3"/>
            </w:pPr>
            <w:r>
              <w:rPr>
                <w:rFonts w:ascii="仿宋_GB2312" w:hAnsi="仿宋_GB2312" w:cs="仿宋_GB2312" w:eastAsia="仿宋_GB2312"/>
              </w:rPr>
              <w:t>2、中标人在施工过程中使用或参考上述标准、规范以外的技术标准、规范时，应征得采购人或采购人指定代表人的同意。</w:t>
            </w:r>
          </w:p>
          <w:p>
            <w:pPr>
              <w:pStyle w:val="null3"/>
            </w:pPr>
            <w:r>
              <w:rPr>
                <w:rFonts w:ascii="仿宋_GB2312" w:hAnsi="仿宋_GB2312" w:cs="仿宋_GB2312" w:eastAsia="仿宋_GB2312"/>
              </w:rPr>
              <w:t>3、在施工过程中，如果国家或有关部门颁布了新的技术标准或规范，则中标人应采用新的标准或规范进行施工。</w:t>
            </w:r>
          </w:p>
          <w:p>
            <w:pPr>
              <w:pStyle w:val="null3"/>
            </w:pPr>
            <w:r>
              <w:rPr>
                <w:rFonts w:ascii="仿宋_GB2312" w:hAnsi="仿宋_GB2312" w:cs="仿宋_GB2312" w:eastAsia="仿宋_GB2312"/>
              </w:rPr>
              <w:t>四、对成交投标人建设工程施工安全生产、环境保护要求</w:t>
            </w:r>
          </w:p>
          <w:p>
            <w:pPr>
              <w:pStyle w:val="null3"/>
            </w:pPr>
            <w:r>
              <w:rPr>
                <w:rFonts w:ascii="仿宋_GB2312" w:hAnsi="仿宋_GB2312" w:cs="仿宋_GB2312" w:eastAsia="仿宋_GB2312"/>
              </w:rPr>
              <w:t>1、中标人应当具备《中华人民共和国安全生产法》和有关法律、法规和国家标准或行业标准规定的安全生产条件。安全操作规程、生产安全制度和具体的安全措施。努力实现“零职业病、零事故、零污染”的安全环保生产业绩目标。</w:t>
            </w:r>
          </w:p>
          <w:p>
            <w:pPr>
              <w:pStyle w:val="null3"/>
            </w:pPr>
            <w:r>
              <w:rPr>
                <w:rFonts w:ascii="仿宋_GB2312" w:hAnsi="仿宋_GB2312" w:cs="仿宋_GB2312" w:eastAsia="仿宋_GB2312"/>
              </w:rPr>
              <w:t>2、遵照预防为主的原则，做到建设工程施工和环境保护并举，推行清洁生产，实现环境污染全过程控制。</w:t>
            </w:r>
          </w:p>
          <w:p>
            <w:pPr>
              <w:pStyle w:val="null3"/>
            </w:pPr>
            <w:r>
              <w:rPr>
                <w:rFonts w:ascii="仿宋_GB2312" w:hAnsi="仿宋_GB2312" w:cs="仿宋_GB2312" w:eastAsia="仿宋_GB2312"/>
              </w:rPr>
              <w:t>3、预防、控制和消除职业危害，保护员工健康，以确保工程项目的安全生产。</w:t>
            </w:r>
          </w:p>
          <w:p>
            <w:pPr>
              <w:pStyle w:val="null3"/>
            </w:pPr>
            <w:r>
              <w:rPr>
                <w:rFonts w:ascii="仿宋_GB2312" w:hAnsi="仿宋_GB2312" w:cs="仿宋_GB2312" w:eastAsia="仿宋_GB2312"/>
              </w:rPr>
              <w:t>五、施工材料要求</w:t>
            </w:r>
          </w:p>
          <w:p>
            <w:pPr>
              <w:pStyle w:val="null3"/>
            </w:pPr>
            <w:r>
              <w:rPr>
                <w:rFonts w:ascii="仿宋_GB2312" w:hAnsi="仿宋_GB2312" w:cs="仿宋_GB2312" w:eastAsia="仿宋_GB2312"/>
              </w:rPr>
              <w:t>1、中标人供应的材料应按规定按时、按质、按量供应，必须附有产品合格证或质量检验证书才能用于工程。</w:t>
            </w:r>
          </w:p>
          <w:p>
            <w:pPr>
              <w:pStyle w:val="null3"/>
            </w:pPr>
            <w:r>
              <w:rPr>
                <w:rFonts w:ascii="仿宋_GB2312" w:hAnsi="仿宋_GB2312" w:cs="仿宋_GB2312" w:eastAsia="仿宋_GB2312"/>
              </w:rPr>
              <w:t>2、中标人所进场的各种原材料、设备必须有出厂合格证书，试验、化验报告单，使用说明，检测、检验报告和设备验收标准。采购人可以随机抽检原材料和设备，并有权对其进行化验、检测（化验、检测的费用由成交供应商承担），不合格的材料、设备不允许进场使用。</w:t>
            </w:r>
          </w:p>
          <w:p>
            <w:pPr>
              <w:pStyle w:val="null3"/>
            </w:pPr>
            <w:r>
              <w:rPr>
                <w:rFonts w:ascii="仿宋_GB2312" w:hAnsi="仿宋_GB2312" w:cs="仿宋_GB2312" w:eastAsia="仿宋_GB2312"/>
              </w:rPr>
              <w:t>3、因材料质量不合格所造成的损失（包括仓库保管费）由材料采购方负责。</w:t>
            </w:r>
          </w:p>
          <w:p>
            <w:pPr>
              <w:pStyle w:val="null3"/>
            </w:pPr>
            <w:r>
              <w:rPr>
                <w:rFonts w:ascii="仿宋_GB2312" w:hAnsi="仿宋_GB2312" w:cs="仿宋_GB2312" w:eastAsia="仿宋_GB2312"/>
              </w:rPr>
              <w:t>4、根据工程需要，经采购人代表签证，中标人可使用代用材料。因采购人原因使用时，由采购人承担増加的经济支出，因中标人原因使用时，由中标人承担增加的费用。</w:t>
            </w:r>
          </w:p>
          <w:p>
            <w:pPr>
              <w:pStyle w:val="null3"/>
            </w:pPr>
            <w:r>
              <w:rPr>
                <w:rFonts w:ascii="仿宋_GB2312" w:hAnsi="仿宋_GB2312" w:cs="仿宋_GB2312" w:eastAsia="仿宋_GB2312"/>
              </w:rPr>
              <w:t>5、材料供应不及时造成停工待料时，其停、窝工损失中标人承担。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 工程量清单说明 1.1工程量清单说明 1.1.1本工程量清单应与投标人须知、合同条款、工程技术规范及图纸等文件结合起来查阅与理解。 1.1.2本工程量清单是依据《陕西省建设工程工程量清单计价规则》（2025）编制的，为招标文件的组成部分，一经中标且签订合同，即成为合同的组成部分。 1.1.3工程量清单中各项金额均以人民币（元）结算。 1.1.4投标人不得随意改动分部分项工程量清单的编码和工程数量以及费用组成格式，评标时均按招标人所发的工程量清单进行检查和评比，由于投标人对此项目的改动引起的错误，此投标文件按无效标处理。 1.2电子标书说明 1.2.1 投标人按招标文件电子版的内容和要求编制投标文件电子标书； 1.2.2投标文件电子版是投标文件的组成部分，投标人应无条件使用招标人所发的电子版格式，投标人不报送或不按统一规定填报电子投标文件，将按无效投标处理。 2.投标报价说明 2.1 本报价是依据本工程招标文件的投标须知、合同文件、工程建设标准、图纸、工程量清单和答疑纪要及其它有关文件进行编制。 2.2 本工程量清单计价表中的工程量是按发包人所发的工程量清单中的数量计取的，施工中出现的工程量差异按合同规定的办法进行结算。 2.3 本清单中没有填写的项目的费用，视为已包括在其他项目之中。 3. 其他说明： 3.1报价预算版本：广联达云计价平台GCCP7.0； 4. 工程量清单 工程量清单以电子招标书为准。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供应商完整的全套财务报表（应当包括资产负债表、利润表、现金流量表、所有者权益变动表、附注及财务情况说明），②可提供截至投标文件提交截止日一年内银行出具的资信证明及银行基本账户信息，③供应商注册时间截至投标文件提交截止日不足一年的，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法人或者其他组织的营业执照等证明文件或者自然人身份证明；供应商需在项目电子化交易系统中按要求上传相应证明文件并进行电子签章。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电力工程施工总承包三级及以上资质并具有有效的安全生产许可证、具有承装（修、试）电力设施许可证（承装类、承修类、承试类）三级及以上资质（或旧证承装（修、试）电力设施许可证（承装类、承修类、承试类）四级及以上资质）；并在人员、设备、资金等方面具备相应的施工能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需具备机电工程专业注册建造师证书二级及以上资质，同时需取得安全生产考核合格证书（B 证）；且无在建工程且在本单位注册；供应商需在项目电子化交易系统中按要求上传相应证明文件并进行电子签章。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标的清单 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1月到开标截止日前任意一个月的社会保障资金缴存单据或税收机构开具的完税证明；单据或证明上应有社保机构或代收机构的公章或业务专用章。依法不需要缴纳社会保障资金的投标人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1月到开标截止日前任意一个月的完税证明或缴存单据，完税证明或缴存单据上应有代收机构或税务机关的公章或业务专用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供应商基本信息要求</w:t>
            </w:r>
          </w:p>
        </w:tc>
        <w:tc>
          <w:tcPr>
            <w:tcW w:type="dxa" w:w="3322"/>
          </w:tcPr>
          <w:p>
            <w:pPr>
              <w:pStyle w:val="null3"/>
            </w:pPr>
            <w:r>
              <w:rPr>
                <w:rFonts w:ascii="仿宋_GB2312" w:hAnsi="仿宋_GB2312" w:cs="仿宋_GB2312" w:eastAsia="仿宋_GB2312"/>
              </w:rPr>
              <w:t>供应商基本信息【企业资质信息（承装（修 、试）电力设施许可证除外），项目经理执业信息】应在“陕西建设网(http://js.shaanxi.gov.cn/ )陕西省建筑市场监管与诚信信息发布平台”可查询；供应商如为外省进陕企业，须提供陕西省住房和城乡建设厅官网企业库外省进陕企业信息首页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技术方案.docx 法人证明书.docx 已标价工程量清单 中小企业声明函 技术服务合同条款及其他商务要求应答表 供应商应提交的相关资格证明材料 强制优先采购产品承诺函 响应文件封面 法人授权书.docx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技术方案.docx 法人证明书.docx 已标价工程量清单 中小企业声明函 技术服务合同条款及其他商务要求应答表 供应商应提交的相关资格证明材料 强制优先采购产品承诺函 响应文件封面 法人授权书.docx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技术方案.docx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响应文件封面 法人授权书.docx 法人证明书.docx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技术方案.docx 法人证明书.docx 已标价工程量清单 中小企业声明函 技术服务合同条款及其他商务要求应答表 供应商应提交的相关资格证明材料 强制优先采购产品承诺函 法人授权书.docx 响应文件封面 项目管理机构组成表 残疾人福利性单位声明函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1.对本项目了解透彻，制定针对本项目的施工方案、方法与技术措施内容全面，施工工艺先进，对施工具有高度指导性，完全满足项目实施计 8 分； 2.对本项目了解，制定本项目的施工方案、方法与技术措施内容全面，施工工艺先进，对施工具有指导性，满足项目实施计 6 分； 3.施工方案可行，方法、措施得当，内容基本满足但不完善计 4 分； 4.施工方案、方法与技术措施的可行性、指导性较低，内容不详尽或不适用于本项目计 2 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1、技术组织措施详细，质量管理目标明确，质量保证承诺全面，质量保证措施经济性、合理性、可行性及针对性强得(4-5]分； 2、技术组织措施较详细，质量管理目标较明确，质量保证承诺较全面，质量保证措施经济性、合理性、可行性及针对性较强得(2-4]分； 3、技术组织措施基本详细，质量管理目标基本明确，质量保证承诺基本全面，质量保证措施经济性、合理性、可行性及针对性一般得(1-2]分； 4、技术组织措施不详细，质量管理目标不明确，质量保证承诺不全面，质量保证措施经济性、合理性、可行性及针对性差得(0-1]分； 5、未提供确保质量的技术组织措施不得分。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1.环境文明施工保证体系健全、完整，保证措施完善,完全满足项目实施计 6 分； 2.环境文明施工保证体系健全、完整，保证措施完善,满足项目实施计 4分； 3.环境文明施工保证体系基本健全、完善计 2 分； 4.环境文明施工保证体系不合理或未叙述者不计分。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1.项目风险预测与防范、事故应急预案考虑全面，切实可行操作性强，经济合理计 6 分； 2.项目风险预测与防范、事故应急预案考虑操作性不强计 4 分； 3.项目风险预测与防范、事故应急预案不合理计 2 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项目经理部组成及劳动力配备计划</w:t>
            </w:r>
          </w:p>
        </w:tc>
        <w:tc>
          <w:tcPr>
            <w:tcW w:type="dxa" w:w="2492"/>
          </w:tcPr>
          <w:p>
            <w:pPr>
              <w:pStyle w:val="null3"/>
            </w:pPr>
            <w:r>
              <w:rPr>
                <w:rFonts w:ascii="仿宋_GB2312" w:hAnsi="仿宋_GB2312" w:cs="仿宋_GB2312" w:eastAsia="仿宋_GB2312"/>
              </w:rPr>
              <w:t>1、项目经理部人员及劳动力配备计划合理，分工明确，职责清晰得(4-5]分； 2、项目经理部人员及劳动力配备计划较合理，分工较明确，职责较清晰得(2-4]分； 3、项目经理部人员及劳动力配备计划较合理，分工基本明确，职责较清晰得(1-2]分； 4、项目经理部人员及劳动力配备计划不合理，分工不明确，职责不清晰得(0-1]分； 5、未提供项目经理部组成及劳动力配备计划不得分。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1、技术组织措施详细，进度管理目标明确，工期进度保证措施经济性、合理性、可行性及针对性强得(4-5]分； 2、技术组织措施较详细，进度管理目标较明确，工期进度保证措施经济性、合理性、可行性及针对性较强得(2-4]分； 3、技术组织措施基本详细，进度管理目标基本明确，工期进度保证措施经济性、合理性、可行性及针对性一般得(1-2]分； 4、技术组织措施不详细，进度管理目标不明确，工期进度保证措施经济性、合理性、可行性及针对性差得(0-1]分； 5、未提供确保工期的技术组织措施不得分。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1.安全生产目标明确，预防和动态控制措施及制度完整、到位，管理体系和组织措施功能完善，安全经费投入明确,完全满足项目实施计 6 分； 2.安全生产目标明确，预防和动态控制措施及制度完整、到位，管理体系和组织措施功能完善，安全经费投入明确,满足项目实施计 4 分； 3.安全生产目标基本明确，控制措施及制度基本完善的计 2 分； 4.安全生产、文明施工管理体系及保证措施不合理或未叙述不计分。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1、施工设备配备齐全，针对性强，投入计划合理得(4-5]分； 2、施工设备配备较齐全，针对性较强，投入计划较合理得(2-4]分； 3、施工设备配备齐全，针对性一般，投入计划一般得(1-2]分； 4、施工设备配备不齐全，针对性差，投入计划不合理得(0-1]分； 5、未提供设备投入计划不得分。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施工进度表或网络计划图</w:t>
            </w:r>
          </w:p>
        </w:tc>
        <w:tc>
          <w:tcPr>
            <w:tcW w:type="dxa" w:w="2492"/>
          </w:tcPr>
          <w:p>
            <w:pPr>
              <w:pStyle w:val="null3"/>
            </w:pPr>
            <w:r>
              <w:rPr>
                <w:rFonts w:ascii="仿宋_GB2312" w:hAnsi="仿宋_GB2312" w:cs="仿宋_GB2312" w:eastAsia="仿宋_GB2312"/>
              </w:rPr>
              <w:t>1、施工进度表或网络计划图编制完整，整体及各阶段施工进度计划明确、科学合理，关键线路清晰、准确、完整，计划编制合理、规范，得(4-5]分； 2、施工进度表或网络计划图编制较完整，整体及各阶段施工进度计划较明确、科学合理，关键线路较清晰、较准确、较完整，计划编制较合理、规范，得(2-4]分； 3、施工进度表或网络计划图编制，整体及各阶段施工进度计划简单，关键线路一般、计划编制基本能满足本项目的要求的得(1-2]分； 4、施工进度表或网络计划图编制，整体及各阶段施工进度计划简单，关键线路模糊、计划编制较差的要求的得(0-1]分；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施工现场平面布置图</w:t>
            </w:r>
          </w:p>
        </w:tc>
        <w:tc>
          <w:tcPr>
            <w:tcW w:type="dxa" w:w="2492"/>
          </w:tcPr>
          <w:p>
            <w:pPr>
              <w:pStyle w:val="null3"/>
            </w:pPr>
            <w:r>
              <w:rPr>
                <w:rFonts w:ascii="仿宋_GB2312" w:hAnsi="仿宋_GB2312" w:cs="仿宋_GB2312" w:eastAsia="仿宋_GB2312"/>
              </w:rPr>
              <w:t>1、施工总平面布置图、平面布置合理，内容齐全，切实可行的得(4-5]分； 2、施工总平面布置图、平面布置较合理，内容较齐全，较切实可行的得(2-4]分； 3、施工总平面布置图、平面布置一般，内容一般的得(1-2]分； 4、施工总平面布置图、平面布置一般，内容较差的得(0-1]分；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针对项目特点提供切实可行的后续服务承诺。 1、承诺详细全面、指标明确，切实可行得(5-6]分； 2、承诺较详细、较全面、指标基本明确，可行性较强的得(3-5]分； 3、承诺内容一般、可行性一般得(1-3]分； 4、承诺不详细、指标不明确，可行性差得(0-1]分；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投标人需提供2023年9月1日以来独立承担过类似项目业绩，每个业绩计2分，最高计8分。 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价格分统一采用低价优先法计算，即满足磋商文件要求且最终报价最低的磋商评审价为磋商基准价，其价格分为满分。其他供应商的价格分统一按照下列公式计算： 有效报价得分=（磋商基准价/磋商评审价 ）×价格权值×100 备注：磋商评审价=最后磋商报价×（1-磋商报价折扣幅度）</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