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版本号：HRPD2025-090Z.1B120251011001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2025年度区煤炭安全监测中心设备运维采购项目(二次)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HRPD2025-090Z.1B1</w:t>
      </w:r>
      <w:r>
        <w:br/>
      </w:r>
      <w:r>
        <w:br/>
      </w:r>
      <w:r>
        <w:br/>
      </w:r>
    </w:p>
    <w:p>
      <w:pPr>
        <w:pStyle w:val="null3"/>
        <w:jc w:val="center"/>
        <w:outlineLvl w:val="2"/>
      </w:pPr>
      <w:r>
        <w:rPr>
          <w:rFonts w:ascii="仿宋_GB2312" w:hAnsi="仿宋_GB2312" w:cs="仿宋_GB2312" w:eastAsia="仿宋_GB2312"/>
          <w:sz w:val="28"/>
          <w:b/>
        </w:rPr>
        <w:t>铜川市印台区煤炭工业局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铜川市印台区煤炭工业局</w:t>
      </w:r>
      <w:r>
        <w:rPr>
          <w:rFonts w:ascii="仿宋_GB2312" w:hAnsi="仿宋_GB2312" w:cs="仿宋_GB2312" w:eastAsia="仿宋_GB2312"/>
        </w:rPr>
        <w:t>委托，拟对</w:t>
      </w:r>
      <w:r>
        <w:rPr>
          <w:rFonts w:ascii="仿宋_GB2312" w:hAnsi="仿宋_GB2312" w:cs="仿宋_GB2312" w:eastAsia="仿宋_GB2312"/>
        </w:rPr>
        <w:t>2025年度区煤炭安全监测中心设备运维采购项目(二次)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HRPD2025-090Z.1B1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2025年度区煤炭安全监测中心设备运维采购项目(二次)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2025年度区煤炭安全监测中心设备运维采购项目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2、财务状况：提供2023或2024任一年度经审计的财务审计报告(2025年成立的公司提供成立后企业的资产负债表和利润表），或提供投标文件递交截止之日前三个月内基本存款账户开户银行开具的资信证明；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3、税收缴纳证明：提供2024年08月01日至今任意一个月的缴纳税收的证明材料,(依法免税的单位应提供相关证明材料)；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4、社保缴纳证明：提供2024年08月01日至今任意一个月的依法缴纳社会保障资金的证明材料（依法不需要缴纳社会保障资金的单位应提供相关证明材料）；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5、书面声明：具备履行合同所必需的设备和专业技术能力的书面声明；</w:t>
      </w:r>
    </w:p>
    <w:p>
      <w:pPr>
        <w:pStyle w:val="null3"/>
      </w:pPr>
      <w:r>
        <w:rPr>
          <w:rFonts w:ascii="仿宋_GB2312" w:hAnsi="仿宋_GB2312" w:cs="仿宋_GB2312" w:eastAsia="仿宋_GB2312"/>
        </w:rPr>
        <w:t>6、信用记录：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7、法定代表人授权书：法定代表人授权书（附法定代表人及被授权人身份证复印件）（如法定代表人直接投标只须提交法定代表人身份证明并附身份证复印件）；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铜川市印台区煤炭工业局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印台区同官路80号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谢克东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0919-4188261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15399208767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代理服务费收费标准：代理服务费参照国家发展计划委员会“计价格【20 02】1980号”文件、“ 发改办价格【2003】857号”文件和国家发展改革委“发改价格【2011】 534号”文件规定计取 ；代理服务费不足5000元按照5000元收取，待确定成交人后3日内由成 交人一次性支付给招标代理机构。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铜川市印台区煤炭工业局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铜川市印台区煤炭工业局</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铜川市印台区煤炭工业局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联系电话：15399208767</w:t>
      </w:r>
    </w:p>
    <w:p>
      <w:pPr>
        <w:pStyle w:val="null3"/>
      </w:pPr>
      <w:r>
        <w:rPr>
          <w:rFonts w:ascii="仿宋_GB2312" w:hAnsi="仿宋_GB2312" w:cs="仿宋_GB2312" w:eastAsia="仿宋_GB2312"/>
        </w:rPr>
        <w:t>地址：陕西省铜川市耀州区祥瑞小区南门商铺12号3楼</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2025年度区煤炭安全监测中心设备运维采购项目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煤炭安全监测中心设备运维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标的名称：煤炭安全监测中心设备运维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8"/>
              <w:gridCol w:w="437"/>
              <w:gridCol w:w="1417"/>
              <w:gridCol w:w="239"/>
              <w:gridCol w:w="235"/>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1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互联网专线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带宽：</w:t>
                  </w:r>
                  <w:r>
                    <w:rPr>
                      <w:rFonts w:ascii="仿宋_GB2312" w:hAnsi="仿宋_GB2312" w:cs="仿宋_GB2312" w:eastAsia="仿宋_GB2312"/>
                      <w:sz w:val="24"/>
                      <w:color w:val="000000"/>
                    </w:rPr>
                    <w:t>100M，将印台区煤炭工业局下辖</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个煤矿的重大设备感知数据、煤矿安全监控数据、井下作业人员信息、工业视频感知数据、用电监测预警等数据上传至印台区煤炭工业局</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互联网专线</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带宽：</w:t>
                  </w:r>
                  <w:r>
                    <w:rPr>
                      <w:rFonts w:ascii="仿宋_GB2312" w:hAnsi="仿宋_GB2312" w:cs="仿宋_GB2312" w:eastAsia="仿宋_GB2312"/>
                      <w:sz w:val="24"/>
                      <w:color w:val="000000"/>
                    </w:rPr>
                    <w:t>200M，通过互联网专线实现对印台区煤炭工业局下辖</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个煤矿的重大设备感知数据、煤矿安全监控数据、井下作业人员信息、工业视频感知数据、用电监测预警等数据的查看</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数字电路</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独享带宽：</w:t>
                  </w:r>
                  <w:r>
                    <w:rPr>
                      <w:rFonts w:ascii="仿宋_GB2312" w:hAnsi="仿宋_GB2312" w:cs="仿宋_GB2312" w:eastAsia="仿宋_GB2312"/>
                      <w:sz w:val="24"/>
                      <w:color w:val="000000"/>
                    </w:rPr>
                    <w:t>50M，通过数字电路专线实现对印台区煤炭工业局下辖7个煤矿的重大设备感知数据、煤矿</w:t>
                  </w:r>
                </w:p>
                <w:p>
                  <w:pPr>
                    <w:pStyle w:val="null3"/>
                    <w:jc w:val="left"/>
                  </w:pPr>
                  <w:r>
                    <w:rPr>
                      <w:rFonts w:ascii="仿宋_GB2312" w:hAnsi="仿宋_GB2312" w:cs="仿宋_GB2312" w:eastAsia="仿宋_GB2312"/>
                      <w:sz w:val="24"/>
                      <w:color w:val="000000"/>
                    </w:rPr>
                    <w:t>安全监控数据、井下作业人员信息、工业视频感知数据、用电监测预警等数据的查看上传市能源局</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软件维护</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基础软件运维</w:t>
                  </w:r>
                  <w:r>
                    <w:br/>
                  </w:r>
                  <w:r>
                    <w:rPr>
                      <w:rFonts w:ascii="仿宋_GB2312" w:hAnsi="仿宋_GB2312" w:cs="仿宋_GB2312" w:eastAsia="仿宋_GB2312"/>
                      <w:sz w:val="24"/>
                      <w:color w:val="000000"/>
                    </w:rPr>
                    <w:t>数据库运行维护</w:t>
                  </w:r>
                  <w:r>
                    <w:br/>
                  </w:r>
                  <w:r>
                    <w:rPr>
                      <w:rFonts w:ascii="仿宋_GB2312" w:hAnsi="仿宋_GB2312" w:cs="仿宋_GB2312" w:eastAsia="仿宋_GB2312"/>
                      <w:sz w:val="24"/>
                      <w:color w:val="000000"/>
                    </w:rPr>
                    <w:t>中间件运行维护</w:t>
                  </w:r>
                  <w:r>
                    <w:br/>
                  </w:r>
                  <w:r>
                    <w:rPr>
                      <w:rFonts w:ascii="仿宋_GB2312" w:hAnsi="仿宋_GB2312" w:cs="仿宋_GB2312" w:eastAsia="仿宋_GB2312"/>
                      <w:sz w:val="24"/>
                      <w:color w:val="000000"/>
                    </w:rPr>
                    <w:t>平台运维服务</w:t>
                  </w:r>
                  <w:r>
                    <w:br/>
                  </w:r>
                  <w:r>
                    <w:rPr>
                      <w:rFonts w:ascii="仿宋_GB2312" w:hAnsi="仿宋_GB2312" w:cs="仿宋_GB2312" w:eastAsia="仿宋_GB2312"/>
                      <w:sz w:val="24"/>
                      <w:color w:val="000000"/>
                    </w:rPr>
                    <w:t>系统调整优化</w:t>
                  </w:r>
                  <w:r>
                    <w:br/>
                  </w:r>
                  <w:r>
                    <w:rPr>
                      <w:rFonts w:ascii="仿宋_GB2312" w:hAnsi="仿宋_GB2312" w:cs="仿宋_GB2312" w:eastAsia="仿宋_GB2312"/>
                      <w:sz w:val="24"/>
                      <w:color w:val="000000"/>
                    </w:rPr>
                    <w:t>系统故障排除</w:t>
                  </w:r>
                  <w:r>
                    <w:br/>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BUG处理</w:t>
                  </w:r>
                  <w:r>
                    <w:br/>
                  </w:r>
                  <w:r>
                    <w:rPr>
                      <w:rFonts w:ascii="仿宋_GB2312" w:hAnsi="仿宋_GB2312" w:cs="仿宋_GB2312" w:eastAsia="仿宋_GB2312"/>
                      <w:sz w:val="24"/>
                      <w:color w:val="000000"/>
                    </w:rPr>
                    <w:t>系统变更服务</w:t>
                  </w:r>
                  <w:r>
                    <w:br/>
                  </w:r>
                  <w:r>
                    <w:rPr>
                      <w:rFonts w:ascii="仿宋_GB2312" w:hAnsi="仿宋_GB2312" w:cs="仿宋_GB2312" w:eastAsia="仿宋_GB2312"/>
                      <w:sz w:val="24"/>
                      <w:color w:val="000000"/>
                    </w:rPr>
                    <w:t>备份服务</w:t>
                  </w:r>
                  <w:r>
                    <w:br/>
                  </w:r>
                  <w:r>
                    <w:rPr>
                      <w:rFonts w:ascii="仿宋_GB2312" w:hAnsi="仿宋_GB2312" w:cs="仿宋_GB2312" w:eastAsia="仿宋_GB2312"/>
                      <w:sz w:val="24"/>
                      <w:color w:val="000000"/>
                    </w:rPr>
                    <w:t>应用系统备份</w:t>
                  </w:r>
                  <w:r>
                    <w:br/>
                  </w:r>
                  <w:r>
                    <w:rPr>
                      <w:rFonts w:ascii="仿宋_GB2312" w:hAnsi="仿宋_GB2312" w:cs="仿宋_GB2312" w:eastAsia="仿宋_GB2312"/>
                      <w:sz w:val="24"/>
                      <w:color w:val="000000"/>
                    </w:rPr>
                    <w:t>基础软件备份</w:t>
                  </w:r>
                  <w:r>
                    <w:br/>
                  </w:r>
                  <w:r>
                    <w:rPr>
                      <w:rFonts w:ascii="仿宋_GB2312" w:hAnsi="仿宋_GB2312" w:cs="仿宋_GB2312" w:eastAsia="仿宋_GB2312"/>
                      <w:sz w:val="24"/>
                      <w:color w:val="000000"/>
                    </w:rPr>
                    <w:t>应用系统恢复</w:t>
                  </w:r>
                  <w:r>
                    <w:br/>
                  </w:r>
                  <w:r>
                    <w:rPr>
                      <w:rFonts w:ascii="仿宋_GB2312" w:hAnsi="仿宋_GB2312" w:cs="仿宋_GB2312" w:eastAsia="仿宋_GB2312"/>
                      <w:sz w:val="24"/>
                      <w:color w:val="000000"/>
                    </w:rPr>
                    <w:t>感知数据接入维护</w:t>
                  </w:r>
                  <w:r>
                    <w:br/>
                  </w:r>
                  <w:r>
                    <w:rPr>
                      <w:rFonts w:ascii="仿宋_GB2312" w:hAnsi="仿宋_GB2312" w:cs="仿宋_GB2312" w:eastAsia="仿宋_GB2312"/>
                      <w:sz w:val="24"/>
                      <w:color w:val="000000"/>
                    </w:rPr>
                    <w:t>矿端数据维护</w:t>
                  </w:r>
                  <w:r>
                    <w:br/>
                  </w:r>
                  <w:r>
                    <w:rPr>
                      <w:rFonts w:ascii="仿宋_GB2312" w:hAnsi="仿宋_GB2312" w:cs="仿宋_GB2312" w:eastAsia="仿宋_GB2312"/>
                      <w:sz w:val="24"/>
                      <w:color w:val="000000"/>
                    </w:rPr>
                    <w:t>视频数据维护</w:t>
                  </w:r>
                  <w:r>
                    <w:br/>
                  </w:r>
                  <w:r>
                    <w:rPr>
                      <w:rFonts w:ascii="仿宋_GB2312" w:hAnsi="仿宋_GB2312" w:cs="仿宋_GB2312" w:eastAsia="仿宋_GB2312"/>
                      <w:sz w:val="24"/>
                      <w:color w:val="000000"/>
                    </w:rPr>
                    <w:t>支撑服务</w:t>
                  </w:r>
                  <w:r>
                    <w:br/>
                  </w:r>
                  <w:r>
                    <w:rPr>
                      <w:rFonts w:ascii="仿宋_GB2312" w:hAnsi="仿宋_GB2312" w:cs="仿宋_GB2312" w:eastAsia="仿宋_GB2312"/>
                      <w:sz w:val="24"/>
                      <w:color w:val="000000"/>
                    </w:rPr>
                    <w:t>远程支撑服务</w:t>
                  </w:r>
                  <w:r>
                    <w:br/>
                  </w:r>
                  <w:r>
                    <w:rPr>
                      <w:rFonts w:ascii="仿宋_GB2312" w:hAnsi="仿宋_GB2312" w:cs="仿宋_GB2312" w:eastAsia="仿宋_GB2312"/>
                      <w:sz w:val="24"/>
                      <w:color w:val="000000"/>
                    </w:rPr>
                    <w:t>其他服务</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符合国家相关规定要求；验收合格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验收合格后，无质量问题无索赔争议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 同 的正常履行。 2、如因乙方工作人员在履行职务过程中的疏忽、失职、过错等故意或者过失原因给甲方造成损失或侵害， 包 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 规定履 行相应的手续。 2、合同执行中发生争议的，甲、乙双方应协商解决，协商达不成一致时，可向甲方所在地人民法院 提请诉讼 。</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通过电子化交易系统协商，供应商需在电子化交易系统上传响应的文件。成交供应商领取中标（成交）通知书时，向招标代理机构提供一正两副纸质响应文件及电子版1份（签字盖章扫描PDF和word文档格式，U盘存储）。 2.供应商应自投标文件递交截止时间起至招标结束，保持在线状态。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服务期限或合同履行期限</w:t>
            </w:r>
          </w:p>
        </w:tc>
        <w:tc>
          <w:tcPr>
            <w:tcW w:type="dxa" w:w="3322"/>
          </w:tcPr>
          <w:p>
            <w:pPr>
              <w:pStyle w:val="null3"/>
            </w:pPr>
            <w:r>
              <w:rPr>
                <w:rFonts w:ascii="仿宋_GB2312" w:hAnsi="仿宋_GB2312" w:cs="仿宋_GB2312" w:eastAsia="仿宋_GB2312"/>
              </w:rPr>
              <w:t>服务期限或合同履行期限是否满足招标文件要求。</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 服务内容及服务邀请应答表 合同主要条款偏离表.docx 中小企业声明函 商务应答表 投标人应提交的相关资格证明材料 法定代表人授权书.docx 近年业绩的有关证明材料.docx 分项报价表.docx 投标函 具备履行合同所必须得设备和专业技术能力承诺书.docx 投标人须具备的资格文件证明.docx 残疾人福利性单位声明函 服务方案 标的清单 服务技术方案.docx 申请人关联关系书面声明.docx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开标一览表 投标函 商务应答表 服务方案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与招标文件商务要求条款不一致或增加了招标 人难以接受的条款。</w:t>
            </w:r>
          </w:p>
        </w:tc>
        <w:tc>
          <w:tcPr>
            <w:tcW w:type="dxa" w:w="1661"/>
          </w:tcPr>
          <w:p>
            <w:pPr>
              <w:pStyle w:val="null3"/>
            </w:pPr>
            <w:r>
              <w:rPr>
                <w:rFonts w:ascii="仿宋_GB2312" w:hAnsi="仿宋_GB2312" w:cs="仿宋_GB2312" w:eastAsia="仿宋_GB2312"/>
              </w:rPr>
              <w:t>服务内容及服务邀请应答表 合同主要条款偏离表.docx 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 性要求。</w:t>
            </w:r>
          </w:p>
        </w:tc>
        <w:tc>
          <w:tcPr>
            <w:tcW w:type="dxa" w:w="1661"/>
          </w:tcPr>
          <w:p>
            <w:pPr>
              <w:pStyle w:val="null3"/>
            </w:pPr>
            <w:r>
              <w:rPr>
                <w:rFonts w:ascii="仿宋_GB2312" w:hAnsi="仿宋_GB2312" w:cs="仿宋_GB2312" w:eastAsia="仿宋_GB2312"/>
              </w:rPr>
              <w:t>开标一览表 服务内容及服务邀请应答表 合同主要条款偏离表.docx 中小企业声明函 商务应答表 投标人应提交的相关资格证明材料 法定代表人授权书.docx 近年业绩的有关证明材料.docx 分项报价表.docx 具备履行合同所必须得设备和专业技术能力承诺书.docx 投标人须具备的资格文件证明.docx 投标函 残疾人福利性单位声明函 服务方案 服务技术方案.docx 申请人关联关系书面声明.docx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响应文件格式是否符合招标文件要求</w:t>
            </w:r>
          </w:p>
        </w:tc>
        <w:tc>
          <w:tcPr>
            <w:tcW w:type="dxa" w:w="1661"/>
          </w:tcPr>
          <w:p>
            <w:pPr>
              <w:pStyle w:val="null3"/>
            </w:pPr>
            <w:r>
              <w:rPr>
                <w:rFonts w:ascii="仿宋_GB2312" w:hAnsi="仿宋_GB2312" w:cs="仿宋_GB2312" w:eastAsia="仿宋_GB2312"/>
              </w:rPr>
              <w:t>开标一览表 服务内容及服务邀请应答表 合同主要条款偏离表.docx 中小企业声明函 商务应答表 投标人应提交的相关资格证明材料 法定代表人授权书.docx 近年业绩的有关证明材料.docx 分项报价表.docx 投标函 具备履行合同所必须得设备和专业技术能力承诺书.docx 投标人须具备的资格文件证明.docx 残疾人福利性单位声明函 服务方案 标的清单 服务技术方案.docx 申请人关联关系书面声明.docx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供应商所提供方案需满足招标文件参数要求，完全满足或优于招标文件要求的得10分，有一项不满足的扣2分，扣完为止。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评标小组依据供应商提供的整体技术方案(要求提供方案逻辑完整、结构合理，确保产品运行稳定，做好相关应急预案等）方案完整、整体规划及配置明确、切实可行，符合项目的实际情况，得10-12分；方案可行，但有缺陷需进一步完善，得5-10分；方案较简单，缺乏实施性，得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供应商提供的质量保障承诺和应急预案（响应时间、电话支持、远程服务、现场服务、定期巡查、应急解决方案、服务监督管理机制、质量保障的具体措施等）。根据响应程度，合理可行、针对性强、符合项目的实际情况，得7-10分；可行但需进一步完善，得4-7分；方案较简单，缺乏无针对性，得1-4分，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培训方案完整可行，能够提供相对应详细的时间、人员、内容等实施计划、培训内容有层次，培训方式适用，能够保障使用单位能熟练操作维护和正常使用。按响应程度计0-10分。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针对本项目有完善的项目管理方案，具体包含人员配置、人员分工、项目组织架构及分工、项目进度计划、质量保障措施等。方案完整、组织架构及分工明确、项目进度计划切实可行，符合项目的实际情况，得7-10分；方案可行，但有需进一步完善，得4-7分；方案较简单，缺乏实施性，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对本项目工作进度内容（包含但不限于项目实施过程中产品配送、安全安装、故障检测及软硬件保护等）充分了解，进度计划科学合理，工作效率响应度高的，得5-10分。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方案需详细说明为本项目配备的安全需求，包括详细的方案设计说明、制定依据、制定原则、建设目标等安全架构，根据响应程度，可操作性、针对性强得5-10分；方案一般，无针对性计1-5分，未响应不计分。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提供完善的售后服务方案（应包含售后服务承诺函，售后服务响应时间、售后服务计划、售后服务保障措施、质量保证期限及范围）。完全响应且响应内容详细明确，得5-10分； 基本响应但响应内容不详细不明确的，得1-5分。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具有2022年至今的类似业绩（以合同签订日期为准），提供合同复印件加盖公章，每个计1分，共8分。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根据各供应商的有效投标报价，以满足招标文件要求且有效投标价格最 低的 投标报价为评标基准价，其价格分为满分。其他供应商的价格分统一按照下列公 式计算: 投标报价得分=(评标基准价/评标报价)*10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详见附件：服务技术方案.docx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详见附件：具备履行合同所必须得设备和专业技术能力承诺书.docx</w:t>
      </w:r>
    </w:p>
    <w:p>
      <w:pPr>
        <w:pStyle w:val="null3"/>
        <w:ind w:firstLine="960"/>
      </w:pPr>
      <w:r>
        <w:rPr>
          <w:rFonts w:ascii="仿宋_GB2312" w:hAnsi="仿宋_GB2312" w:cs="仿宋_GB2312" w:eastAsia="仿宋_GB2312"/>
        </w:rPr>
        <w:t>详见附件：申请人关联关系书面声明.docx</w:t>
      </w:r>
    </w:p>
    <w:p>
      <w:pPr>
        <w:pStyle w:val="null3"/>
        <w:ind w:firstLine="960"/>
      </w:pPr>
      <w:r>
        <w:rPr>
          <w:rFonts w:ascii="仿宋_GB2312" w:hAnsi="仿宋_GB2312" w:cs="仿宋_GB2312" w:eastAsia="仿宋_GB2312"/>
        </w:rPr>
        <w:t>详见附件：投标人须具备的资格文件证明.docx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