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版本号：ZXGJXM2025-ZC-CS00420251008001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2025年中央粮油生产保障资金(粮油等重点作物绿色高产高效)项目（二次）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ZXGJXM2025-ZC-CS004</w:t>
      </w:r>
      <w:r>
        <w:br/>
      </w:r>
      <w:r>
        <w:br/>
      </w:r>
      <w:r>
        <w:br/>
      </w:r>
    </w:p>
    <w:p>
      <w:pPr>
        <w:pStyle w:val="null3"/>
        <w:jc w:val="center"/>
        <w:outlineLvl w:val="2"/>
      </w:pPr>
      <w:r>
        <w:rPr>
          <w:rFonts w:ascii="仿宋_GB2312" w:hAnsi="仿宋_GB2312" w:cs="仿宋_GB2312" w:eastAsia="仿宋_GB2312"/>
          <w:sz w:val="28"/>
          <w:b/>
        </w:rPr>
        <w:t>宜君县农业技术服务中心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宜君县农业技术服务中心</w:t>
      </w:r>
      <w:r>
        <w:rPr>
          <w:rFonts w:ascii="仿宋_GB2312" w:hAnsi="仿宋_GB2312" w:cs="仿宋_GB2312" w:eastAsia="仿宋_GB2312"/>
        </w:rPr>
        <w:t>委托，拟对</w:t>
      </w:r>
      <w:r>
        <w:rPr>
          <w:rFonts w:ascii="仿宋_GB2312" w:hAnsi="仿宋_GB2312" w:cs="仿宋_GB2312" w:eastAsia="仿宋_GB2312"/>
        </w:rPr>
        <w:t>2025年中央粮油生产保障资金(粮油等重点作物绿色高产高效)项目（二次）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ZXGJXM2025-ZC-CS004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2025年中央粮油生产保障资金(粮油等重点作物绿色高产高效)项目（二次）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2025年中央粮油生产保障资金(粮油等重点作物绿色高产高效)项目，详见采购需求。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采购包1（2025年中央粮油生产保障资金物资采购包2）：属于专门面向中小企业采购。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供应商提供独立法人或其他组织的的相应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2、财务状况报告：提供2023或2024任一年度经审计的财务审计报告(2025年新成立的公司提供成立后企业的资产负债表和利润表），或提供近一年内基本存款账户开户银行开具的资信证明；</w:t>
      </w:r>
    </w:p>
    <w:p>
      <w:pPr>
        <w:pStyle w:val="null3"/>
      </w:pPr>
      <w:r>
        <w:rPr>
          <w:rFonts w:ascii="仿宋_GB2312" w:hAnsi="仿宋_GB2312" w:cs="仿宋_GB2312" w:eastAsia="仿宋_GB2312"/>
        </w:rPr>
        <w:t>3、税收缴纳证明：提供2025年01月01日至今任意两个月缴纳税收的证明材料（任意税种）,依法免税的单位应提供相关证明材料；</w:t>
      </w:r>
    </w:p>
    <w:p>
      <w:pPr>
        <w:pStyle w:val="null3"/>
      </w:pPr>
      <w:r>
        <w:rPr>
          <w:rFonts w:ascii="仿宋_GB2312" w:hAnsi="仿宋_GB2312" w:cs="仿宋_GB2312" w:eastAsia="仿宋_GB2312"/>
        </w:rPr>
        <w:t>4、社会保障资金缴纳证明：提供2025年01月01日至今任意两个月依法缴纳社会保障资金的证明材料（依法不需要缴纳社会保障资金的单位应提供相关证明材料）；</w:t>
      </w:r>
    </w:p>
    <w:p>
      <w:pPr>
        <w:pStyle w:val="null3"/>
      </w:pPr>
      <w:r>
        <w:rPr>
          <w:rFonts w:ascii="仿宋_GB2312" w:hAnsi="仿宋_GB2312" w:cs="仿宋_GB2312" w:eastAsia="仿宋_GB2312"/>
        </w:rPr>
        <w:t>5、信用信息查询：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6、具备履行合同的能力承诺：具备履行合同所必需的设备和专业技术能力(提供承诺函）；</w:t>
      </w:r>
    </w:p>
    <w:p>
      <w:pPr>
        <w:pStyle w:val="null3"/>
      </w:pPr>
      <w:r>
        <w:rPr>
          <w:rFonts w:ascii="仿宋_GB2312" w:hAnsi="仿宋_GB2312" w:cs="仿宋_GB2312" w:eastAsia="仿宋_GB2312"/>
        </w:rPr>
        <w:t>7、无重大违法记录声明：参加政府采购活动前3年内，在经营活动中没有重大违法记录（提供书面声明函）；</w:t>
      </w:r>
    </w:p>
    <w:p>
      <w:pPr>
        <w:pStyle w:val="null3"/>
      </w:pPr>
      <w:r>
        <w:rPr>
          <w:rFonts w:ascii="仿宋_GB2312" w:hAnsi="仿宋_GB2312" w:cs="仿宋_GB2312" w:eastAsia="仿宋_GB2312"/>
        </w:rPr>
        <w:t>8、关联关系：单位负责人为同一人或者存在直接控股、管理关系的不同供应商不得同时参加本项目磋商；</w:t>
      </w:r>
    </w:p>
    <w:p>
      <w:pPr>
        <w:pStyle w:val="null3"/>
      </w:pPr>
      <w:r>
        <w:rPr>
          <w:rFonts w:ascii="仿宋_GB2312" w:hAnsi="仿宋_GB2312" w:cs="仿宋_GB2312" w:eastAsia="仿宋_GB2312"/>
        </w:rPr>
        <w:t>9、授权委托书或法定代表人身份证明：法定代表人授权书（附法定代表人及被授权人身份证复印件）（如法定代表人直接磋商只须提交法人身份证明并附身份证复印件）；</w:t>
      </w:r>
    </w:p>
    <w:p>
      <w:pPr>
        <w:pStyle w:val="null3"/>
      </w:pPr>
      <w:r>
        <w:rPr>
          <w:rFonts w:ascii="仿宋_GB2312" w:hAnsi="仿宋_GB2312" w:cs="仿宋_GB2312" w:eastAsia="仿宋_GB2312"/>
        </w:rPr>
        <w:t>10、资质要求：供应商为生产商须提供所投产品的《肥料登记证》或农业农村部门肥料备案信息系统备案凭证或省级农业农村部门肥料备案信息系统的备案凭证，同时提供省级及以上相关部门核发的《全国工业产品生产许可证》；供应商为经销商须提供生产商的授权书、营业执照、所投产品的《肥料登记证》或农业农村部门肥料备案信息系统备案凭证或省级农业农村部门肥料备案信息系统的备案凭证，同时提供省级及以上相关部门核发的《全国工业产品生产许可证》并加盖生产商公章；</w:t>
      </w:r>
    </w:p>
    <w:p>
      <w:pPr>
        <w:pStyle w:val="null3"/>
      </w:pPr>
      <w:r>
        <w:rPr>
          <w:rFonts w:ascii="仿宋_GB2312" w:hAnsi="仿宋_GB2312" w:cs="仿宋_GB2312" w:eastAsia="仿宋_GB2312"/>
        </w:rPr>
        <w:t>11、非联合体要求：本标段不接受联合体磋商；</w:t>
      </w:r>
    </w:p>
    <w:p>
      <w:pPr>
        <w:pStyle w:val="null3"/>
      </w:pPr>
      <w:r>
        <w:rPr>
          <w:rFonts w:ascii="仿宋_GB2312" w:hAnsi="仿宋_GB2312" w:cs="仿宋_GB2312" w:eastAsia="仿宋_GB2312"/>
        </w:rPr>
        <w:t>12、专门面向中小企业：本标段专门面向中小企业采购。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宜君县农业技术服务中心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宜阳北街28号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0919-5281363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王超、秦瑶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029-86116776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中标金额为基数，依据国家计委颁发的《招标代理服务收费管理暂行办法》（计价格[2002]1980号）和国家发展改革委员会办公厅颁发的《关于招标代理服务收费有关问题的通知》（发改办价格[2003]857号）的有关规定执行。2、成交供应商在领取成交通知书前须一次性足额向采购代理机构交纳招标代理服务费，招标代理服务费以转账或现金形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宜君县农业技术服务中心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宜君县农业技术服务中心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双方另行协商约定。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联系人：王超、秦瑶</w:t>
      </w:r>
    </w:p>
    <w:p>
      <w:pPr>
        <w:pStyle w:val="null3"/>
      </w:pPr>
      <w:r>
        <w:rPr>
          <w:rFonts w:ascii="仿宋_GB2312" w:hAnsi="仿宋_GB2312" w:cs="仿宋_GB2312" w:eastAsia="仿宋_GB2312"/>
        </w:rPr>
        <w:t>联系电话：029-86115667</w:t>
      </w:r>
    </w:p>
    <w:p>
      <w:pPr>
        <w:pStyle w:val="null3"/>
      </w:pPr>
      <w:r>
        <w:rPr>
          <w:rFonts w:ascii="仿宋_GB2312" w:hAnsi="仿宋_GB2312" w:cs="仿宋_GB2312" w:eastAsia="仿宋_GB2312"/>
        </w:rPr>
        <w:t>地址：西安市经济技术开发区凤城十二路首创禧悦里25栋A座16层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2025年中央粮油生产保障资金(粮油等重点作物绿色高产高效)项目，详见采购需求。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玉米复合肥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标的名称：玉米复合肥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0"/>
              <w:gridCol w:w="510"/>
              <w:gridCol w:w="961"/>
              <w:gridCol w:w="271"/>
              <w:gridCol w:w="302"/>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采购项目物资</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主要技术指标规格及要求</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玉米复合肥</w:t>
                  </w:r>
                </w:p>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40kg/</w:t>
                  </w:r>
                  <w:r>
                    <w:rPr>
                      <w:rFonts w:ascii="仿宋_GB2312" w:hAnsi="仿宋_GB2312" w:cs="仿宋_GB2312" w:eastAsia="仿宋_GB2312"/>
                      <w:sz w:val="21"/>
                    </w:rPr>
                    <w:t>袋；</w:t>
                  </w:r>
                </w:p>
                <w:p>
                  <w:pPr>
                    <w:pStyle w:val="null3"/>
                    <w:jc w:val="left"/>
                  </w:pPr>
                  <w:r>
                    <w:rPr>
                      <w:rFonts w:ascii="仿宋_GB2312" w:hAnsi="仿宋_GB2312" w:cs="仿宋_GB2312" w:eastAsia="仿宋_GB2312"/>
                      <w:sz w:val="21"/>
                    </w:rPr>
                    <w:t>要求：符合</w:t>
                  </w:r>
                  <w:r>
                    <w:rPr>
                      <w:rFonts w:ascii="仿宋_GB2312" w:hAnsi="仿宋_GB2312" w:cs="仿宋_GB2312" w:eastAsia="仿宋_GB2312"/>
                      <w:sz w:val="21"/>
                    </w:rPr>
                    <w:t>GB/T 15063</w:t>
                  </w:r>
                  <w:r>
                    <w:rPr>
                      <w:rFonts w:ascii="仿宋_GB2312" w:hAnsi="仿宋_GB2312" w:cs="仿宋_GB2312" w:eastAsia="仿宋_GB2312"/>
                      <w:sz w:val="21"/>
                    </w:rPr>
                    <w:t>—</w:t>
                  </w:r>
                  <w:r>
                    <w:rPr>
                      <w:rFonts w:ascii="仿宋_GB2312" w:hAnsi="仿宋_GB2312" w:cs="仿宋_GB2312" w:eastAsia="仿宋_GB2312"/>
                      <w:sz w:val="21"/>
                    </w:rPr>
                    <w:t>2020</w:t>
                  </w:r>
                </w:p>
                <w:p>
                  <w:pPr>
                    <w:pStyle w:val="null3"/>
                    <w:jc w:val="left"/>
                  </w:pPr>
                  <w:r>
                    <w:rPr>
                      <w:rFonts w:ascii="仿宋_GB2312" w:hAnsi="仿宋_GB2312" w:cs="仿宋_GB2312" w:eastAsia="仿宋_GB2312"/>
                      <w:sz w:val="21"/>
                    </w:rPr>
                    <w:t>《复合肥料》或企标，总养分含量</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P2O5</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K2O</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吨</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项目整体供货完成并经相关部门验收合格后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双方另行协商约定。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双方另行协商约定。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各方应本着诚信的态度及共同合作的精神，通过协商及谈判来努力解决由本合同产生的或与本合同有关的任何争议及不同意见。协商、谈判不能解决的，应向项目所在地仲裁委员会申请仲裁或人民法院申请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供应商应提交的相关资格证明材料 其他资料.docx 响应函 服务方案.docx 法定代表人（单位负责人）身份证明及授权委托书.docx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产品技术参数表 供应商应提交的相关资格证明材料 其他资料.docx 响应函 服务方案.docx 法定代表人（单位负责人）身份证明及授权委托书.docx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商务应答表 供应商应提交的相关资格证明材料 其他资料.docx 响应函 服务方案.docx 法定代表人（单位负责人）身份证明及授权委托书.docx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供应商提供独立法人或其他组织的的相应证明文件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提供2023或2024任一年度经审计的财务审计报告(2025年新成立的公司提供成立后企业的资产负债表和利润表），或提供近一年内基本存款账户开户银行开具的资信证明；</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提供2025年01月01日至今任意两个月缴纳税收的证明材料（任意税种）,依法免税的单位应提供相关证明材料；</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提供2025年01月01日至今任意两个月依法缴纳社会保障资金的证明材料（依法不需要缴纳社会保障资金的单位应提供相关证明材料）；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标的清单 其他资料.docx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具备履行合同的能力承诺</w:t>
            </w:r>
          </w:p>
        </w:tc>
        <w:tc>
          <w:tcPr>
            <w:tcW w:type="dxa" w:w="3322"/>
          </w:tcPr>
          <w:p>
            <w:pPr>
              <w:pStyle w:val="null3"/>
            </w:pPr>
            <w:r>
              <w:rPr>
                <w:rFonts w:ascii="仿宋_GB2312" w:hAnsi="仿宋_GB2312" w:cs="仿宋_GB2312" w:eastAsia="仿宋_GB2312"/>
              </w:rPr>
              <w:t>具备履行合同所必需的设备和专业技术能力(提供承诺函）；</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授权委托书或法定代表人身份证明</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法定代表人授权书（附法定代表人及被授权人身份证复印件）（如法定代表人直接磋商只须提交法人身份证明并附身份证复印件）；</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商须提供所投产品的《肥料登记证》或农业农村部门肥料备案信息系统备案凭证或省级农业农村部门肥料备案信息系统的备案凭证，同时提供省级及以上相关部门核发的《全国工业产品生产许可证》；供应商为经销商须提供生产商的授权书、营业执照、所投产品的《肥料登记证》或农业农村部门肥料备案信息系统备案凭证或省级农业农村部门肥料备案信息系统的备案凭证，同时提供省级及以上相关部门核发的《全国工业产品生产许可证》并加盖生产商公章；</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标的清单 其他资料.docx 响应函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非联合体要求</w:t>
            </w:r>
          </w:p>
        </w:tc>
        <w:tc>
          <w:tcPr>
            <w:tcW w:type="dxa" w:w="3322"/>
          </w:tcPr>
          <w:p>
            <w:pPr>
              <w:pStyle w:val="null3"/>
            </w:pPr>
            <w:r>
              <w:rPr>
                <w:rFonts w:ascii="仿宋_GB2312" w:hAnsi="仿宋_GB2312" w:cs="仿宋_GB2312" w:eastAsia="仿宋_GB2312"/>
              </w:rPr>
              <w:t>本标段不接受联合体磋商；</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专门面向中小企业</w:t>
            </w:r>
          </w:p>
        </w:tc>
        <w:tc>
          <w:tcPr>
            <w:tcW w:type="dxa" w:w="3322"/>
          </w:tcPr>
          <w:p>
            <w:pPr>
              <w:pStyle w:val="null3"/>
            </w:pPr>
            <w:r>
              <w:rPr>
                <w:rFonts w:ascii="仿宋_GB2312" w:hAnsi="仿宋_GB2312" w:cs="仿宋_GB2312" w:eastAsia="仿宋_GB2312"/>
              </w:rPr>
              <w:t>本标段专门面向中小企业采购。</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标的清单 其他资料.docx 响应函 服务方案.docx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标的清单 其他资料.docx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磋商响应文件上法定代表人或被授权人的签字或电子印章齐全</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标的清单 其他资料.docx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标的清单 其他资料.docx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标的清单 其他资料.docx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磋商响应文件中报价不得超过采购预算金额或最高限价</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法定代表人（单位负责人）身份证明及授权委托书.docx 响应文件封面 产品技术参数表 残疾人福利性单位声明函 其他资料.docx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供货及实施方案</w:t>
            </w:r>
          </w:p>
        </w:tc>
        <w:tc>
          <w:tcPr>
            <w:tcW w:type="dxa" w:w="2492"/>
          </w:tcPr>
          <w:p>
            <w:pPr>
              <w:pStyle w:val="null3"/>
            </w:pPr>
            <w:r>
              <w:rPr>
                <w:rFonts w:ascii="仿宋_GB2312" w:hAnsi="仿宋_GB2312" w:cs="仿宋_GB2312" w:eastAsia="仿宋_GB2312"/>
              </w:rPr>
              <w:t>供应商提供针对本项目的供货及实施方案，至少包含： 1.备货、供货组织实施计划； 2.供货、进度保证措施； 3.供货质量保证措施； 4.供货安全保障措施等； 5.项目人员配备方案及协调能力。 各项内容全面，条理清晰，阐述合理，能有效保障本项目供货实施。每缺1项扣5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供应商提供针对本项目的应急预案，至少包含： 1.提供突发事件的处理方案； 2.提供突发事件响应的时效性保证措施。 各项内容全面，条理清晰，阐述合理，能有效保障本项目供货实施。每缺1项扣5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供应商提供针对本项目的培训方案，至少包含： 1.培训计划（包含但不限于方式、时间、地点、人员等）； 2.专业技术指导（如使用方法及注意事项、储放时效及注意事项等） 各项内容全面，条理清晰，阐述合理，能有效保障本项目供货实施。每缺1项扣5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供应商提供针对本项目的售后服务，至少包含： 1.售后服务方案、服务人员配置情况； 2.售后服务响应时限保障措施及服务承诺。 各项内容全面，条理清晰，阐述合理，能有效保障本项目供货实施。每缺1项扣4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所投产品的质量保证</w:t>
            </w:r>
          </w:p>
        </w:tc>
        <w:tc>
          <w:tcPr>
            <w:tcW w:type="dxa" w:w="2492"/>
          </w:tcPr>
          <w:p>
            <w:pPr>
              <w:pStyle w:val="null3"/>
            </w:pPr>
            <w:r>
              <w:rPr>
                <w:rFonts w:ascii="仿宋_GB2312" w:hAnsi="仿宋_GB2312" w:cs="仿宋_GB2312" w:eastAsia="仿宋_GB2312"/>
              </w:rPr>
              <w:t>供应商提供所投产品证明资料：如销售协议、产品介绍、检验或检测报告、出厂合格证，提供内容齐全得4分，少提供一项扣1分，扣完为止。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供应商提供2022.9.1至今类似业绩（日期以签订时间为准），每提供一份合同或中标通知书得2分，满分4分。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供应商提供针对本项目的履约能力，至少包含： 1.仓储设施； 2.运输工具； 3.管理水平等方面。 各项内容全面，条理清晰，阐述合理，能有效保障本项目供货实施。每缺1项扣3分，每有一处内容存在缺陷，扣1分，扣完为止。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满足磋商文件要求且投标价格最低的投标报价为评标基准价，其价格分为满分。其他投标人的价格分统一按照下列公式计算：投标报价得分=（评标基准价/投标报价）×30，最低报价不是中标的唯一依据。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详见附件：法定代表人（单位负责人）身份证明及授权委托书.docx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