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36"/>
          <w:szCs w:val="44"/>
          <w:highlight w:val="none"/>
        </w:rPr>
      </w:pPr>
      <w:bookmarkStart w:id="0" w:name="_Toc3227"/>
      <w:bookmarkStart w:id="1" w:name="_Toc14221"/>
      <w:r>
        <w:rPr>
          <w:rFonts w:hint="eastAsia" w:ascii="宋体" w:hAnsi="宋体" w:eastAsia="宋体" w:cs="宋体"/>
          <w:color w:val="auto"/>
          <w:sz w:val="30"/>
          <w:szCs w:val="30"/>
          <w:highlight w:val="none"/>
        </w:rPr>
        <w:t>第四章  招标内容及要求</w:t>
      </w:r>
      <w:bookmarkEnd w:id="0"/>
      <w:bookmarkEnd w:id="1"/>
    </w:p>
    <w:p>
      <w:pPr>
        <w:rPr>
          <w:rFonts w:hint="eastAsia" w:ascii="宋体" w:hAnsi="宋体" w:eastAsia="宋体" w:cs="宋体"/>
          <w:color w:val="auto"/>
          <w:sz w:val="24"/>
          <w:highlight w:val="none"/>
        </w:rPr>
      </w:pPr>
    </w:p>
    <w:p>
      <w:pPr>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一、项目内容</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永寿县学生营养餐配送中心位于万寿路北段，占地8.8亩,,总建筑面积1915.69平方米,食品加工车间1282.51平方米、辅助用房633.18平方米。已对配送中心厂房内部进行地面处理、集成吊顶、区间分割、生产设备采购安装，在室外对排污管道进行改造、安装污水净化处理设施，同时对宿办楼进行了装备，使配餐中心具备了加工学生营养午餐食材的条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本次采购严格执行《餐饮服务食品采购索证索票管理规定》以及《餐饮服务食品安全操作规范》；对</w:t>
      </w:r>
      <w:r>
        <w:rPr>
          <w:rFonts w:hint="eastAsia" w:ascii="宋体" w:hAnsi="宋体" w:cs="宋体"/>
          <w:color w:val="auto"/>
          <w:sz w:val="24"/>
          <w:highlight w:val="none"/>
          <w:lang w:val="en-US" w:eastAsia="zh-CN"/>
        </w:rPr>
        <w:t>7867</w:t>
      </w:r>
      <w:r>
        <w:rPr>
          <w:rFonts w:hint="eastAsia" w:ascii="宋体" w:hAnsi="宋体" w:eastAsia="宋体" w:cs="宋体"/>
          <w:color w:val="auto"/>
          <w:sz w:val="24"/>
          <w:highlight w:val="none"/>
        </w:rPr>
        <w:t>名学生提供加工营养餐。其中为</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所学校</w:t>
      </w:r>
      <w:r>
        <w:rPr>
          <w:rFonts w:hint="eastAsia" w:ascii="宋体" w:hAnsi="宋体" w:cs="宋体"/>
          <w:color w:val="auto"/>
          <w:sz w:val="24"/>
          <w:highlight w:val="none"/>
          <w:lang w:val="en-US" w:eastAsia="zh-CN"/>
        </w:rPr>
        <w:t>1739</w:t>
      </w:r>
      <w:r>
        <w:rPr>
          <w:rFonts w:hint="eastAsia" w:ascii="宋体" w:hAnsi="宋体" w:eastAsia="宋体" w:cs="宋体"/>
          <w:color w:val="auto"/>
          <w:sz w:val="24"/>
          <w:highlight w:val="none"/>
        </w:rPr>
        <w:t>名学生供应营养早餐，为</w:t>
      </w: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rPr>
        <w:t>所学校</w:t>
      </w:r>
      <w:r>
        <w:rPr>
          <w:rFonts w:hint="eastAsia" w:ascii="宋体" w:hAnsi="宋体" w:cs="宋体"/>
          <w:color w:val="auto"/>
          <w:sz w:val="24"/>
          <w:highlight w:val="none"/>
          <w:lang w:val="en-US" w:eastAsia="zh-CN"/>
        </w:rPr>
        <w:t>6128</w:t>
      </w:r>
      <w:r>
        <w:rPr>
          <w:rFonts w:hint="eastAsia" w:ascii="宋体" w:hAnsi="宋体" w:eastAsia="宋体" w:cs="宋体"/>
          <w:color w:val="auto"/>
          <w:sz w:val="24"/>
          <w:highlight w:val="none"/>
        </w:rPr>
        <w:t>名学生提供营养午餐食材，</w:t>
      </w:r>
      <w:r>
        <w:rPr>
          <w:rFonts w:hint="eastAsia" w:ascii="宋体" w:hAnsi="宋体" w:cs="宋体"/>
          <w:color w:val="auto"/>
          <w:sz w:val="24"/>
          <w:highlight w:val="none"/>
          <w:lang w:eastAsia="zh-CN"/>
        </w:rPr>
        <w:t>配送周期</w:t>
      </w:r>
      <w:r>
        <w:rPr>
          <w:rFonts w:hint="eastAsia" w:ascii="宋体" w:hAnsi="宋体" w:eastAsia="宋体" w:cs="宋体"/>
          <w:color w:val="auto"/>
          <w:sz w:val="24"/>
          <w:highlight w:val="none"/>
        </w:rPr>
        <w:t>均为</w:t>
      </w:r>
      <w:r>
        <w:rPr>
          <w:rFonts w:hint="eastAsia" w:ascii="宋体" w:hAnsi="宋体" w:cs="宋体"/>
          <w:color w:val="auto"/>
          <w:sz w:val="24"/>
          <w:highlight w:val="none"/>
          <w:lang w:val="en-US" w:eastAsia="zh-CN"/>
        </w:rPr>
        <w:t>190</w:t>
      </w:r>
      <w:r>
        <w:rPr>
          <w:rFonts w:hint="eastAsia" w:ascii="宋体" w:hAnsi="宋体" w:eastAsia="宋体" w:cs="宋体"/>
          <w:color w:val="auto"/>
          <w:sz w:val="24"/>
          <w:highlight w:val="none"/>
        </w:rPr>
        <w:t>天。在“优质、安全、高效、便利”的原则下，对营养餐的品种及午餐食材进行统一采购。</w:t>
      </w:r>
    </w:p>
    <w:p>
      <w:pPr>
        <w:widowControl/>
        <w:numPr>
          <w:ilvl w:val="1"/>
          <w:numId w:val="1"/>
        </w:numPr>
        <w:spacing w:line="520" w:lineRule="exact"/>
        <w:jc w:val="both"/>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学生营养餐食材供应</w:t>
      </w:r>
    </w:p>
    <w:p>
      <w:pPr>
        <w:pStyle w:val="2"/>
        <w:jc w:val="center"/>
        <w:rPr>
          <w:rFonts w:hint="eastAsia" w:eastAsia="宋体"/>
          <w:sz w:val="28"/>
          <w:szCs w:val="28"/>
          <w:lang w:eastAsia="zh-CN"/>
        </w:rPr>
      </w:pPr>
      <w:r>
        <w:rPr>
          <w:rFonts w:hint="eastAsia" w:hAnsi="宋体" w:cs="宋体"/>
          <w:b/>
          <w:bCs/>
          <w:color w:val="auto"/>
          <w:kern w:val="0"/>
          <w:sz w:val="28"/>
          <w:szCs w:val="28"/>
          <w:highlight w:val="none"/>
          <w:lang w:eastAsia="zh-CN"/>
        </w:rPr>
        <w:t>早餐食谱</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3733"/>
        <w:gridCol w:w="3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4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星期</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品名</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重量（克）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木耳鸡蛋包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麦仁粥</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肉松卷</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饼干</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鱼香肉丝包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纯牛奶</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鸡蛋</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时令水果</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大肉包子</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小米粥</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粗粮饼干</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雪菜肉沫包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纯牛奶</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鸡蛋</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时令水果</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w:t>
            </w: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鸡肉粉条包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黑米粥</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面包</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饼干</w:t>
            </w:r>
          </w:p>
        </w:tc>
        <w:tc>
          <w:tcPr>
            <w:tcW w:w="18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bl>
    <w:p>
      <w:pPr>
        <w:bidi w:val="0"/>
        <w:jc w:val="both"/>
        <w:rPr>
          <w:rFonts w:hint="eastAsia" w:cs="Times New Roman"/>
          <w:b w:val="0"/>
          <w:bCs w:val="0"/>
          <w:kern w:val="2"/>
          <w:sz w:val="21"/>
          <w:szCs w:val="24"/>
          <w:lang w:val="en-US" w:eastAsia="zh-CN" w:bidi="ar-SA"/>
        </w:rPr>
      </w:pPr>
      <w:r>
        <w:rPr>
          <w:rFonts w:hint="eastAsia" w:cs="Times New Roman"/>
          <w:b w:val="0"/>
          <w:bCs w:val="0"/>
          <w:kern w:val="2"/>
          <w:sz w:val="21"/>
          <w:szCs w:val="24"/>
          <w:lang w:val="en-US" w:eastAsia="zh-CN" w:bidi="ar-SA"/>
        </w:rPr>
        <w:t>注：双方根据季节变化及使用单位要求，协商调整食谱。每天供应早餐品种要确保不少于4种。</w:t>
      </w:r>
    </w:p>
    <w:p>
      <w:pPr>
        <w:bidi w:val="0"/>
        <w:jc w:val="center"/>
        <w:rPr>
          <w:rFonts w:hint="eastAsia" w:cs="Times New Roman"/>
          <w:b/>
          <w:bCs/>
          <w:kern w:val="2"/>
          <w:sz w:val="21"/>
          <w:szCs w:val="24"/>
          <w:lang w:val="en-US" w:eastAsia="zh-CN" w:bidi="ar-SA"/>
        </w:rPr>
      </w:pPr>
    </w:p>
    <w:p>
      <w:pPr>
        <w:bidi w:val="0"/>
        <w:jc w:val="center"/>
        <w:rPr>
          <w:rFonts w:hint="eastAsia" w:ascii="Times New Roman" w:hAnsi="Times New Roman" w:eastAsia="宋体" w:cs="Times New Roman"/>
          <w:b/>
          <w:bCs/>
          <w:kern w:val="2"/>
          <w:sz w:val="21"/>
          <w:szCs w:val="24"/>
          <w:lang w:val="en-US" w:eastAsia="zh-CN" w:bidi="ar-SA"/>
        </w:rPr>
      </w:pPr>
      <w:r>
        <w:rPr>
          <w:rFonts w:hint="eastAsia" w:cs="Times New Roman"/>
          <w:b/>
          <w:bCs/>
          <w:kern w:val="2"/>
          <w:sz w:val="28"/>
          <w:szCs w:val="28"/>
          <w:lang w:val="en-US" w:eastAsia="zh-CN" w:bidi="ar-SA"/>
        </w:rPr>
        <w:t>午餐食谱</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9"/>
        <w:gridCol w:w="2484"/>
        <w:gridCol w:w="1962"/>
        <w:gridCol w:w="1710"/>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71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星期</w:t>
            </w: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菜名</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食材</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重量（克）</w:t>
            </w:r>
          </w:p>
        </w:tc>
        <w:tc>
          <w:tcPr>
            <w:tcW w:w="6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w:t>
            </w: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千叶豆腐炒青菜</w:t>
            </w:r>
            <w:bookmarkStart w:id="2" w:name="_GoBack"/>
            <w:bookmarkEnd w:id="2"/>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千叶豆腐</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7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杏鲍菇炒肉</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杏鲍菇</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花卷、馒头</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冬瓜海带汤</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冬瓜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海带</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w:t>
            </w: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芹菜炒肉片</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红萝卜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芹菜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素炒菜花</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菜花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红辣椒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米饭</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大米</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紫菜蛋花汤</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鸡蛋</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w:t>
            </w: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牛肉汤</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豆腐皮</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豆腐</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粉条</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粉丝</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红萝卜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腐竹</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木耳</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花卷、馒头</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w:t>
            </w: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青椒洋葱炒肉片</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洋葱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肉片</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红萝卜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家常土豆片</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红椒</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米饭</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大米</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西红柿鸡蛋汤</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鸡蛋</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西红柿</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w:t>
            </w:r>
          </w:p>
        </w:tc>
        <w:tc>
          <w:tcPr>
            <w:tcW w:w="14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家常烩面</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面条</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67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肉丝</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红萝卜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豆腐</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木耳</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白菜</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花卷、馒头</w:t>
            </w:r>
          </w:p>
        </w:tc>
        <w:tc>
          <w:tcPr>
            <w:tcW w:w="115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面粉</w:t>
            </w:r>
          </w:p>
        </w:tc>
        <w:tc>
          <w:tcPr>
            <w:tcW w:w="10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7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sz w:val="24"/>
          <w:szCs w:val="24"/>
          <w:lang w:eastAsia="zh-CN"/>
        </w:rPr>
      </w:pPr>
      <w:r>
        <w:rPr>
          <w:rFonts w:hint="eastAsia" w:ascii="宋体" w:hAnsi="宋体" w:eastAsia="宋体" w:cs="宋体"/>
          <w:sz w:val="24"/>
          <w:szCs w:val="24"/>
          <w:lang w:eastAsia="zh-CN"/>
        </w:rPr>
        <w:t>备注：食谱中所含配菜均为净菜。双方根据季节变化及使用单位要求，协商调整食谱。</w:t>
      </w:r>
    </w:p>
    <w:p>
      <w:pPr>
        <w:widowControl/>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永寿中小学营养餐调味使用标准</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根据西北人的饮食习惯和调料常规使用量，特作以下使用标准，请遵照执行。</w:t>
      </w:r>
    </w:p>
    <w:tbl>
      <w:tblPr>
        <w:tblStyle w:val="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359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lang w:eastAsia="zh-CN"/>
              </w:rPr>
            </w:pPr>
            <w:r>
              <w:rPr>
                <w:rFonts w:hint="eastAsia" w:ascii="宋体" w:hAnsi="宋体" w:cs="宋体"/>
                <w:sz w:val="22"/>
                <w:szCs w:val="22"/>
                <w:vertAlign w:val="baseline"/>
                <w:lang w:eastAsia="zh-CN"/>
              </w:rPr>
              <w:t>品目</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人/标准</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油</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15克/每生每餐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盐</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5g/每生每餐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十三香</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lang w:val="en-US" w:eastAsia="zh-CN"/>
              </w:rPr>
              <w:t>0.2</w:t>
            </w:r>
            <w:r>
              <w:rPr>
                <w:rFonts w:hint="eastAsia" w:ascii="宋体" w:hAnsi="宋体" w:eastAsia="宋体" w:cs="宋体"/>
                <w:sz w:val="22"/>
                <w:szCs w:val="22"/>
              </w:rPr>
              <w:t>克/每生每餐</w:t>
            </w:r>
          </w:p>
        </w:tc>
        <w:tc>
          <w:tcPr>
            <w:tcW w:w="2843" w:type="dxa"/>
            <w:noWrap w:val="0"/>
            <w:vAlign w:val="center"/>
          </w:tcPr>
          <w:p>
            <w:pPr>
              <w:spacing w:line="600" w:lineRule="exact"/>
              <w:ind w:firstLine="110" w:firstLineChars="50"/>
              <w:jc w:val="center"/>
              <w:rPr>
                <w:rFonts w:hint="eastAsia" w:ascii="宋体" w:hAnsi="宋体" w:eastAsia="宋体" w:cs="宋体"/>
                <w:sz w:val="22"/>
                <w:szCs w:val="22"/>
                <w:vertAlign w:val="baseline"/>
              </w:rPr>
            </w:pPr>
            <w:r>
              <w:rPr>
                <w:rFonts w:hint="eastAsia" w:ascii="宋体" w:hAnsi="宋体" w:eastAsia="宋体" w:cs="宋体"/>
                <w:sz w:val="22"/>
                <w:szCs w:val="22"/>
              </w:rPr>
              <w:t>45g/袋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鸡精</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0.2g/每生每餐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454g/袋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辣面</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1g/每生每餐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500g/袋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生姜</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1g/每生每餐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19"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大蒜</w:t>
            </w:r>
          </w:p>
        </w:tc>
        <w:tc>
          <w:tcPr>
            <w:tcW w:w="3596"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1g/每生每餐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9" w:type="dxa"/>
            <w:noWrap w:val="0"/>
            <w:vAlign w:val="center"/>
          </w:tcPr>
          <w:p>
            <w:pPr>
              <w:spacing w:line="6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食用醋</w:t>
            </w:r>
          </w:p>
        </w:tc>
        <w:tc>
          <w:tcPr>
            <w:tcW w:w="3596" w:type="dxa"/>
            <w:noWrap w:val="0"/>
            <w:vAlign w:val="center"/>
          </w:tcPr>
          <w:p>
            <w:pPr>
              <w:spacing w:line="6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g/每生每餐</w:t>
            </w:r>
          </w:p>
        </w:tc>
        <w:tc>
          <w:tcPr>
            <w:tcW w:w="2843" w:type="dxa"/>
            <w:noWrap w:val="0"/>
            <w:vAlign w:val="center"/>
          </w:tcPr>
          <w:p>
            <w:pPr>
              <w:spacing w:line="6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40斤/桶、10斤/桶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9" w:type="dxa"/>
            <w:noWrap w:val="0"/>
            <w:vAlign w:val="center"/>
          </w:tcPr>
          <w:p>
            <w:pPr>
              <w:spacing w:line="6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红烧酱汁</w:t>
            </w:r>
          </w:p>
        </w:tc>
        <w:tc>
          <w:tcPr>
            <w:tcW w:w="3596" w:type="dxa"/>
            <w:noWrap w:val="0"/>
            <w:vAlign w:val="center"/>
          </w:tcPr>
          <w:p>
            <w:pPr>
              <w:spacing w:line="6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w:t>
            </w:r>
            <w:r>
              <w:rPr>
                <w:rFonts w:hint="eastAsia" w:ascii="宋体" w:hAnsi="宋体" w:eastAsia="宋体" w:cs="宋体"/>
                <w:sz w:val="22"/>
                <w:szCs w:val="22"/>
              </w:rPr>
              <w:t>g/每生每餐</w:t>
            </w:r>
          </w:p>
        </w:tc>
        <w:tc>
          <w:tcPr>
            <w:tcW w:w="2843" w:type="dxa"/>
            <w:noWrap w:val="0"/>
            <w:vAlign w:val="center"/>
          </w:tcPr>
          <w:p>
            <w:pPr>
              <w:spacing w:line="6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3000</w:t>
            </w:r>
            <w:r>
              <w:rPr>
                <w:rFonts w:hint="eastAsia" w:ascii="宋体" w:hAnsi="宋体" w:eastAsia="宋体" w:cs="宋体"/>
                <w:sz w:val="22"/>
                <w:szCs w:val="22"/>
              </w:rPr>
              <w:t>g</w:t>
            </w:r>
            <w:r>
              <w:rPr>
                <w:rFonts w:hint="eastAsia" w:ascii="宋体" w:hAnsi="宋体" w:eastAsia="宋体" w:cs="宋体"/>
                <w:sz w:val="22"/>
                <w:szCs w:val="22"/>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9" w:type="dxa"/>
            <w:noWrap w:val="0"/>
            <w:vAlign w:val="center"/>
          </w:tcPr>
          <w:p>
            <w:pPr>
              <w:spacing w:line="600" w:lineRule="exact"/>
              <w:jc w:val="center"/>
              <w:rPr>
                <w:rFonts w:hint="eastAsia" w:ascii="宋体" w:hAnsi="宋体" w:eastAsia="宋体" w:cs="宋体"/>
                <w:sz w:val="22"/>
                <w:szCs w:val="22"/>
              </w:rPr>
            </w:pPr>
            <w:r>
              <w:rPr>
                <w:rFonts w:hint="eastAsia" w:ascii="宋体" w:hAnsi="宋体" w:eastAsia="宋体" w:cs="宋体"/>
                <w:sz w:val="22"/>
                <w:szCs w:val="22"/>
              </w:rPr>
              <w:t>干辣椒</w:t>
            </w:r>
          </w:p>
        </w:tc>
        <w:tc>
          <w:tcPr>
            <w:tcW w:w="3596" w:type="dxa"/>
            <w:noWrap w:val="0"/>
            <w:vAlign w:val="center"/>
          </w:tcPr>
          <w:p>
            <w:pPr>
              <w:spacing w:line="600" w:lineRule="exact"/>
              <w:jc w:val="center"/>
              <w:rPr>
                <w:rFonts w:hint="eastAsia" w:ascii="宋体" w:hAnsi="宋体" w:eastAsia="宋体" w:cs="宋体"/>
                <w:sz w:val="22"/>
                <w:szCs w:val="22"/>
              </w:rPr>
            </w:pPr>
            <w:r>
              <w:rPr>
                <w:rFonts w:hint="eastAsia" w:ascii="宋体" w:hAnsi="宋体" w:eastAsia="宋体" w:cs="宋体"/>
                <w:sz w:val="22"/>
                <w:szCs w:val="22"/>
              </w:rPr>
              <w:t>0.2g/每生每餐</w:t>
            </w:r>
          </w:p>
        </w:tc>
        <w:tc>
          <w:tcPr>
            <w:tcW w:w="2843" w:type="dxa"/>
            <w:noWrap w:val="0"/>
            <w:vAlign w:val="center"/>
          </w:tcPr>
          <w:p>
            <w:pPr>
              <w:spacing w:line="600" w:lineRule="exact"/>
              <w:jc w:val="center"/>
              <w:rPr>
                <w:rFonts w:hint="eastAsia" w:ascii="宋体" w:hAnsi="宋体" w:eastAsia="宋体" w:cs="宋体"/>
                <w:sz w:val="22"/>
                <w:szCs w:val="22"/>
                <w:vertAlign w:val="baseline"/>
              </w:rPr>
            </w:pPr>
            <w:r>
              <w:rPr>
                <w:rFonts w:hint="eastAsia" w:ascii="宋体" w:hAnsi="宋体" w:eastAsia="宋体" w:cs="宋体"/>
                <w:sz w:val="22"/>
                <w:szCs w:val="22"/>
              </w:rPr>
              <w:t>称重</w:t>
            </w:r>
          </w:p>
        </w:tc>
      </w:tr>
    </w:tbl>
    <w:p>
      <w:pPr>
        <w:spacing w:line="600" w:lineRule="exact"/>
        <w:rPr>
          <w:rFonts w:hint="eastAsia" w:ascii="宋体" w:hAnsi="宋体" w:eastAsia="宋体" w:cs="宋体"/>
          <w:sz w:val="24"/>
          <w:szCs w:val="24"/>
        </w:rPr>
      </w:pPr>
      <w:r>
        <w:rPr>
          <w:rFonts w:hint="eastAsia" w:ascii="宋体" w:hAnsi="宋体" w:eastAsia="宋体" w:cs="宋体"/>
          <w:sz w:val="24"/>
          <w:szCs w:val="24"/>
        </w:rPr>
        <w:t>注：1.以上标准为每生每餐的人均标准：例如，米饭不用食用醋，继续计算在内。</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2.供应商每周根据学生人数平均核算。（正常每周5天计算，节假日另行计算。）</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3.炊事员根据食谱自行调整调料用样、用量。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4.学生个人习惯不同，辣椒面请酌情使用。</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5.供应商供应的所有食材、调味品严禁供应转基因产品。</w:t>
      </w:r>
    </w:p>
    <w:p>
      <w:pPr>
        <w:spacing w:line="52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、食品供应要求</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.1、配送的蔬菜须有固定合作的蔬菜种植基地及稳定的蔬菜货源，配送的蔬菜应经过初加工。</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.2、配送的蔬菜须是新鲜、时令的无公害蔬菜。</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.3、配送的肉类须是经过国家检验检疫部门检验合格的鲜肉类。</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.4、配送的干杂类须是正规厂家并具有合格证书且无任何添加剂的优质产品。</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投标供应商</w:t>
      </w:r>
      <w:r>
        <w:rPr>
          <w:rFonts w:hint="eastAsia" w:ascii="宋体" w:hAnsi="宋体" w:eastAsia="宋体" w:cs="宋体"/>
          <w:color w:val="auto"/>
          <w:sz w:val="24"/>
          <w:highlight w:val="none"/>
        </w:rPr>
        <w:t>应承诺配送物品应按大宗采购。</w:t>
      </w:r>
    </w:p>
    <w:p>
      <w:pPr>
        <w:spacing w:line="52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二、其他要求</w:t>
      </w:r>
    </w:p>
    <w:p>
      <w:pPr>
        <w:spacing w:line="52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（一）食品留样。</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餐次的食品成品必须留样，并按品种分别盛放于清洗消毒后的密闭专用容器内，放置于专用冷藏设施中冷藏48小时。每个品种留样量应满足检验需要，不少于1份，并记录留样食品名称、留样量、留样时间、留样人员、审核人员等。</w:t>
      </w: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）食材采购</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企业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）食品贮存</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1、建立出入库管理制度。成品营养餐及食材的入库、出库必须由专人负责，签字确认。严格入库、出库检查验收，核对数量，检验质量，杜绝质次、变质、过期食品的入库与出库。</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建立库存盘点制度。成品营养餐及食材入库、验收、保管、出库应手续齐全，物、据、账、表相符。盘点后相关人员均须在盘存单上签字。企业应根据日常消耗确定合理库存。发现变质和过期的食品及食材应按规定及时清理销毁，并办理监销手续。</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成品营养餐及食材贮存场所应根据贮存条件分别设置，食品和非食品库房应分设，并配置良好的通风、防潮、防鼠等设施。成品营养餐及食材贮存应当分类、分架、隔墙、离地存放，遵循先进先出的原则摆放，不同区域应有明显标识。散装食品应盛装于容器内，在贮存位置标明食品的名称、生产日期、保质期、供货商及联系方式等内容。盛装食品的容器应符合安全要求。</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）食品加工</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食品加工流程安全、规范，食品添加剂管理使用符合“专人采购、 专人保管、专人领用、专人登记、专柜保存”要求，洗消设施和保洁设施符合要求，无生熟混放情况。</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）食品安全管理</w:t>
      </w:r>
    </w:p>
    <w:p>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结合自身情况制定健全的食品安全管理制度，应包括索证索票制度、卫生管理制度、进货检查验收制度、储存制度、出库制度、不合格产品处理制度 、培训制度。有食品安全管理组织机构，配有专兼职食品安全管理人员。从业人员持有有效的健康证明并经进行食品安全知识培训。</w:t>
      </w:r>
    </w:p>
    <w:p>
      <w:pPr>
        <w:spacing w:line="480" w:lineRule="exact"/>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）营养餐配送中心</w:t>
      </w:r>
    </w:p>
    <w:p>
      <w:pPr>
        <w:spacing w:line="480" w:lineRule="exact"/>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1、中标企业需运营永寿县学生营养餐配送中心，保证配送中心正常投入使用，日常配送营养餐及食堂午餐食材的一切活动均在永寿县学生营养餐配送中心进行，营养餐配送中心在20</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年春季开学投入使用，营养餐配送中心运营后。</w:t>
      </w:r>
      <w:r>
        <w:rPr>
          <w:rFonts w:hint="eastAsia" w:ascii="宋体" w:hAnsi="宋体" w:cs="宋体"/>
          <w:color w:val="auto"/>
          <w:sz w:val="24"/>
          <w:highlight w:val="none"/>
          <w:lang w:val="en-US" w:eastAsia="zh-CN"/>
        </w:rPr>
        <w:t>运营企业肩负两个职能，一是营养</w:t>
      </w:r>
      <w:r>
        <w:rPr>
          <w:rFonts w:hint="eastAsia" w:ascii="宋体" w:hAnsi="宋体" w:cs="宋体"/>
          <w:color w:val="auto"/>
          <w:sz w:val="24"/>
          <w:highlight w:val="none"/>
          <w:lang w:eastAsia="zh-CN"/>
        </w:rPr>
        <w:t>午餐食材必须由永寿县营养餐配送中心</w:t>
      </w:r>
      <w:r>
        <w:rPr>
          <w:rFonts w:hint="eastAsia" w:ascii="宋体" w:hAnsi="宋体" w:cs="宋体"/>
          <w:color w:val="auto"/>
          <w:sz w:val="24"/>
          <w:highlight w:val="none"/>
          <w:lang w:val="en-US" w:eastAsia="zh-CN"/>
        </w:rPr>
        <w:t>分拣</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36</w:t>
      </w:r>
      <w:r>
        <w:rPr>
          <w:rFonts w:hint="eastAsia" w:ascii="宋体" w:hAnsi="宋体" w:cs="宋体"/>
          <w:color w:val="auto"/>
          <w:sz w:val="24"/>
          <w:highlight w:val="none"/>
          <w:lang w:eastAsia="zh-CN"/>
        </w:rPr>
        <w:t>所学校食堂配送营养午餐食材，惠及学生</w:t>
      </w:r>
      <w:r>
        <w:rPr>
          <w:rFonts w:hint="eastAsia" w:ascii="宋体" w:hAnsi="宋体" w:cs="宋体"/>
          <w:color w:val="auto"/>
          <w:sz w:val="24"/>
          <w:highlight w:val="none"/>
          <w:lang w:val="en-US" w:eastAsia="zh-CN"/>
        </w:rPr>
        <w:t>6128</w:t>
      </w:r>
      <w:r>
        <w:rPr>
          <w:rFonts w:hint="eastAsia" w:ascii="宋体" w:hAnsi="宋体" w:cs="宋体"/>
          <w:color w:val="auto"/>
          <w:sz w:val="24"/>
          <w:highlight w:val="none"/>
          <w:lang w:eastAsia="zh-CN"/>
        </w:rPr>
        <w:t>名。</w:t>
      </w:r>
      <w:r>
        <w:rPr>
          <w:rFonts w:hint="eastAsia" w:ascii="宋体" w:hAnsi="宋体" w:cs="宋体"/>
          <w:color w:val="auto"/>
          <w:sz w:val="24"/>
          <w:highlight w:val="none"/>
          <w:lang w:val="en-US" w:eastAsia="zh-CN"/>
        </w:rPr>
        <w:t>二是为不具备食堂供餐条件的13所学校的学生配送营养早餐</w:t>
      </w:r>
      <w:r>
        <w:rPr>
          <w:rFonts w:hint="eastAsia" w:ascii="宋体" w:hAnsi="宋体" w:cs="宋体"/>
          <w:color w:val="auto"/>
          <w:sz w:val="24"/>
          <w:highlight w:val="none"/>
          <w:lang w:eastAsia="zh-CN"/>
        </w:rPr>
        <w:t>，惠及学生</w:t>
      </w:r>
      <w:r>
        <w:rPr>
          <w:rFonts w:hint="eastAsia" w:ascii="宋体" w:hAnsi="宋体" w:cs="宋体"/>
          <w:color w:val="auto"/>
          <w:sz w:val="24"/>
          <w:highlight w:val="none"/>
          <w:lang w:val="en-US" w:eastAsia="zh-CN"/>
        </w:rPr>
        <w:t>1739</w:t>
      </w:r>
      <w:r>
        <w:rPr>
          <w:rFonts w:hint="eastAsia" w:ascii="宋体" w:hAnsi="宋体" w:cs="宋体"/>
          <w:color w:val="auto"/>
          <w:sz w:val="24"/>
          <w:highlight w:val="none"/>
          <w:lang w:eastAsia="zh-CN"/>
        </w:rPr>
        <w:t>名。</w:t>
      </w:r>
    </w:p>
    <w:p>
      <w:pPr>
        <w:spacing w:line="4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2、中标供应商必须按照国家标准折旧后的价格无条件接收永寿县营养餐配送中心的固定资产设备。采购人不承担任何费用。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3BCC2"/>
    <w:multiLevelType w:val="multilevel"/>
    <w:tmpl w:val="CC53BCC2"/>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mFkYjhiNjFkM2NkMjViOTAyYzNjYmVjMWZjM2MifQ=="/>
  </w:docVars>
  <w:rsids>
    <w:rsidRoot w:val="00000000"/>
    <w:rsid w:val="0F427218"/>
    <w:rsid w:val="17B930E3"/>
    <w:rsid w:val="24833D88"/>
    <w:rsid w:val="26014DC1"/>
    <w:rsid w:val="29763EBB"/>
    <w:rsid w:val="31791A6F"/>
    <w:rsid w:val="32904240"/>
    <w:rsid w:val="3B77404B"/>
    <w:rsid w:val="4B3E365A"/>
    <w:rsid w:val="4F514050"/>
    <w:rsid w:val="5E481454"/>
    <w:rsid w:val="5E4A0E97"/>
    <w:rsid w:val="6353259C"/>
    <w:rsid w:val="699770E6"/>
    <w:rsid w:val="7839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32"/>
      <w:szCs w:val="20"/>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99"/>
    <w:pPr>
      <w:widowControl/>
      <w:overflowPunct w:val="0"/>
      <w:autoSpaceDE w:val="0"/>
      <w:autoSpaceDN w:val="0"/>
      <w:adjustRightInd w:val="0"/>
      <w:jc w:val="left"/>
    </w:pPr>
    <w:rPr>
      <w:rFonts w:ascii="宋体" w:hAnsi="Courier New"/>
      <w:kern w:val="0"/>
      <w:szCs w:val="20"/>
    </w:rPr>
  </w:style>
  <w:style w:type="paragraph" w:styleId="4">
    <w:name w:val="Body Text"/>
    <w:basedOn w:val="1"/>
    <w:next w:val="1"/>
    <w:autoRedefine/>
    <w:unhideWhenUsed/>
    <w:qFormat/>
    <w:uiPriority w:val="99"/>
    <w:pPr>
      <w:spacing w:after="12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2024-03-04T00:35:00Z</dcterms:created>
  <dc:creator>Administrator</dc:creator>
  <cp:lastModifiedBy>颜小玩.</cp:lastModifiedBy>
  <dcterms:modified xsi:type="dcterms:W3CDTF">2024-03-04T12:17:47Z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8F7A54C43E1946E29258F2BA2C805CC1_12</vt:lpwstr>
  </property>
</Properties>
</file>