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版本号：SX-JSZB(2025)-01420251013001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2025年新媒体运营服务项目(二次)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SX-JSZB(2025)-014</w:t>
      </w:r>
      <w:r>
        <w:br/>
      </w:r>
      <w:r>
        <w:br/>
      </w:r>
      <w:r>
        <w:br/>
      </w:r>
    </w:p>
    <w:p>
      <w:pPr>
        <w:pStyle w:val="null3"/>
        <w:jc w:val="center"/>
        <w:outlineLvl w:val="2"/>
      </w:pPr>
      <w:r>
        <w:rPr>
          <w:rFonts w:ascii="仿宋_GB2312" w:hAnsi="仿宋_GB2312" w:cs="仿宋_GB2312" w:eastAsia="仿宋_GB2312"/>
          <w:sz w:val="28"/>
          <w:b/>
        </w:rPr>
        <w:t>渭南市文化和旅游局</w:t>
      </w:r>
    </w:p>
    <w:p>
      <w:pPr>
        <w:pStyle w:val="null3"/>
        <w:jc w:val="center"/>
        <w:outlineLvl w:val="2"/>
      </w:pPr>
      <w:r>
        <w:rPr>
          <w:rFonts w:ascii="仿宋_GB2312" w:hAnsi="仿宋_GB2312" w:cs="仿宋_GB2312" w:eastAsia="仿宋_GB2312"/>
          <w:sz w:val="28"/>
          <w:b/>
        </w:rPr>
        <w:t>陕西巨思项目管理有限公司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陕西巨思项目管理有限公司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2025年新媒体运营服务项目(二次)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SX-JSZB(2025)-014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2025年新媒体运营服务项目(二次)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联合时下抖音、微博等新媒体，创新文旅产品宣传模式。对渭南文旅抖音号、视频号、微博等进行日常维护，单位重大活动需进行照片采集、视频拍摄和剪辑，根据抖音、微博等平台运行规则，围绕渭南文旅策划创作相应作品，通过新媒体的宣传手段，力求将渭南市丰富的旅游资源宣传效果最大化，通过自媒体形式充分展示渭南市旅游文化的魅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采购包1（2025年新媒体运营服务项目）：属于专门面向中小企业采购。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投标人是法人或其他组织的应提供营业执照等证明文件，投标人是自然人的应提供有效的自然人身份证明；</w:t>
      </w:r>
    </w:p>
    <w:p>
      <w:pPr>
        <w:pStyle w:val="null3"/>
      </w:pPr>
      <w:r>
        <w:rPr>
          <w:rFonts w:ascii="仿宋_GB2312" w:hAnsi="仿宋_GB2312" w:cs="仿宋_GB2312" w:eastAsia="仿宋_GB2312"/>
        </w:rPr>
        <w:t>2、财务状况报告：提供2024年度经审计的财务报告（包括“三表一注”，即资产负债表、利润表、现金流量表及其附注，成立时间至提交响应文件截止时间不足一年的可提供成立后任意时段的资产负债表），或其基本存款账户开户银行出具的资信证明及基本存款账户证明；</w:t>
      </w:r>
    </w:p>
    <w:p>
      <w:pPr>
        <w:pStyle w:val="null3"/>
      </w:pPr>
      <w:r>
        <w:rPr>
          <w:rFonts w:ascii="仿宋_GB2312" w:hAnsi="仿宋_GB2312" w:cs="仿宋_GB2312" w:eastAsia="仿宋_GB2312"/>
        </w:rPr>
        <w:t>3、税收缴纳证明：提供投标截止日前6个月内已缴纳的至少一个月的纳税证明或完税证明（增值税或印花税等税种），依法免税的单位应提供相关证明材料；</w:t>
      </w:r>
    </w:p>
    <w:p>
      <w:pPr>
        <w:pStyle w:val="null3"/>
      </w:pPr>
      <w:r>
        <w:rPr>
          <w:rFonts w:ascii="仿宋_GB2312" w:hAnsi="仿宋_GB2312" w:cs="仿宋_GB2312" w:eastAsia="仿宋_GB2312"/>
        </w:rPr>
        <w:t>4、社会保障资金缴纳证明：提供投标截止日前6个月内已缴存的至少一个月的社会保障资金缴存单据或社保机构开具的社会保险参保缴费情况证明，依法不需要缴纳社会保障资金的单位应提供相关证明材料；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5、专业技术能力证明：提供具有履行合同所必需的设备和专业技术能力的承诺；</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7、中小企业声明：本项目为专门面向中小企业采购项目须根据《政府采购促进中小企业发展管理办法》（财库﹝2020﹞46 号）的规定提供《中小企业声明函》；</w:t>
      </w:r>
    </w:p>
    <w:p>
      <w:pPr>
        <w:pStyle w:val="null3"/>
      </w:pPr>
      <w:r>
        <w:rPr>
          <w:rFonts w:ascii="仿宋_GB2312" w:hAnsi="仿宋_GB2312" w:cs="仿宋_GB2312" w:eastAsia="仿宋_GB2312"/>
        </w:rPr>
        <w:t>8、法定代表人证明书或授权委托书：非法定代表人参加投标，须提供法定代表人授权委托书及被授权人身份证原件；法定代表人参加投标时,须提供法人身份证明书及法定代表人身份证原件；</w:t>
      </w:r>
    </w:p>
    <w:p>
      <w:pPr>
        <w:pStyle w:val="null3"/>
      </w:pPr>
      <w:r>
        <w:rPr>
          <w:rFonts w:ascii="仿宋_GB2312" w:hAnsi="仿宋_GB2312" w:cs="仿宋_GB2312" w:eastAsia="仿宋_GB2312"/>
        </w:rPr>
        <w:t>9、信用查询：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陕西巨思项目管理有限公司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陕西省西安市经济技术开发区凤城八路158号20幢1单元6楼609室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董星、郑凌汐、高欢、宋雯静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19992817810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开户名称：陕西巨思项目管理有限公司</w:t>
            </w:r>
          </w:p>
          <w:p>
            <w:pPr>
              <w:pStyle w:val="null3"/>
            </w:pPr>
            <w:r>
              <w:rPr>
                <w:rFonts w:ascii="仿宋_GB2312" w:hAnsi="仿宋_GB2312" w:cs="仿宋_GB2312" w:eastAsia="仿宋_GB2312"/>
              </w:rPr>
              <w:t>开户银行：中国建设银行股份有限公司西安中央领郡支行</w:t>
            </w:r>
          </w:p>
          <w:p>
            <w:pPr>
              <w:pStyle w:val="null3"/>
            </w:pPr>
            <w:r>
              <w:rPr>
                <w:rFonts w:ascii="仿宋_GB2312" w:hAnsi="仿宋_GB2312" w:cs="仿宋_GB2312" w:eastAsia="仿宋_GB2312"/>
              </w:rPr>
              <w:t>银行账号：6105 0190 0042 0000 0459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陕西巨思项目管理有限公司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陕西巨思项目管理有限公司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陕西巨思项目管理有限公司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联系人：董星</w:t>
      </w:r>
    </w:p>
    <w:p>
      <w:pPr>
        <w:pStyle w:val="null3"/>
      </w:pPr>
      <w:r>
        <w:rPr>
          <w:rFonts w:ascii="仿宋_GB2312" w:hAnsi="仿宋_GB2312" w:cs="仿宋_GB2312" w:eastAsia="仿宋_GB2312"/>
        </w:rPr>
        <w:t>联系电话：19992817810</w:t>
      </w:r>
    </w:p>
    <w:p>
      <w:pPr>
        <w:pStyle w:val="null3"/>
      </w:pPr>
      <w:r>
        <w:rPr>
          <w:rFonts w:ascii="仿宋_GB2312" w:hAnsi="仿宋_GB2312" w:cs="仿宋_GB2312" w:eastAsia="仿宋_GB2312"/>
        </w:rPr>
        <w:t>地址：陕西省西安市经济技术开发区凤城八路158号20幢1单元6楼609室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联合时下抖音、微博等新媒体，创新文旅产品宣传模式。对渭南文旅抖音号、视频号、微博等进行日常维护，单位重大活动需进行照片采集、视频拍摄和剪辑，根据抖音、微博等平台运行规则，围绕渭南文旅策划创作相应作品，通过新媒体的宣传手段，力求将渭南市丰富的旅游资源宣传效果最大化，通过自媒体形式充分展示渭南市旅游文化的魅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2025年新媒体运营服务项目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标的名称：2025年新媒体运营服务项目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1、抖音、微信公众号、视频号、微博、小红书等各新媒体平台的内容策划、编辑、发布以及数据复盘分析；</w:t>
            </w:r>
          </w:p>
          <w:p>
            <w:pPr>
              <w:pStyle w:val="null3"/>
            </w:pPr>
            <w:r>
              <w:rPr>
                <w:rFonts w:ascii="仿宋_GB2312" w:hAnsi="仿宋_GB2312" w:cs="仿宋_GB2312" w:eastAsia="仿宋_GB2312"/>
              </w:rPr>
              <w:t>2、网站日常维护，以及内容更新；</w:t>
            </w:r>
          </w:p>
          <w:p>
            <w:pPr>
              <w:pStyle w:val="null3"/>
            </w:pPr>
            <w:r>
              <w:rPr>
                <w:rFonts w:ascii="仿宋_GB2312" w:hAnsi="仿宋_GB2312" w:cs="仿宋_GB2312" w:eastAsia="仿宋_GB2312"/>
              </w:rPr>
              <w:t>3、单位重大活动照片采集、视频拍摄和剪辑，以及文旅素材的收集、整理。</w:t>
            </w:r>
          </w:p>
          <w:p>
            <w:pPr>
              <w:pStyle w:val="null3"/>
            </w:pPr>
            <w:r>
              <w:rPr>
                <w:rFonts w:ascii="仿宋_GB2312" w:hAnsi="仿宋_GB2312" w:cs="仿宋_GB2312" w:eastAsia="仿宋_GB2312"/>
              </w:rPr>
              <w:t>4、负责通联邮箱的管理，信息报送，以及日常与各县及下属单位的通联。</w:t>
            </w:r>
          </w:p>
          <w:p>
            <w:pPr>
              <w:pStyle w:val="null3"/>
            </w:pPr>
            <w:r>
              <w:rPr>
                <w:rFonts w:ascii="仿宋_GB2312" w:hAnsi="仿宋_GB2312" w:cs="仿宋_GB2312" w:eastAsia="仿宋_GB2312"/>
              </w:rPr>
              <w:t>5、本项需要至少5人的团队长期驻场（包含一名负责人），重要活动或节假日接到甲方工作安排时须根据甲方要求增加驻场人员。办公场地及办公电脑由采购人提供。</w:t>
            </w:r>
          </w:p>
          <w:p>
            <w:pPr>
              <w:pStyle w:val="null3"/>
            </w:pPr>
            <w:r>
              <w:rPr>
                <w:rFonts w:ascii="仿宋_GB2312" w:hAnsi="仿宋_GB2312" w:cs="仿宋_GB2312" w:eastAsia="仿宋_GB2312"/>
              </w:rPr>
              <w:t>6、服务期间须自行提供各类摄影摄像等音视频录制设备，且具备各类音视频剪辑所使用的正版主流软件，若外出拍摄时须提供保障用车。</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both"/>
            </w:pPr>
            <w:r>
              <w:rPr>
                <w:rFonts w:ascii="仿宋_GB2312" w:hAnsi="仿宋_GB2312" w:cs="仿宋_GB2312" w:eastAsia="仿宋_GB2312"/>
              </w:rPr>
              <w:t>（二）服务要求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类别</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负责岗位</w:t>
                  </w:r>
                </w:p>
              </w:tc>
              <w:tc>
                <w:tcPr>
                  <w:tcW w:type="dxa" w:w="638"/>
                </w:tcPr>
                <w:p>
                  <w:pPr>
                    <w:pStyle w:val="null3"/>
                  </w:pPr>
                  <w:r>
                    <w:rPr>
                      <w:rFonts w:ascii="仿宋_GB2312" w:hAnsi="仿宋_GB2312" w:cs="仿宋_GB2312" w:eastAsia="仿宋_GB2312"/>
                    </w:rPr>
                    <w:t>内容</w:t>
                  </w:r>
                </w:p>
              </w:tc>
            </w:tr>
            <w:tr>
              <w:tc>
                <w:tcPr>
                  <w:tcW w:type="dxa" w:w="638"/>
                  <w:vMerge w:val="restart"/>
                </w:tcPr>
                <w:p>
                  <w:pPr>
                    <w:pStyle w:val="null3"/>
                  </w:pPr>
                  <w:r>
                    <w:rPr>
                      <w:rFonts w:ascii="仿宋_GB2312" w:hAnsi="仿宋_GB2312" w:cs="仿宋_GB2312" w:eastAsia="仿宋_GB2312"/>
                    </w:rPr>
                    <w:t>宣传类</w:t>
                  </w:r>
                </w:p>
              </w:tc>
              <w:tc>
                <w:tcPr>
                  <w:tcW w:type="dxa" w:w="638"/>
                </w:tcPr>
                <w:p>
                  <w:pPr>
                    <w:pStyle w:val="null3"/>
                  </w:pPr>
                  <w:r>
                    <w:rPr>
                      <w:rFonts w:ascii="仿宋_GB2312" w:hAnsi="仿宋_GB2312" w:cs="仿宋_GB2312" w:eastAsia="仿宋_GB2312"/>
                    </w:rPr>
                    <w:t>抖音号</w:t>
                  </w:r>
                </w:p>
              </w:tc>
              <w:tc>
                <w:tcPr>
                  <w:tcW w:type="dxa" w:w="638"/>
                  <w:vMerge w:val="restart"/>
                </w:tcPr>
                <w:p>
                  <w:pPr>
                    <w:pStyle w:val="null3"/>
                  </w:pPr>
                  <w:r>
                    <w:rPr>
                      <w:rFonts w:ascii="仿宋_GB2312" w:hAnsi="仿宋_GB2312" w:cs="仿宋_GB2312" w:eastAsia="仿宋_GB2312"/>
                    </w:rPr>
                    <w:t>策划</w:t>
                  </w:r>
                </w:p>
              </w:tc>
              <w:tc>
                <w:tcPr>
                  <w:tcW w:type="dxa" w:w="638"/>
                </w:tcPr>
                <w:p>
                  <w:pPr>
                    <w:pStyle w:val="null3"/>
                  </w:pPr>
                  <w:r>
                    <w:rPr>
                      <w:rFonts w:ascii="仿宋_GB2312" w:hAnsi="仿宋_GB2312" w:cs="仿宋_GB2312" w:eastAsia="仿宋_GB2312"/>
                    </w:rPr>
                    <w:t>负责官方抖音账号的日常策划，包括但不限于选题策划、视频拍摄、视频剪辑、粉丝互动、数据分析等。发布频次为每周3-5条。</w:t>
                  </w:r>
                </w:p>
              </w:tc>
            </w:tr>
            <w:tr>
              <w:tc>
                <w:tcPr>
                  <w:tcW w:type="dxa" w:w="638"/>
                  <w:vMerge/>
                </w:tcPr>
                <w:p/>
              </w:tc>
              <w:tc>
                <w:tcPr>
                  <w:tcW w:type="dxa" w:w="638"/>
                </w:tcPr>
                <w:p>
                  <w:pPr>
                    <w:pStyle w:val="null3"/>
                  </w:pPr>
                  <w:r>
                    <w:rPr>
                      <w:rFonts w:ascii="仿宋_GB2312" w:hAnsi="仿宋_GB2312" w:cs="仿宋_GB2312" w:eastAsia="仿宋_GB2312"/>
                    </w:rPr>
                    <w:t>视频号</w:t>
                  </w:r>
                </w:p>
              </w:tc>
              <w:tc>
                <w:tcPr>
                  <w:tcW w:type="dxa" w:w="638"/>
                  <w:vMerge/>
                </w:tcPr>
                <w:p/>
              </w:tc>
              <w:tc>
                <w:tcPr>
                  <w:tcW w:type="dxa" w:w="638"/>
                </w:tcPr>
                <w:p>
                  <w:pPr>
                    <w:pStyle w:val="null3"/>
                  </w:pPr>
                  <w:r>
                    <w:rPr>
                      <w:rFonts w:ascii="仿宋_GB2312" w:hAnsi="仿宋_GB2312" w:cs="仿宋_GB2312" w:eastAsia="仿宋_GB2312"/>
                    </w:rPr>
                    <w:t>负责官方视频号的日常策划，包括但不限于账号运营、选题策划、视频拍摄、视频剪辑、粉丝互动、数据分析等。发布频次为每周至少5条。</w:t>
                  </w:r>
                </w:p>
              </w:tc>
            </w:tr>
            <w:tr>
              <w:tc>
                <w:tcPr>
                  <w:tcW w:type="dxa" w:w="638"/>
                  <w:vMerge/>
                </w:tcPr>
                <w:p/>
              </w:tc>
              <w:tc>
                <w:tcPr>
                  <w:tcW w:type="dxa" w:w="638"/>
                </w:tcPr>
                <w:p>
                  <w:pPr>
                    <w:pStyle w:val="null3"/>
                  </w:pPr>
                  <w:r>
                    <w:rPr>
                      <w:rFonts w:ascii="仿宋_GB2312" w:hAnsi="仿宋_GB2312" w:cs="仿宋_GB2312" w:eastAsia="仿宋_GB2312"/>
                    </w:rPr>
                    <w:t>微博</w:t>
                  </w:r>
                </w:p>
              </w:tc>
              <w:tc>
                <w:tcPr>
                  <w:tcW w:type="dxa" w:w="638"/>
                  <w:vMerge/>
                </w:tcPr>
                <w:p/>
              </w:tc>
              <w:tc>
                <w:tcPr>
                  <w:tcW w:type="dxa" w:w="638"/>
                </w:tcPr>
                <w:p>
                  <w:pPr>
                    <w:pStyle w:val="null3"/>
                  </w:pPr>
                  <w:r>
                    <w:rPr>
                      <w:rFonts w:ascii="仿宋_GB2312" w:hAnsi="仿宋_GB2312" w:cs="仿宋_GB2312" w:eastAsia="仿宋_GB2312"/>
                    </w:rPr>
                    <w:t>负责官方微博的日常策划，包括但不限于选题策划、文旅相关活动更新、粉丝互动、数据分析等。发布频次为工作日每日至少3条。</w:t>
                  </w:r>
                </w:p>
              </w:tc>
            </w:tr>
            <w:tr>
              <w:tc>
                <w:tcPr>
                  <w:tcW w:type="dxa" w:w="638"/>
                  <w:vMerge/>
                </w:tcPr>
                <w:p/>
              </w:tc>
              <w:tc>
                <w:tcPr>
                  <w:tcW w:type="dxa" w:w="638"/>
                </w:tcPr>
                <w:p>
                  <w:pPr>
                    <w:pStyle w:val="null3"/>
                  </w:pPr>
                  <w:r>
                    <w:rPr>
                      <w:rFonts w:ascii="仿宋_GB2312" w:hAnsi="仿宋_GB2312" w:cs="仿宋_GB2312" w:eastAsia="仿宋_GB2312"/>
                    </w:rPr>
                    <w:t>小红书</w:t>
                  </w:r>
                </w:p>
              </w:tc>
              <w:tc>
                <w:tcPr>
                  <w:tcW w:type="dxa" w:w="638"/>
                  <w:vMerge/>
                </w:tcPr>
                <w:p/>
              </w:tc>
              <w:tc>
                <w:tcPr>
                  <w:tcW w:type="dxa" w:w="638"/>
                </w:tcPr>
                <w:p>
                  <w:pPr>
                    <w:pStyle w:val="null3"/>
                  </w:pPr>
                  <w:r>
                    <w:rPr>
                      <w:rFonts w:ascii="仿宋_GB2312" w:hAnsi="仿宋_GB2312" w:cs="仿宋_GB2312" w:eastAsia="仿宋_GB2312"/>
                    </w:rPr>
                    <w:t>负责官方小红书的日常策划，包括但不限于选题策划、文旅相关活动更新、粉丝互动、数据分析等。发布频次为每周3-5条。</w:t>
                  </w:r>
                </w:p>
              </w:tc>
            </w:tr>
            <w:tr>
              <w:tc>
                <w:tcPr>
                  <w:tcW w:type="dxa" w:w="638"/>
                  <w:vMerge/>
                </w:tcPr>
                <w:p/>
              </w:tc>
              <w:tc>
                <w:tcPr>
                  <w:tcW w:type="dxa" w:w="638"/>
                </w:tcPr>
                <w:p>
                  <w:pPr>
                    <w:pStyle w:val="null3"/>
                  </w:pPr>
                  <w:r>
                    <w:rPr>
                      <w:rFonts w:ascii="仿宋_GB2312" w:hAnsi="仿宋_GB2312" w:cs="仿宋_GB2312" w:eastAsia="仿宋_GB2312"/>
                    </w:rPr>
                    <w:t>微信公众号</w:t>
                  </w:r>
                </w:p>
              </w:tc>
              <w:tc>
                <w:tcPr>
                  <w:tcW w:type="dxa" w:w="638"/>
                  <w:vMerge/>
                </w:tcPr>
                <w:p/>
              </w:tc>
              <w:tc>
                <w:tcPr>
                  <w:tcW w:type="dxa" w:w="638"/>
                </w:tcPr>
                <w:p>
                  <w:pPr>
                    <w:pStyle w:val="null3"/>
                  </w:pPr>
                  <w:r>
                    <w:rPr>
                      <w:rFonts w:ascii="仿宋_GB2312" w:hAnsi="仿宋_GB2312" w:cs="仿宋_GB2312" w:eastAsia="仿宋_GB2312"/>
                    </w:rPr>
                    <w:t>负责官方账号的日常策划，包括但不限于选题策划、稿件编辑、粉丝互动、数据分析等。发布频次为工作日每日至少3条。</w:t>
                  </w:r>
                </w:p>
              </w:tc>
            </w:tr>
            <w:tr>
              <w:tc>
                <w:tcPr>
                  <w:tcW w:type="dxa" w:w="638"/>
                  <w:vMerge w:val="restart"/>
                </w:tcPr>
                <w:p>
                  <w:pPr>
                    <w:pStyle w:val="null3"/>
                  </w:pPr>
                  <w:r>
                    <w:rPr>
                      <w:rFonts w:ascii="仿宋_GB2312" w:hAnsi="仿宋_GB2312" w:cs="仿宋_GB2312" w:eastAsia="仿宋_GB2312"/>
                    </w:rPr>
                    <w:t>其他日常工作</w:t>
                  </w:r>
                </w:p>
              </w:tc>
              <w:tc>
                <w:tcPr>
                  <w:tcW w:type="dxa" w:w="638"/>
                </w:tcPr>
                <w:p>
                  <w:pPr>
                    <w:pStyle w:val="null3"/>
                  </w:pPr>
                  <w:r>
                    <w:rPr>
                      <w:rFonts w:ascii="仿宋_GB2312" w:hAnsi="仿宋_GB2312" w:cs="仿宋_GB2312" w:eastAsia="仿宋_GB2312"/>
                    </w:rPr>
                    <w:t>网站</w:t>
                  </w:r>
                </w:p>
              </w:tc>
              <w:tc>
                <w:tcPr>
                  <w:tcW w:type="dxa" w:w="638"/>
                  <w:vMerge w:val="restart"/>
                </w:tcPr>
                <w:p>
                  <w:pPr>
                    <w:pStyle w:val="null3"/>
                  </w:pPr>
                  <w:r>
                    <w:rPr>
                      <w:rFonts w:ascii="仿宋_GB2312" w:hAnsi="仿宋_GB2312" w:cs="仿宋_GB2312" w:eastAsia="仿宋_GB2312"/>
                    </w:rPr>
                    <w:t>通联</w:t>
                  </w:r>
                </w:p>
              </w:tc>
              <w:tc>
                <w:tcPr>
                  <w:tcW w:type="dxa" w:w="638"/>
                </w:tcPr>
                <w:p>
                  <w:pPr>
                    <w:pStyle w:val="null3"/>
                  </w:pPr>
                  <w:r>
                    <w:rPr>
                      <w:rFonts w:ascii="仿宋_GB2312" w:hAnsi="仿宋_GB2312" w:cs="仿宋_GB2312" w:eastAsia="仿宋_GB2312"/>
                    </w:rPr>
                    <w:t>日常维护，以及内容更新；</w:t>
                  </w:r>
                </w:p>
              </w:tc>
            </w:tr>
            <w:tr>
              <w:tc>
                <w:tcPr>
                  <w:tcW w:type="dxa" w:w="638"/>
                  <w:vMerge/>
                </w:tcPr>
                <w:p/>
              </w:tc>
              <w:tc>
                <w:tcPr>
                  <w:tcW w:type="dxa" w:w="638"/>
                </w:tcPr>
                <w:p>
                  <w:pPr>
                    <w:pStyle w:val="null3"/>
                  </w:pPr>
                  <w:r>
                    <w:rPr>
                      <w:rFonts w:ascii="仿宋_GB2312" w:hAnsi="仿宋_GB2312" w:cs="仿宋_GB2312" w:eastAsia="仿宋_GB2312"/>
                    </w:rPr>
                    <w:t>通联邮箱</w:t>
                  </w:r>
                </w:p>
                <w:p>
                  <w:pPr>
                    <w:pStyle w:val="null3"/>
                  </w:pPr>
                  <w:r>
                    <w:rPr>
                      <w:rFonts w:ascii="仿宋_GB2312" w:hAnsi="仿宋_GB2312" w:cs="仿宋_GB2312" w:eastAsia="仿宋_GB2312"/>
                    </w:rPr>
                    <w:t>管理</w:t>
                  </w:r>
                </w:p>
              </w:tc>
              <w:tc>
                <w:tcPr>
                  <w:tcW w:type="dxa" w:w="638"/>
                  <w:vMerge/>
                </w:tcPr>
                <w:p/>
              </w:tc>
              <w:tc>
                <w:tcPr>
                  <w:tcW w:type="dxa" w:w="638"/>
                </w:tcPr>
                <w:p>
                  <w:pPr>
                    <w:pStyle w:val="null3"/>
                  </w:pPr>
                  <w:r>
                    <w:rPr>
                      <w:rFonts w:ascii="仿宋_GB2312" w:hAnsi="仿宋_GB2312" w:cs="仿宋_GB2312" w:eastAsia="仿宋_GB2312"/>
                    </w:rPr>
                    <w:t>负责单位通联邮箱的日常管理，包括但不限于各通联单位的邮件接收整理，与通联单位相关材料的报送。</w:t>
                  </w:r>
                </w:p>
              </w:tc>
            </w:tr>
            <w:tr>
              <w:tc>
                <w:tcPr>
                  <w:tcW w:type="dxa" w:w="638"/>
                  <w:vMerge/>
                </w:tcPr>
                <w:p/>
              </w:tc>
              <w:tc>
                <w:tcPr>
                  <w:tcW w:type="dxa" w:w="638"/>
                </w:tcPr>
                <w:p>
                  <w:pPr>
                    <w:pStyle w:val="null3"/>
                  </w:pPr>
                  <w:r>
                    <w:rPr>
                      <w:rFonts w:ascii="仿宋_GB2312" w:hAnsi="仿宋_GB2312" w:cs="仿宋_GB2312" w:eastAsia="仿宋_GB2312"/>
                    </w:rPr>
                    <w:t>渭南文旅素材资源整理与补充</w:t>
                  </w:r>
                </w:p>
              </w:tc>
              <w:tc>
                <w:tcPr>
                  <w:tcW w:type="dxa" w:w="638"/>
                  <w:vMerge/>
                </w:tcPr>
                <w:p/>
              </w:tc>
              <w:tc>
                <w:tcPr>
                  <w:tcW w:type="dxa" w:w="638"/>
                </w:tcPr>
                <w:p>
                  <w:pPr>
                    <w:pStyle w:val="null3"/>
                  </w:pPr>
                  <w:r>
                    <w:rPr>
                      <w:rFonts w:ascii="仿宋_GB2312" w:hAnsi="仿宋_GB2312" w:cs="仿宋_GB2312" w:eastAsia="仿宋_GB2312"/>
                    </w:rPr>
                    <w:t>对渭南文旅相关图片视频素材进行整理和更新，根据中心的工作需求进行素材采集与补充。</w:t>
                  </w:r>
                </w:p>
              </w:tc>
            </w:tr>
            <w:tr>
              <w:tc>
                <w:tcPr>
                  <w:tcW w:type="dxa" w:w="638"/>
                  <w:vMerge/>
                </w:tcPr>
                <w:p/>
              </w:tc>
              <w:tc>
                <w:tcPr>
                  <w:tcW w:type="dxa" w:w="638"/>
                </w:tcPr>
                <w:p>
                  <w:pPr>
                    <w:pStyle w:val="null3"/>
                  </w:pPr>
                  <w:r>
                    <w:rPr>
                      <w:rFonts w:ascii="仿宋_GB2312" w:hAnsi="仿宋_GB2312" w:cs="仿宋_GB2312" w:eastAsia="仿宋_GB2312"/>
                    </w:rPr>
                    <w:t>活动采编（图文）</w:t>
                  </w:r>
                </w:p>
              </w:tc>
              <w:tc>
                <w:tcPr>
                  <w:tcW w:type="dxa" w:w="638"/>
                  <w:vMerge w:val="restart"/>
                </w:tcPr>
                <w:p>
                  <w:pPr>
                    <w:pStyle w:val="null3"/>
                  </w:pPr>
                  <w:r>
                    <w:rPr>
                      <w:rFonts w:ascii="仿宋_GB2312" w:hAnsi="仿宋_GB2312" w:cs="仿宋_GB2312" w:eastAsia="仿宋_GB2312"/>
                    </w:rPr>
                    <w:t>采集、制作</w:t>
                  </w:r>
                </w:p>
              </w:tc>
              <w:tc>
                <w:tcPr>
                  <w:tcW w:type="dxa" w:w="638"/>
                </w:tcPr>
                <w:p>
                  <w:pPr>
                    <w:pStyle w:val="null3"/>
                  </w:pPr>
                  <w:r>
                    <w:rPr>
                      <w:rFonts w:ascii="仿宋_GB2312" w:hAnsi="仿宋_GB2312" w:cs="仿宋_GB2312" w:eastAsia="仿宋_GB2312"/>
                    </w:rPr>
                    <w:t>单位各类活动新闻采编（照片拍摄、稿件撰写）。</w:t>
                  </w:r>
                </w:p>
              </w:tc>
            </w:tr>
            <w:tr>
              <w:tc>
                <w:tcPr>
                  <w:tcW w:type="dxa" w:w="638"/>
                  <w:vMerge/>
                </w:tcPr>
                <w:p/>
              </w:tc>
              <w:tc>
                <w:tcPr>
                  <w:tcW w:type="dxa" w:w="638"/>
                </w:tcPr>
                <w:p>
                  <w:pPr>
                    <w:pStyle w:val="null3"/>
                  </w:pPr>
                  <w:r>
                    <w:rPr>
                      <w:rFonts w:ascii="仿宋_GB2312" w:hAnsi="仿宋_GB2312" w:cs="仿宋_GB2312" w:eastAsia="仿宋_GB2312"/>
                    </w:rPr>
                    <w:t>活动采编（视频）</w:t>
                  </w:r>
                </w:p>
              </w:tc>
              <w:tc>
                <w:tcPr>
                  <w:tcW w:type="dxa" w:w="638"/>
                  <w:vMerge/>
                </w:tcPr>
                <w:p/>
              </w:tc>
              <w:tc>
                <w:tcPr>
                  <w:tcW w:type="dxa" w:w="638"/>
                </w:tcPr>
                <w:p>
                  <w:pPr>
                    <w:pStyle w:val="null3"/>
                  </w:pPr>
                  <w:r>
                    <w:rPr>
                      <w:rFonts w:ascii="仿宋_GB2312" w:hAnsi="仿宋_GB2312" w:cs="仿宋_GB2312" w:eastAsia="仿宋_GB2312"/>
                    </w:rPr>
                    <w:t>单位重大活动视频拍摄、视频制作与视频资料存档。</w:t>
                  </w:r>
                </w:p>
              </w:tc>
            </w:tr>
            <w:tr>
              <w:tc>
                <w:tcPr>
                  <w:tcW w:type="dxa" w:w="638"/>
                  <w:vMerge/>
                </w:tcPr>
                <w:p/>
              </w:tc>
              <w:tc>
                <w:tcPr>
                  <w:tcW w:type="dxa" w:w="638"/>
                </w:tcPr>
                <w:p>
                  <w:pPr>
                    <w:pStyle w:val="null3"/>
                  </w:pPr>
                  <w:r>
                    <w:rPr>
                      <w:rFonts w:ascii="仿宋_GB2312" w:hAnsi="仿宋_GB2312" w:cs="仿宋_GB2312" w:eastAsia="仿宋_GB2312"/>
                    </w:rPr>
                    <w:t>新媒体平台建设</w:t>
                  </w:r>
                </w:p>
              </w:tc>
              <w:tc>
                <w:tcPr>
                  <w:tcW w:type="dxa" w:w="638"/>
                  <w:vMerge/>
                </w:tcPr>
                <w:p/>
              </w:tc>
              <w:tc>
                <w:tcPr>
                  <w:tcW w:type="dxa" w:w="638"/>
                </w:tcPr>
                <w:p>
                  <w:pPr>
                    <w:pStyle w:val="null3"/>
                  </w:pPr>
                  <w:r>
                    <w:rPr>
                      <w:rFonts w:ascii="仿宋_GB2312" w:hAnsi="仿宋_GB2312" w:cs="仿宋_GB2312" w:eastAsia="仿宋_GB2312"/>
                    </w:rPr>
                    <w:t>整合单位新媒体平台资源，提升运维数据，不断优化单位新媒体平台运行效能。</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服务期达到6个月时，甲方确认服务内容满意，资料审核齐全后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服务期满后10个工作日提供验收资料，验收通过后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响应文件至代理机构（经编标工具生成的文件直接打印并加盖公章），递交的纸质版文件内容确保与线上电子文件保持一致，不允许修改和补充。2、根据《政府采购法实施条例》释义，银行、保险、石油石化、电力、电信等有行业特殊情况的，允许法人的分支机构参加政府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提供合格有效的法人或者其他组织的营业执照等证明文件，自然人的身份证明；投标人是法人或其他组织的应提供营业执照等证明文件，投标人是自然人的应提供有效的自然人身份证明；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即资产负债表、利润表、现金流量表及其附注，成立时间至提交响应文件截止时间不足一年的可提供成立后任意时段的资产负债表），或其基本存款账户开户银行出具的资信证明及基本存款账户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提供投标截止日前6个月内已缴纳的至少一个月的纳税证明或完税证明（增值税或印花税等税种），依法免税的单位应提供相关证明材料；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 号）的规定提供《中小企业声明函》；</w:t>
            </w:r>
          </w:p>
        </w:tc>
        <w:tc>
          <w:tcPr>
            <w:tcW w:type="dxa" w:w="1661"/>
          </w:tcPr>
          <w:p>
            <w:pPr>
              <w:pStyle w:val="null3"/>
            </w:pPr>
            <w:r>
              <w:rPr>
                <w:rFonts w:ascii="仿宋_GB2312" w:hAnsi="仿宋_GB2312" w:cs="仿宋_GB2312" w:eastAsia="仿宋_GB2312"/>
              </w:rPr>
              <w:t>中小企业声明函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非法定代表人参加投标，须提供法定代表人授权委托书及被授权人身份证原件；法定代表人参加投标时,须提供法人身份证明书及法定代表人身份证原件；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供应商名称应与营业执照等资料相一致</w:t>
            </w:r>
          </w:p>
        </w:tc>
        <w:tc>
          <w:tcPr>
            <w:tcW w:type="dxa" w:w="1661"/>
          </w:tcPr>
          <w:p>
            <w:pPr>
              <w:pStyle w:val="null3"/>
            </w:pPr>
            <w:r>
              <w:rPr>
                <w:rFonts w:ascii="仿宋_GB2312" w:hAnsi="仿宋_GB2312" w:cs="仿宋_GB2312" w:eastAsia="仿宋_GB2312"/>
              </w:rPr>
              <w:t>业绩.docx 服务内容及服务邀请应答表 人员配备.docx 中小企业声明函 商务应答表 服务承诺.docx 保证金.docx 质量保证措施.docx 应急方案.docx 报价表 供应商承诺书.docx 响应文件封面 进度保证措施.docx 残疾人福利性单位声明函 重难点分析及应对措施.docx 标的清单 整体服务方案.docx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按照磋商文件要求签字盖章</w:t>
            </w:r>
          </w:p>
        </w:tc>
        <w:tc>
          <w:tcPr>
            <w:tcW w:type="dxa" w:w="1661"/>
          </w:tcPr>
          <w:p>
            <w:pPr>
              <w:pStyle w:val="null3"/>
            </w:pPr>
            <w:r>
              <w:rPr>
                <w:rFonts w:ascii="仿宋_GB2312" w:hAnsi="仿宋_GB2312" w:cs="仿宋_GB2312" w:eastAsia="仿宋_GB2312"/>
              </w:rPr>
              <w:t>业绩.docx 服务内容及服务邀请应答表 人员配备.docx 中小企业声明函 商务应答表 服务承诺.docx 保证金.docx 质量保证措施.docx 应急方案.docx 报价表 供应商承诺书.docx 响应文件封面 进度保证措施.docx 残疾人福利性单位声明函 重难点分析及应对措施.docx 标的清单 整体服务方案.docx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服务期限、响应有效期等符合采购文件要求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按照磋商文件要求缴纳</w:t>
            </w:r>
          </w:p>
        </w:tc>
        <w:tc>
          <w:tcPr>
            <w:tcW w:type="dxa" w:w="1661"/>
          </w:tcPr>
          <w:p>
            <w:pPr>
              <w:pStyle w:val="null3"/>
            </w:pPr>
            <w:r>
              <w:rPr>
                <w:rFonts w:ascii="仿宋_GB2312" w:hAnsi="仿宋_GB2312" w:cs="仿宋_GB2312" w:eastAsia="仿宋_GB2312"/>
              </w:rPr>
              <w:t>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业绩.docx 服务内容及服务邀请应答表 人员配备.docx 中小企业声明函 商务应答表 服务承诺.docx 保证金.docx 质量保证措施.docx 应急方案.docx 报价表 供应商承诺书.docx 响应文件封面 进度保证措施.docx 残疾人福利性单位声明函 重难点分析及应对措施.docx 标的清单 整体服务方案.docx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投标人针对本项目制定的整体运营服务方案，包含①平台运维服务方案②视频拍摄剪辑发布方案③其他日常工作的服务方案。评审标准： 1.完整性：实施方案须全面，思路清晰、分析透彻，内容完整、方案科学、合理； 2.可实施性；切合本项目实际情况，步骤明确、可操作性强； 3.针对性：总体方案能够紧扣项目实际情况，专业性强、内容科学、合理。 赋分标准（满分18分）： ①每一项评审内容完全满足评审标准得6分； ②每一项评审内容若存在方案不明确、不合理、不完整、针对性不强等方面，扣3分； ③每一项评审内容不提供或完全背离评审标准得0分。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提供拟派本项目工作人员组成情况，包含①具体成员名单，包括姓名、工作经验、工作职责、联系方式等②有专门的项目负责人，工作人员具备实施经验③成员间分工明确、职责清晰。评审标准： 1.完整性：实施方案须全面，思路清晰、分析透彻，内容完整、方案科学、合理； 2.可实施性；切合本项目实际情况，步骤明确、可操作性强； 3.针对性：总体方案能够紧扣项目实际情况，专业性强、内容科学、合理。 赋分标准（满分12分）： ①每一项评审内容完全满足评审标准得4分； ②每一项评审内容若存在方案不明确、不合理、不完整、针对性不强等方面，扣2分；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供应商针对本项目制定质量保证措施，包含①服务质量保障体系②内部管理架构③工作流程④信息反馈渠道。评审标准： 1.完整性：实施方案须全面，思路清晰、分析透彻，内容完整、方案科学、合理； 2.可实施性；切合本项目实际情况，步骤明确、可操作性强； 3.针对性：总体方案能够紧扣项目实际情况，专业性强、内容科学、合理。 赋分标准（满分12分）：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供应商针对本项目制定进度保证措施，包含①具体的时间进度控制安排保证措施②进度保证承诺。评审标准： 1.完整性：实施方案须全面，思路清晰、分析透彻，内容完整、方案科学、合理； 2.可实施性；切合本项目实际情况，步骤明确、可操作性强； 3.针对性：总体方案能够紧扣项目实际情况，专业性强、内容科学、合理。 赋分标准（满分10分）： ①每一项评审内容完全满足评审标准得5分； ②每一项评审内容若存在方案不明确、不合理、不完整、针对性不强等方面，扣2.5分；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重难点分析及应对措施</w:t>
            </w:r>
          </w:p>
        </w:tc>
        <w:tc>
          <w:tcPr>
            <w:tcW w:type="dxa" w:w="2492"/>
          </w:tcPr>
          <w:p>
            <w:pPr>
              <w:pStyle w:val="null3"/>
            </w:pPr>
            <w:r>
              <w:rPr>
                <w:rFonts w:ascii="仿宋_GB2312" w:hAnsi="仿宋_GB2312" w:cs="仿宋_GB2312" w:eastAsia="仿宋_GB2312"/>
              </w:rPr>
              <w:t>供应商针对本项目制定重难点的分析及应对措施，包含①对项目实施过程中存在的难点、重点分析透彻、有预期效果②若未能达到预期效果的解决方案③相应服务承诺和保证措施。评审标准： 1.完整性：实施方案须全面，思路清晰、分析透彻，内容完整、方案科学、合理；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重难点分析及应对措施.docx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供应商根据本项目特点制定应急方案，（包括①平台各账号故障应急预案②视频发布故障应急预案③日常工作其他紧急事件应急预案。评审标准： 1.完整性：实施方案须全面，思路清晰、分析透彻，内容完整、方案科学、合理；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根据本项目的采购需求制定服务承诺，包含①需要配合采购人调整、完善服务时，所提供的响应时间及服务等，评审标准： 1.完整性：实施方案须全面，思路清晰、分析透彻，内容完整、方案科学、合理； 2.可实施性；切合本项目实际情况，步骤明确、可操作性强； 3.针对性：总体方案能够紧扣项目实际情况，专业性强、内容科学、合理。 赋分标准（满分5分）： ①每一项评审内容完全满足评审标准得2.5分；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价格分统一采用低价优先法计算，即满足采购文件要求且最终报价最低的磋商报价为评标基准价，其价格分为满分。其他供应商的价格分统一按照下列公式计算： 价格分=(评标基准价／磋商报价)×报价分值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详见附件：重难点分析及应对措施.docx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详见附件：保证金.docx</w:t>
      </w:r>
    </w:p>
    <w:p>
      <w:pPr>
        <w:pStyle w:val="null3"/>
        <w:ind w:firstLine="960"/>
      </w:pPr>
      <w:r>
        <w:rPr>
          <w:rFonts w:ascii="仿宋_GB2312" w:hAnsi="仿宋_GB2312" w:cs="仿宋_GB2312" w:eastAsia="仿宋_GB2312"/>
        </w:rPr>
        <w:t>详见附件：人员配备.docx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