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版本号：ZCSP-临渭区-2025-00264、DLCG2025-075.1B120251114001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职工食堂承包服务项目(二次)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ZCSP-临渭区-2025-00264、DLCG2025-075.1B1</w:t>
      </w:r>
      <w:r>
        <w:br/>
      </w:r>
      <w:r>
        <w:br/>
      </w:r>
      <w:r>
        <w:br/>
      </w:r>
    </w:p>
    <w:p>
      <w:pPr>
        <w:pStyle w:val="null3"/>
        <w:jc w:val="center"/>
        <w:outlineLvl w:val="2"/>
      </w:pPr>
      <w:r>
        <w:rPr>
          <w:rFonts w:ascii="仿宋_GB2312" w:hAnsi="仿宋_GB2312" w:cs="仿宋_GB2312" w:eastAsia="仿宋_GB2312"/>
          <w:sz w:val="28"/>
          <w:b/>
        </w:rPr>
        <w:t>渭南市临渭区环境卫生管理中心</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渭南市临渭区环境卫生管理中心</w:t>
      </w:r>
      <w:r>
        <w:rPr>
          <w:rFonts w:ascii="仿宋_GB2312" w:hAnsi="仿宋_GB2312" w:cs="仿宋_GB2312" w:eastAsia="仿宋_GB2312"/>
        </w:rPr>
        <w:t>委托，拟对</w:t>
      </w:r>
      <w:r>
        <w:rPr>
          <w:rFonts w:ascii="仿宋_GB2312" w:hAnsi="仿宋_GB2312" w:cs="仿宋_GB2312" w:eastAsia="仿宋_GB2312"/>
        </w:rPr>
        <w:t>职工食堂承包服务项目(二次)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ZCSP-临渭区-2025-00264、DLCG2025-075.1B1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职工食堂承包服务项目(二次)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渭南市临渭区环境卫生管理中心职工食堂承包服务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采购包1（职工食堂承包服务项目）：属于专门面向中小企业采购。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或法定代表人身份证明和法定代表人（负责人）或授权人身份证明：供应商应授权合法的人员参加磋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2、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3、磋商保证金：出具磋商保证金交纳凭证或担保机构出具的保函；</w:t>
      </w:r>
    </w:p>
    <w:p>
      <w:pPr>
        <w:pStyle w:val="null3"/>
      </w:pPr>
      <w:r>
        <w:rPr>
          <w:rFonts w:ascii="仿宋_GB2312" w:hAnsi="仿宋_GB2312" w:cs="仿宋_GB2312" w:eastAsia="仿宋_GB2312"/>
        </w:rPr>
        <w:t>4、供应商不得存在的情形：供应商不得存在单位负责人为同一人或者存在直接控股、管理关系的不同供应商，不得参加同一合同项下的政府采购活动；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张振红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0913-8119069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邵宝舟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渭南市临渭区环境卫生管理中心</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渭南市临渭区环境卫生管理中心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定期对供应商服务进行满意度测评，发现问题有权要求供应商及时整改完善，经采购人验收达到服务标准。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联系人：邵宝舟</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渭南市临渭区环境卫生管理中心职工食堂承包服务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职工食堂承包服务项目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标的名称：职工食堂承包服务项目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16"/>
              </w:rPr>
              <w:t>1.当本月每餐平均人数不大于120人时，供应商须指派不少于7名餐饮服务人员负责采购人的职工食堂服务工作，其中厨师不少于1人，面点师不少于1人，帮厨不少于5人；当本月每餐平均人数大于120人时，当月增加一名面点师费用。</w:t>
            </w:r>
          </w:p>
          <w:p>
            <w:pPr>
              <w:pStyle w:val="null3"/>
              <w:ind w:firstLine="560"/>
              <w:jc w:val="both"/>
            </w:pPr>
            <w:r>
              <w:rPr>
                <w:rFonts w:ascii="仿宋_GB2312" w:hAnsi="仿宋_GB2312" w:cs="仿宋_GB2312" w:eastAsia="仿宋_GB2312"/>
                <w:sz w:val="16"/>
              </w:rPr>
              <w:t>2.供应商根据职工食堂操作要求，组织厨师及工作人员，承担厨房内的各项技术、管理、服务工作，承担公务接待、会议用餐、职工食堂保洁等业务和与此相关的服务工作。</w:t>
            </w:r>
          </w:p>
          <w:p>
            <w:pPr>
              <w:pStyle w:val="null3"/>
              <w:ind w:firstLine="560"/>
              <w:jc w:val="both"/>
            </w:pPr>
            <w:r>
              <w:rPr>
                <w:rFonts w:ascii="仿宋_GB2312" w:hAnsi="仿宋_GB2312" w:cs="仿宋_GB2312" w:eastAsia="仿宋_GB2312"/>
                <w:sz w:val="16"/>
              </w:rPr>
              <w:t>3.供应商有权自主聘用职工食堂工作人员，每年应定期体检并接受卫生安全知识培训。并保证所有工作人员服从采购人管理，不得随意进入职工食堂以外其他区域，并按食品安全、消防、治安等相关规定做好人员管理工作。</w:t>
            </w:r>
          </w:p>
          <w:p>
            <w:pPr>
              <w:pStyle w:val="null3"/>
              <w:ind w:firstLine="560"/>
              <w:jc w:val="both"/>
            </w:pPr>
            <w:r>
              <w:rPr>
                <w:rFonts w:ascii="仿宋_GB2312" w:hAnsi="仿宋_GB2312" w:cs="仿宋_GB2312" w:eastAsia="仿宋_GB2312"/>
                <w:sz w:val="16"/>
              </w:rPr>
              <w:t>4、严禁供应腐烂变质的食品，若对原材料质量产生怀疑，有权拒绝使用并报告相关领导，特别要防止食物中毒事件发生。</w:t>
            </w:r>
          </w:p>
          <w:p>
            <w:pPr>
              <w:pStyle w:val="null3"/>
              <w:ind w:firstLine="560"/>
              <w:jc w:val="both"/>
            </w:pPr>
            <w:r>
              <w:rPr>
                <w:rFonts w:ascii="仿宋_GB2312" w:hAnsi="仿宋_GB2312" w:cs="仿宋_GB2312" w:eastAsia="仿宋_GB2312"/>
                <w:sz w:val="16"/>
              </w:rPr>
              <w:t>5、供应商定期对职工食堂内外进行防鼠灭蚊蝇工作，经常清理内外水池、下水道，做到内部环境卫生干净整洁，符合卫生监督机构要求并达到卫生标准。</w:t>
            </w:r>
          </w:p>
          <w:p>
            <w:pPr>
              <w:pStyle w:val="null3"/>
              <w:ind w:firstLine="560"/>
              <w:jc w:val="both"/>
            </w:pPr>
            <w:r>
              <w:rPr>
                <w:rFonts w:ascii="仿宋_GB2312" w:hAnsi="仿宋_GB2312" w:cs="仿宋_GB2312" w:eastAsia="仿宋_GB2312"/>
                <w:sz w:val="16"/>
              </w:rPr>
              <w:t>6、供应商应严格执行职工食堂各项管理制度、操作规程，教育工作人员规范操作，做好个人安全防护。</w:t>
            </w:r>
          </w:p>
          <w:p>
            <w:pPr>
              <w:pStyle w:val="null3"/>
              <w:ind w:firstLine="560"/>
              <w:jc w:val="both"/>
            </w:pPr>
            <w:r>
              <w:rPr>
                <w:rFonts w:ascii="仿宋_GB2312" w:hAnsi="仿宋_GB2312" w:cs="仿宋_GB2312" w:eastAsia="仿宋_GB2312"/>
                <w:sz w:val="16"/>
              </w:rPr>
              <w:t>7、供应商需妥善保管好采购人提供的厨具、餐具等所有设备，如有损坏或缺少，供应商须照价赔偿。</w:t>
            </w:r>
          </w:p>
          <w:p>
            <w:pPr>
              <w:pStyle w:val="null3"/>
              <w:ind w:firstLine="560"/>
              <w:jc w:val="both"/>
            </w:pPr>
            <w:r>
              <w:rPr>
                <w:rFonts w:ascii="仿宋_GB2312" w:hAnsi="仿宋_GB2312" w:cs="仿宋_GB2312" w:eastAsia="仿宋_GB2312"/>
                <w:sz w:val="16"/>
              </w:rPr>
              <w:t>8、供应商按时供应采购人每日两餐（早餐、午餐），做到饭菜新鲜可口，花色品种多样、营养搭配合理，另外需无偿保障各类公务接待用餐和会议、培训等用餐任务（服务时间段包含国庆和春节节假日）。</w:t>
            </w:r>
          </w:p>
          <w:p>
            <w:pPr>
              <w:pStyle w:val="null3"/>
              <w:ind w:firstLine="560"/>
              <w:jc w:val="both"/>
            </w:pPr>
            <w:r>
              <w:rPr>
                <w:rFonts w:ascii="仿宋_GB2312" w:hAnsi="仿宋_GB2312" w:cs="仿宋_GB2312" w:eastAsia="仿宋_GB2312"/>
                <w:sz w:val="16"/>
              </w:rPr>
              <w:t>9、保证厨房工作间的消防、安全、卫生。如因供应商责任发生火灾、食物中毒、环境污染、安全等事故，所有损失由乙方承担，并依照相关法律追究责任。</w:t>
            </w:r>
          </w:p>
          <w:p>
            <w:pPr>
              <w:pStyle w:val="null3"/>
              <w:ind w:firstLine="560"/>
              <w:jc w:val="both"/>
            </w:pPr>
            <w:r>
              <w:rPr>
                <w:rFonts w:ascii="仿宋_GB2312" w:hAnsi="仿宋_GB2312" w:cs="仿宋_GB2312" w:eastAsia="仿宋_GB2312"/>
                <w:sz w:val="16"/>
              </w:rPr>
              <w:t>10、供应商应加强对工作人员的安全教育与管理。供应商工作人员在工作和休息期间发生任何人身安全等意外事故，将由供应商自行承担相关责任，采购人不承担任何责任。</w:t>
            </w:r>
          </w:p>
          <w:p>
            <w:pPr>
              <w:pStyle w:val="null3"/>
              <w:ind w:firstLine="420"/>
              <w:jc w:val="both"/>
            </w:pPr>
            <w:r>
              <w:rPr>
                <w:rFonts w:ascii="仿宋_GB2312" w:hAnsi="仿宋_GB2312" w:cs="仿宋_GB2312" w:eastAsia="仿宋_GB2312"/>
                <w:sz w:val="16"/>
              </w:rPr>
              <w:t xml:space="preserve"> 11.上岗前供应商应向采购人提供所有工作人员的健康证。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根据项目需求配置合理设施设备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一年（本次服务采用一次采购，最长可沿用两年，合同一年一签。服务期满后，采购人对供应商的服务满意，在同等条件下可优先续签合同）。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渭南市临渭区环境卫生管理中心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定期对供应商服务进行满意度测评，发现问题有权要求供应商及时整改完善，经采购人验收达到服务标准。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根据当月就餐人数和服务人数据实结算,次月付款的方式。供应商应于次月10日前开具有效税务发票,采购人收到发票后10日内支付供应商上月承包服务费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1.供应商要教育引导在岗员工树立服务意识，做好服务热情、礼貌待人。工作期间，在岗员工要一律穿着工作服且保持干净整洁。操作间内严禁吸烟。 2.采购人对供应商执行职工食堂相关规章制度、饭菜卫生和质量、服务水平、卫生环境状况实行常态检查监督，定期组织人员对厨房供餐服务满意度进行测评，发现问题有权要求供应商及时整改完善，如供应商拒绝整改或整改达不到采购人要求，采购人有权单方解除合同。 3.供应商须严格执行国家和地方环境与食品安全的标准及相关规定，严格遵守和执行采购人针对厨房制定的各项规章制度，必须满足人员的用餐需求。严格按照工作规范进行，制定切实可行的措施，保障人员安全、设备安全，节约使用水、电、气，配合完成成本控制管理。 4.供应商从业人员应廉洁自律，禁止职工食堂工作人员私自倒卖原材料。职工食堂各类食材、工器具禁止私用私留或移为他用。 5.供应商从业人员按采购人管理要求进行食材仓储管理，做到生熟分储、蔬菜与肉类分储等，并在各储藏柜标示食材名称、入库时间、储藏时效。 6.未经采购人同意，成交供应商不得擅自转让承包或变相转让给他人经营。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1.供应商应具备独立承担民事责任能力的法人、其他组织或自然人，提供合法有效的统一社会信用代码的营业执照副本或相关证明（自然人提供身份证复印件）； 2.提供具有财务审计资质单位出具的2024年度的财务报告或响应文件提交截止时间前六个月内其基本账户银行出具的资信证明； 3.供应商提供响应文件提交截止时间前一年内任意一个月的社会保障资金缴存证明或社保机构开具的社会保险参保缴费情况证明； 4.供应商提供响应文件提交截止时间前一年内任意一个月的依法缴纳税收的相关证明，依法免税需提供相关证明材料； 5.提供供应商参加政府采购活动前三年内经营活动中没有重大违法纪录的书面声明； 6.提供具有履行合同所必需的设备和专业技术能力的声明。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本合同包专门面向中小企业采购，供应商应为中型、小型或微型企业（残疾人福利性企业及监狱企业视同为小型、微型企业）提供中小企业声明函。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法定代表人（负责人）授权书或法定代表人身份证明和法定代表人（负责人）或授权人身份证明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出具磋商保证金交纳凭证或担保机构出具的保函；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供应商不得存在的情形</w:t>
            </w:r>
          </w:p>
        </w:tc>
        <w:tc>
          <w:tcPr>
            <w:tcW w:type="dxa" w:w="3322"/>
          </w:tcPr>
          <w:p>
            <w:pPr>
              <w:pStyle w:val="null3"/>
            </w:pPr>
            <w:r>
              <w:rPr>
                <w:rFonts w:ascii="仿宋_GB2312" w:hAnsi="仿宋_GB2312" w:cs="仿宋_GB2312" w:eastAsia="仿宋_GB2312"/>
              </w:rPr>
              <w:t>供应商不得存在单位负责人为同一人或者存在直接控股、管理关系的不同供应商，不得参加同一合同项下的政府采购活动；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磋商响应文件上法定代表人或其授权代表人的签字或盖章齐全并加盖公章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标的清单 商务应答表.docx 报价表 响应函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供应商投标报价未出现选择性报价，未超出采购最高限价，有费用组成明细表</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w:t>
            </w:r>
          </w:p>
        </w:tc>
        <w:tc>
          <w:tcPr>
            <w:tcW w:type="dxa" w:w="3322"/>
          </w:tcPr>
          <w:p>
            <w:pPr>
              <w:pStyle w:val="null3"/>
            </w:pPr>
            <w:r>
              <w:rPr>
                <w:rFonts w:ascii="仿宋_GB2312" w:hAnsi="仿宋_GB2312" w:cs="仿宋_GB2312" w:eastAsia="仿宋_GB2312"/>
              </w:rPr>
              <w:t>合同履行期满足或优于采购要求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质量标准达到国家现行行业验收规范“合格”标准</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响应全部实质性要求，未附加采购人难以接受的条件</w:t>
            </w:r>
          </w:p>
        </w:tc>
        <w:tc>
          <w:tcPr>
            <w:tcW w:type="dxa" w:w="1661"/>
          </w:tcPr>
          <w:p>
            <w:pPr>
              <w:pStyle w:val="null3"/>
            </w:pPr>
            <w:r>
              <w:rPr>
                <w:rFonts w:ascii="仿宋_GB2312" w:hAnsi="仿宋_GB2312" w:cs="仿宋_GB2312" w:eastAsia="仿宋_GB2312"/>
              </w:rPr>
              <w:t>服务内容及服务邀请应答表 商务应答表.docx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一、评审内容:提供针对本项目制定的服务方案，包含①项目核心需求;②整体服务方案;③服务流程;④菜谱、膳食品种;⑤餐食供应保障措施。 二、评审标准:符合磋商文件及行业技术标准的要求，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一、评审内容:供应商提供针对本项目制定的内部管理制度，包含①人员管理制度②财务管理制度③档案管理制度④服务考核制度⑤薪资管理制度。 二、评审标准:符合磋商文件及行业技术标准的要求，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一、评审内容:供应商针对本项目制定的食品卫生加工方案及保证措施，包含①食品的存储、加工;②餐用具的清洗消毒;③工作人员的卫生管理;④食堂消杀措施。 二、评审标准:符合磋商文件及行业技术标准的要求，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一、评审内容:供应商提供针对本项目团队成员配备方案，包括①组织架构②拟派服务人员③相关证件④岗位职责⑤工作经验。 二、评审标准:符合磋商文件及行业技术标准的要求，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一、评审内容:供应商针对本项目制定的安全管理及应急保障措施，包含①安全用水、用火、用电、用气等②针对突然断水、断电、 断气的保障措施;食物中毒、意外伤害的保障措施:③消防疏散的措施;④传染病防疫措施。 二、评审标准:符合磋商文件及行业技术标准的要求，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设备及用具维护保管措施</w:t>
            </w:r>
          </w:p>
        </w:tc>
        <w:tc>
          <w:tcPr>
            <w:tcW w:type="dxa" w:w="2492"/>
          </w:tcPr>
          <w:p>
            <w:pPr>
              <w:pStyle w:val="null3"/>
            </w:pPr>
            <w:r>
              <w:rPr>
                <w:rFonts w:ascii="仿宋_GB2312" w:hAnsi="仿宋_GB2312" w:cs="仿宋_GB2312" w:eastAsia="仿宋_GB2312"/>
              </w:rPr>
              <w:t>一、评审内容:供应商针对本项目制定设备及用具维护保管措施，包含 ①提供的设备及用具;②各种设备及用具的规范使用;③各种设备及用具维护保管措施。 二、评审标准:符合磋商文件及行业技术标准的要求，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一、评审内容:针对本项目提供对所有服务人员的培训考核方案。 二、评审标准:提供详细、合理、科学可行的方案，得7分；内容存在缺陷扣0.5分；该项分值扣完为止，未提供不得分。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满足竞争性磋商文件要求且磋商价格最低的磋商报价为评标基准价，其价格分为满分。其他供应商的价格分统一按照下列公式计算：磋商报价得分=（评标基准价/有效报价 ) ×价格权重（15%）×100。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