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版本号：YSGS-2025ZB0820.1B120250930001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渭南市临渭区桥南镇全域土地综合整治、山水工程、生态补偿一体化项目勘察设计(二次)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YSGS-2025ZB0820.1B1</w:t>
      </w:r>
      <w:r>
        <w:br/>
      </w:r>
      <w:r>
        <w:br/>
      </w:r>
      <w:r>
        <w:br/>
      </w:r>
    </w:p>
    <w:p>
      <w:pPr>
        <w:pStyle w:val="null3"/>
        <w:jc w:val="center"/>
        <w:outlineLvl w:val="2"/>
      </w:pPr>
      <w:r>
        <w:rPr>
          <w:rFonts w:ascii="仿宋_GB2312" w:hAnsi="仿宋_GB2312" w:cs="仿宋_GB2312" w:eastAsia="仿宋_GB2312"/>
          <w:sz w:val="28"/>
          <w:b/>
        </w:rPr>
        <w:t>渭南市临渭区自然资源局</w:t>
      </w:r>
    </w:p>
    <w:p>
      <w:pPr>
        <w:pStyle w:val="null3"/>
        <w:jc w:val="center"/>
        <w:outlineLvl w:val="2"/>
      </w:pPr>
      <w:r>
        <w:rPr>
          <w:rFonts w:ascii="仿宋_GB2312" w:hAnsi="仿宋_GB2312" w:cs="仿宋_GB2312" w:eastAsia="仿宋_GB2312"/>
          <w:sz w:val="28"/>
          <w:b/>
        </w:rPr>
        <w:t>陕西衍森项目管理有限公司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陕西衍森项目管理有限公司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渭南市临渭区自然资源局</w:t>
      </w:r>
      <w:r>
        <w:rPr>
          <w:rFonts w:ascii="仿宋_GB2312" w:hAnsi="仿宋_GB2312" w:cs="仿宋_GB2312" w:eastAsia="仿宋_GB2312"/>
        </w:rPr>
        <w:t>委托，拟对</w:t>
      </w:r>
      <w:r>
        <w:rPr>
          <w:rFonts w:ascii="仿宋_GB2312" w:hAnsi="仿宋_GB2312" w:cs="仿宋_GB2312" w:eastAsia="仿宋_GB2312"/>
        </w:rPr>
        <w:t>渭南市临渭区桥南镇全域土地综合整治、山水工程、生态补偿一体化项目勘察设计(二次)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YSGS-2025ZB0820.1B1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渭南市临渭区桥南镇全域土地综合整治、山水工程、生态补偿一体化项目勘察设计(二次)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渭南市临渭区桥南镇全域土地综合整治/山水工程/生态补偿一体化项目勘察设计工作包括:踏勘现场、调查研究、收集资料、编制设计方案、设计验证和确认等内容。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1、营业执照：供应商具有独立承担民事责任能力的法人，提供合法有效的统一社会信用代码营业执照</w:t>
      </w:r>
    </w:p>
    <w:p>
      <w:pPr>
        <w:pStyle w:val="null3"/>
      </w:pPr>
      <w:r>
        <w:rPr>
          <w:rFonts w:ascii="仿宋_GB2312" w:hAnsi="仿宋_GB2312" w:cs="仿宋_GB2312" w:eastAsia="仿宋_GB2312"/>
        </w:rPr>
        <w:t>2、财务状况报告：提供2024年度的财务审计报告或开标前六个月内其基本存款账户开户银行出具的资信证明(附开户许可证或开户备案证明或基本账户信息)</w:t>
      </w:r>
    </w:p>
    <w:p>
      <w:pPr>
        <w:pStyle w:val="null3"/>
      </w:pPr>
      <w:r>
        <w:rPr>
          <w:rFonts w:ascii="仿宋_GB2312" w:hAnsi="仿宋_GB2312" w:cs="仿宋_GB2312" w:eastAsia="仿宋_GB2312"/>
        </w:rPr>
        <w:t>3、税收缴纳证明：2025年1月至今已缴存的至少一个月的纳税证明或完税证明，依法免税的单位应提供相关证明材料</w:t>
      </w:r>
    </w:p>
    <w:p>
      <w:pPr>
        <w:pStyle w:val="null3"/>
      </w:pPr>
      <w:r>
        <w:rPr>
          <w:rFonts w:ascii="仿宋_GB2312" w:hAnsi="仿宋_GB2312" w:cs="仿宋_GB2312" w:eastAsia="仿宋_GB2312"/>
        </w:rPr>
        <w:t>4、社会保障资金缴纳证明：2025年1月至今已缴存的至少一个月的社会保障资金缴存单据或社保机构开具的社会保险参保缴费情况证明，依法不需要缴纳社会保障资金的单位应提供相关证明材料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5、企业资质：供应商具备地质灾害评估和治理工程勘察设计甲级资质及土地规划乙级及以上资质及测绘乙级及以上资质</w:t>
      </w:r>
    </w:p>
    <w:p>
      <w:pPr>
        <w:pStyle w:val="null3"/>
      </w:pPr>
      <w:r>
        <w:rPr>
          <w:rFonts w:ascii="仿宋_GB2312" w:hAnsi="仿宋_GB2312" w:cs="仿宋_GB2312" w:eastAsia="仿宋_GB2312"/>
        </w:rPr>
        <w:t>6、授权委托书：供应商法定代表人直接参加投标的，须出具法人身份证明及身份证；法定代表人授权代表参加投标的，须出具法定代表人授权书及授权代表身份证</w:t>
      </w:r>
    </w:p>
    <w:p>
      <w:pPr>
        <w:pStyle w:val="null3"/>
      </w:pPr>
      <w:r>
        <w:rPr>
          <w:rFonts w:ascii="仿宋_GB2312" w:hAnsi="仿宋_GB2312" w:cs="仿宋_GB2312" w:eastAsia="仿宋_GB2312"/>
        </w:rPr>
        <w:t>7、信誉要求：供应商在递交响应文件截止时间前不得为“信用中国”网站(www.creditchina.gov.cn)中列入重大税收违法失信主体的供应商；不得为“中国执行信息公开网”(http://zxgk.court.gov.c n)中列入失信被执行人名单的供应商；不得为“中国政府采购网”(www.ccgp.gov.cn)政府采购严重违法失信行为记录名单中被财政部门禁止参加政府采购活动的供应商:(磋商文件解密完成后查询相关信用记录，对列入失信被执行人、重大税收违法失信主体、政府采购严重违法失信行为记录名单，将拒绝其参与政府采购活动，查询结果以电子或纸质方式留存)</w:t>
      </w:r>
    </w:p>
    <w:p>
      <w:pPr>
        <w:pStyle w:val="null3"/>
      </w:pPr>
      <w:r>
        <w:rPr>
          <w:rFonts w:ascii="仿宋_GB2312" w:hAnsi="仿宋_GB2312" w:cs="仿宋_GB2312" w:eastAsia="仿宋_GB2312"/>
        </w:rPr>
        <w:t>8、具有履行本项目所必需的设备和专业技术能力：供应商提供具有履行本项目所必需的设备和专业技术能力的声明</w:t>
      </w:r>
    </w:p>
    <w:p>
      <w:pPr>
        <w:pStyle w:val="null3"/>
      </w:pPr>
      <w:r>
        <w:rPr>
          <w:rFonts w:ascii="仿宋_GB2312" w:hAnsi="仿宋_GB2312" w:cs="仿宋_GB2312" w:eastAsia="仿宋_GB2312"/>
        </w:rPr>
        <w:t>9、近3年无重大违法记录：供应商参加政府采购活动前3年内，在经营活动中没有重大违法记录的书面声明</w:t>
      </w:r>
    </w:p>
    <w:p>
      <w:pPr>
        <w:pStyle w:val="null3"/>
      </w:pPr>
      <w:r>
        <w:rPr>
          <w:rFonts w:ascii="仿宋_GB2312" w:hAnsi="仿宋_GB2312" w:cs="仿宋_GB2312" w:eastAsia="仿宋_GB2312"/>
        </w:rPr>
        <w:t>10、供应商关联关系：供应商不得存在下列情形之一:(1)单位负责人为同一人或者存在直接控股、管理关系的不同供应商，不得参加本次采购活动:(2)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11、允许联合体磋商：本项目允许联合体磋商，联合体磋商的，应满足下列要求: (1)申请参加本项目投标的单位只能出现在一个联合体中； (2)联合体成员应共同签订具有法律效力和有约束力的联合体协议，明确各方权利、义务和分工，并声明承诺联合体各成员方对本次申请以及成交后签订合同承担全部及连带责任； (3)联合体投标的由联合体牵头人负责投标全过程，包括但不限于采购文件获取、响应文件编制与递交、委托人授权、接收答疑、回复澄清、主张或放弃权利、签字盖章和合同谈判活动，代表联合体提交和接收相关的资料、信息及指示，处理与之有关的一切事务，并负责合同实施阶段的主办、组织和协调工作等投标与中标后事宜相关的全部事宜。</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东风街中段11号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19991322266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陕西衍森项目管理有限公司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陕西省西安市浐灞生态区欧亚大道3399号欧亚国际一期B座0712室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13259952916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徐红军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采购包1：1,856,200.00元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服务费参照《国家计委关于印发&lt;招标代理服务收费管理暂行办法&gt;的通知》（计价格【2002】1980号）及《国家发展和改革委员会办公厅关于招标代理服务收费有关问题的通知》（发改办价格〔2003〕857号）文件中服务类收费标准下浮10%收取，由中标（成交）供应商向受托人支付。 单位名称：陕西衍森项目管理有限公司 银行账号：15122099180091 开户银行：平安银行股份有限公司西安分行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渭南市临渭区自然资源局</w:t>
      </w:r>
      <w:r>
        <w:rPr>
          <w:rFonts w:ascii="仿宋_GB2312" w:hAnsi="仿宋_GB2312" w:cs="仿宋_GB2312" w:eastAsia="仿宋_GB2312"/>
        </w:rPr>
        <w:t>和</w:t>
      </w:r>
      <w:r>
        <w:rPr>
          <w:rFonts w:ascii="仿宋_GB2312" w:hAnsi="仿宋_GB2312" w:cs="仿宋_GB2312" w:eastAsia="仿宋_GB2312"/>
        </w:rPr>
        <w:t>陕西衍森项目管理有限公司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陕西衍森项目管理有限公司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陕西衍森项目管理有限公司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1、本项目还需要达到以下验收要求:符合国家、省市相关法律、法规、标准、规范。 2、验收标准:按采购文件、响应文件及澄清函、项目检查情况等综合指标进行验收。各项指标均应符合验收标准及要求。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陕西衍森项目管理有限公司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陕西衍森项目管理有限公司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陕西衍森项目管理有限公司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联系人：张乐</w:t>
      </w:r>
    </w:p>
    <w:p>
      <w:pPr>
        <w:pStyle w:val="null3"/>
      </w:pPr>
      <w:r>
        <w:rPr>
          <w:rFonts w:ascii="仿宋_GB2312" w:hAnsi="仿宋_GB2312" w:cs="仿宋_GB2312" w:eastAsia="仿宋_GB2312"/>
        </w:rPr>
        <w:t>联系电话：13259952916</w:t>
      </w:r>
    </w:p>
    <w:p>
      <w:pPr>
        <w:pStyle w:val="null3"/>
      </w:pPr>
      <w:r>
        <w:rPr>
          <w:rFonts w:ascii="仿宋_GB2312" w:hAnsi="仿宋_GB2312" w:cs="仿宋_GB2312" w:eastAsia="仿宋_GB2312"/>
        </w:rPr>
        <w:t>地址：陕西省西安市浐灞生态区欧亚大道3399号欧亚国际一期B座0712室</w:t>
      </w:r>
    </w:p>
    <w:p>
      <w:pPr>
        <w:pStyle w:val="null3"/>
      </w:pPr>
      <w:r>
        <w:rPr>
          <w:rFonts w:ascii="仿宋_GB2312" w:hAnsi="仿宋_GB2312" w:cs="仿宋_GB2312" w:eastAsia="仿宋_GB2312"/>
        </w:rPr>
        <w:t>邮编：710024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渭南市临渭区桥南镇全域土地综合整治/山水工程/生态补偿一体化项目勘察设计工作包括:踏勘现场、调查研究、收集资料、编制设计方案、设计验证和确认等内容。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1,856,200.00</w:t>
      </w:r>
    </w:p>
    <w:p>
      <w:pPr>
        <w:pStyle w:val="null3"/>
      </w:pPr>
      <w:r>
        <w:rPr>
          <w:rFonts w:ascii="仿宋_GB2312" w:hAnsi="仿宋_GB2312" w:cs="仿宋_GB2312" w:eastAsia="仿宋_GB2312"/>
        </w:rPr>
        <w:t>采购包最高限价（元）: 1,856,200.00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渭南市临渭区桥南镇全域土地综合整治/山水工程/生态补偿一体化项目勘察设计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1,856,200.00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标的名称：渭南市临渭区桥南镇全域土地综合整治/山水工程/生态补偿一体化项目勘察设计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0"/>
                <w:b/>
              </w:rPr>
              <w:t>一、基本要求</w:t>
            </w:r>
          </w:p>
          <w:p>
            <w:pPr>
              <w:pStyle w:val="null3"/>
              <w:ind w:firstLine="560"/>
              <w:jc w:val="both"/>
            </w:pPr>
            <w:r>
              <w:rPr>
                <w:rFonts w:ascii="仿宋_GB2312" w:hAnsi="仿宋_GB2312" w:cs="仿宋_GB2312" w:eastAsia="仿宋_GB2312"/>
                <w:sz w:val="28"/>
              </w:rPr>
              <w:t>1、功能要求:</w:t>
            </w:r>
          </w:p>
          <w:p>
            <w:pPr>
              <w:pStyle w:val="null3"/>
              <w:ind w:firstLine="560"/>
              <w:jc w:val="both"/>
            </w:pPr>
            <w:r>
              <w:rPr>
                <w:rFonts w:ascii="仿宋_GB2312" w:hAnsi="仿宋_GB2312" w:cs="仿宋_GB2312" w:eastAsia="仿宋_GB2312"/>
                <w:sz w:val="28"/>
              </w:rPr>
              <w:t>本项目是贯彻落实国家</w:t>
            </w:r>
            <w:r>
              <w:rPr>
                <w:rFonts w:ascii="仿宋_GB2312" w:hAnsi="仿宋_GB2312" w:cs="仿宋_GB2312" w:eastAsia="仿宋_GB2312"/>
                <w:sz w:val="28"/>
              </w:rPr>
              <w:t>“国土空间生态修复”改革和陕西省自然资源厅等省级六部门《关于学习运用“千万工程”经验深入推进全域土地综合整治工作的实施意见》(陕自然资规[2025]520号)的重要举措。</w:t>
            </w:r>
            <w:r>
              <w:rPr>
                <w:rFonts w:ascii="仿宋_GB2312" w:hAnsi="仿宋_GB2312" w:cs="仿宋_GB2312" w:eastAsia="仿宋_GB2312"/>
                <w:sz w:val="28"/>
              </w:rPr>
              <w:t>本项目旨在</w:t>
            </w:r>
            <w:r>
              <w:rPr>
                <w:rFonts w:ascii="仿宋_GB2312" w:hAnsi="仿宋_GB2312" w:cs="仿宋_GB2312" w:eastAsia="仿宋_GB2312"/>
                <w:sz w:val="28"/>
              </w:rPr>
              <w:t>承接乡村振兴战略，依据国土空间规划，立足区域自然禀赋、产业特色、乡土文化等，通过全域国土空间优化、耕地集中连片整治、生态保护、产业振兴、人居环境改善，建设生态保护和文旅融合高质量发展的省级乡村振兴示范区，打造秦岭北麓人与自然和谐共生的示范样板，实现生态价值转换的典型示范。</w:t>
            </w:r>
          </w:p>
          <w:p>
            <w:pPr>
              <w:pStyle w:val="null3"/>
              <w:ind w:firstLine="560"/>
              <w:jc w:val="both"/>
            </w:pPr>
            <w:r>
              <w:rPr>
                <w:rFonts w:ascii="仿宋_GB2312" w:hAnsi="仿宋_GB2312" w:cs="仿宋_GB2312" w:eastAsia="仿宋_GB2312"/>
                <w:sz w:val="28"/>
              </w:rPr>
              <w:t>项目工作流程主要包括</w:t>
            </w:r>
            <w:r>
              <w:rPr>
                <w:rFonts w:ascii="仿宋_GB2312" w:hAnsi="仿宋_GB2312" w:cs="仿宋_GB2312" w:eastAsia="仿宋_GB2312"/>
                <w:sz w:val="28"/>
              </w:rPr>
              <w:t>踏勘现场</w:t>
            </w:r>
            <w:r>
              <w:rPr>
                <w:rFonts w:ascii="仿宋_GB2312" w:hAnsi="仿宋_GB2312" w:cs="仿宋_GB2312" w:eastAsia="仿宋_GB2312"/>
                <w:sz w:val="28"/>
              </w:rPr>
              <w:t>、</w:t>
            </w:r>
            <w:r>
              <w:rPr>
                <w:rFonts w:ascii="仿宋_GB2312" w:hAnsi="仿宋_GB2312" w:cs="仿宋_GB2312" w:eastAsia="仿宋_GB2312"/>
                <w:sz w:val="28"/>
              </w:rPr>
              <w:t>调查研究</w:t>
            </w:r>
            <w:r>
              <w:rPr>
                <w:rFonts w:ascii="仿宋_GB2312" w:hAnsi="仿宋_GB2312" w:cs="仿宋_GB2312" w:eastAsia="仿宋_GB2312"/>
                <w:sz w:val="28"/>
              </w:rPr>
              <w:t>、</w:t>
            </w:r>
            <w:r>
              <w:rPr>
                <w:rFonts w:ascii="仿宋_GB2312" w:hAnsi="仿宋_GB2312" w:cs="仿宋_GB2312" w:eastAsia="仿宋_GB2312"/>
                <w:sz w:val="28"/>
              </w:rPr>
              <w:t>收集资料</w:t>
            </w:r>
            <w:r>
              <w:rPr>
                <w:rFonts w:ascii="仿宋_GB2312" w:hAnsi="仿宋_GB2312" w:cs="仿宋_GB2312" w:eastAsia="仿宋_GB2312"/>
                <w:sz w:val="28"/>
              </w:rPr>
              <w:t>、</w:t>
            </w:r>
            <w:r>
              <w:rPr>
                <w:rFonts w:ascii="仿宋_GB2312" w:hAnsi="仿宋_GB2312" w:cs="仿宋_GB2312" w:eastAsia="仿宋_GB2312"/>
                <w:sz w:val="28"/>
              </w:rPr>
              <w:t>编制设计方案、设计验证和确认</w:t>
            </w:r>
            <w:r>
              <w:rPr>
                <w:rFonts w:ascii="仿宋_GB2312" w:hAnsi="仿宋_GB2312" w:cs="仿宋_GB2312" w:eastAsia="仿宋_GB2312"/>
                <w:sz w:val="28"/>
              </w:rPr>
              <w:t>。</w:t>
            </w:r>
            <w:r>
              <w:rPr>
                <w:rFonts w:ascii="仿宋_GB2312" w:hAnsi="仿宋_GB2312" w:cs="仿宋_GB2312" w:eastAsia="仿宋_GB2312"/>
                <w:sz w:val="28"/>
              </w:rPr>
              <w:t>主要建设内容</w:t>
            </w:r>
            <w:r>
              <w:rPr>
                <w:rFonts w:ascii="仿宋_GB2312" w:hAnsi="仿宋_GB2312" w:cs="仿宋_GB2312" w:eastAsia="仿宋_GB2312"/>
                <w:sz w:val="28"/>
              </w:rPr>
              <w:t>包括农用地整治</w:t>
            </w:r>
            <w:r>
              <w:rPr>
                <w:rFonts w:ascii="仿宋_GB2312" w:hAnsi="仿宋_GB2312" w:cs="仿宋_GB2312" w:eastAsia="仿宋_GB2312"/>
                <w:sz w:val="28"/>
              </w:rPr>
              <w:t>85.9314公顷、建设用地整理1.4892 公顷等</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2、采购项目需要落实的政府采购政策:</w:t>
            </w:r>
          </w:p>
          <w:p>
            <w:pPr>
              <w:pStyle w:val="null3"/>
              <w:ind w:firstLine="560"/>
              <w:jc w:val="both"/>
            </w:pPr>
            <w:r>
              <w:rPr>
                <w:rFonts w:ascii="仿宋_GB2312" w:hAnsi="仿宋_GB2312" w:cs="仿宋_GB2312" w:eastAsia="仿宋_GB2312"/>
                <w:sz w:val="28"/>
              </w:rPr>
              <w:t>《关于学习运用</w:t>
            </w:r>
            <w:r>
              <w:rPr>
                <w:rFonts w:ascii="仿宋_GB2312" w:hAnsi="仿宋_GB2312" w:cs="仿宋_GB2312" w:eastAsia="仿宋_GB2312"/>
                <w:sz w:val="28"/>
              </w:rPr>
              <w:t>“千万工程”经验深入推进全域土地综合整治工作的实施意见》(陕自然资规[2025]520号);陕西省</w:t>
            </w:r>
            <w:r>
              <w:rPr>
                <w:rFonts w:ascii="仿宋_GB2312" w:hAnsi="仿宋_GB2312" w:cs="仿宋_GB2312" w:eastAsia="仿宋_GB2312"/>
                <w:sz w:val="28"/>
              </w:rPr>
              <w:t>自然资源厅</w:t>
            </w:r>
            <w:r>
              <w:rPr>
                <w:rFonts w:ascii="仿宋_GB2312" w:hAnsi="仿宋_GB2312" w:cs="仿宋_GB2312" w:eastAsia="仿宋_GB2312"/>
                <w:sz w:val="21"/>
              </w:rPr>
              <w:t xml:space="preserve"> </w:t>
            </w:r>
            <w:r>
              <w:rPr>
                <w:rFonts w:ascii="仿宋_GB2312" w:hAnsi="仿宋_GB2312" w:cs="仿宋_GB2312" w:eastAsia="仿宋_GB2312"/>
                <w:sz w:val="28"/>
              </w:rPr>
              <w:t>陕西</w:t>
            </w:r>
            <w:r>
              <w:rPr>
                <w:rFonts w:ascii="仿宋_GB2312" w:hAnsi="仿宋_GB2312" w:cs="仿宋_GB2312" w:eastAsia="仿宋_GB2312"/>
                <w:sz w:val="28"/>
              </w:rPr>
              <w:t>省财政厅《关于</w:t>
            </w:r>
            <w:r>
              <w:rPr>
                <w:rFonts w:ascii="仿宋_GB2312" w:hAnsi="仿宋_GB2312" w:cs="仿宋_GB2312" w:eastAsia="仿宋_GB2312"/>
                <w:sz w:val="28"/>
              </w:rPr>
              <w:t>2025年全域土地综合整治/山水工程/生态补偿一体化示范项目预征集的通知》(陕自然资修复发[2024]1697</w:t>
            </w:r>
            <w:r>
              <w:rPr>
                <w:rFonts w:ascii="仿宋_GB2312" w:hAnsi="仿宋_GB2312" w:cs="仿宋_GB2312" w:eastAsia="仿宋_GB2312"/>
                <w:sz w:val="28"/>
              </w:rPr>
              <w:t>号</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合同履行</w:t>
            </w:r>
            <w:r>
              <w:rPr>
                <w:rFonts w:ascii="仿宋_GB2312" w:hAnsi="仿宋_GB2312" w:cs="仿宋_GB2312" w:eastAsia="仿宋_GB2312"/>
                <w:sz w:val="28"/>
              </w:rPr>
              <w:t>期限</w:t>
            </w:r>
            <w:r>
              <w:rPr>
                <w:rFonts w:ascii="仿宋_GB2312" w:hAnsi="仿宋_GB2312" w:cs="仿宋_GB2312" w:eastAsia="仿宋_GB2312"/>
                <w:sz w:val="28"/>
              </w:rPr>
              <w:t>:自合同签订之日</w:t>
            </w:r>
            <w:r>
              <w:rPr>
                <w:rFonts w:ascii="仿宋_GB2312" w:hAnsi="仿宋_GB2312" w:cs="仿宋_GB2312" w:eastAsia="仿宋_GB2312"/>
                <w:sz w:val="28"/>
              </w:rPr>
              <w:t>起</w:t>
            </w:r>
            <w:r>
              <w:rPr>
                <w:rFonts w:ascii="仿宋_GB2312" w:hAnsi="仿宋_GB2312" w:cs="仿宋_GB2312" w:eastAsia="仿宋_GB2312"/>
                <w:sz w:val="28"/>
              </w:rPr>
              <w:t>60</w:t>
            </w:r>
            <w:r>
              <w:rPr>
                <w:rFonts w:ascii="仿宋_GB2312" w:hAnsi="仿宋_GB2312" w:cs="仿宋_GB2312" w:eastAsia="仿宋_GB2312"/>
                <w:sz w:val="28"/>
              </w:rPr>
              <w:t>日历天</w:t>
            </w:r>
          </w:p>
          <w:p>
            <w:pPr>
              <w:pStyle w:val="null3"/>
              <w:ind w:firstLine="560"/>
              <w:jc w:val="both"/>
            </w:pPr>
            <w:r>
              <w:rPr>
                <w:rFonts w:ascii="仿宋_GB2312" w:hAnsi="仿宋_GB2312" w:cs="仿宋_GB2312" w:eastAsia="仿宋_GB2312"/>
                <w:sz w:val="28"/>
              </w:rPr>
              <w:t>4、服务地点:渭南市临渭区</w:t>
            </w:r>
          </w:p>
          <w:p>
            <w:pPr>
              <w:pStyle w:val="null3"/>
              <w:jc w:val="both"/>
            </w:pPr>
            <w:r>
              <w:rPr>
                <w:rFonts w:ascii="仿宋_GB2312" w:hAnsi="仿宋_GB2312" w:cs="仿宋_GB2312" w:eastAsia="仿宋_GB2312"/>
                <w:sz w:val="30"/>
                <w:b/>
              </w:rPr>
              <w:t>二、需执行的国家相关标准、行业标准、地方标准或者其他标准、规范标准</w:t>
            </w:r>
          </w:p>
          <w:p>
            <w:pPr>
              <w:pStyle w:val="null3"/>
              <w:ind w:firstLine="560"/>
              <w:jc w:val="both"/>
            </w:pPr>
            <w:r>
              <w:rPr>
                <w:rFonts w:ascii="仿宋_GB2312" w:hAnsi="仿宋_GB2312" w:cs="仿宋_GB2312" w:eastAsia="仿宋_GB2312"/>
                <w:sz w:val="28"/>
              </w:rPr>
              <w:t>满足国家的相关标准、行业标准或者其他标准、规范，执行所有现行的国家、行业标准、规范、规程中的强制性条款。</w:t>
            </w:r>
          </w:p>
          <w:p>
            <w:pPr>
              <w:pStyle w:val="null3"/>
              <w:jc w:val="both"/>
            </w:pPr>
            <w:r>
              <w:rPr>
                <w:rFonts w:ascii="仿宋_GB2312" w:hAnsi="仿宋_GB2312" w:cs="仿宋_GB2312" w:eastAsia="仿宋_GB2312"/>
                <w:sz w:val="30"/>
                <w:b/>
              </w:rPr>
              <w:t>三、服务指标的具体要求</w:t>
            </w:r>
          </w:p>
          <w:p>
            <w:pPr>
              <w:pStyle w:val="null3"/>
              <w:ind w:firstLine="560"/>
              <w:jc w:val="both"/>
            </w:pPr>
            <w:r>
              <w:rPr>
                <w:rFonts w:ascii="仿宋_GB2312" w:hAnsi="仿宋_GB2312" w:cs="仿宋_GB2312" w:eastAsia="仿宋_GB2312"/>
                <w:sz w:val="28"/>
              </w:rPr>
              <w:t>1、服务项目内容:</w:t>
            </w:r>
            <w:r>
              <w:rPr>
                <w:rFonts w:ascii="仿宋_GB2312" w:hAnsi="仿宋_GB2312" w:cs="仿宋_GB2312" w:eastAsia="仿宋_GB2312"/>
                <w:sz w:val="28"/>
              </w:rPr>
              <w:t>渭南市临渭区桥南镇全域土地综合整治</w:t>
            </w:r>
            <w:r>
              <w:rPr>
                <w:rFonts w:ascii="仿宋_GB2312" w:hAnsi="仿宋_GB2312" w:cs="仿宋_GB2312" w:eastAsia="仿宋_GB2312"/>
                <w:sz w:val="28"/>
              </w:rPr>
              <w:t>/山水工程/生态补偿一体化项目</w:t>
            </w:r>
            <w:r>
              <w:rPr>
                <w:rFonts w:ascii="仿宋_GB2312" w:hAnsi="仿宋_GB2312" w:cs="仿宋_GB2312" w:eastAsia="仿宋_GB2312"/>
                <w:sz w:val="28"/>
              </w:rPr>
              <w:t>勘察设计</w:t>
            </w:r>
            <w:r>
              <w:rPr>
                <w:rFonts w:ascii="仿宋_GB2312" w:hAnsi="仿宋_GB2312" w:cs="仿宋_GB2312" w:eastAsia="仿宋_GB2312"/>
                <w:sz w:val="28"/>
              </w:rPr>
              <w:t>工作包括</w:t>
            </w:r>
            <w:r>
              <w:rPr>
                <w:rFonts w:ascii="仿宋_GB2312" w:hAnsi="仿宋_GB2312" w:cs="仿宋_GB2312" w:eastAsia="仿宋_GB2312"/>
                <w:sz w:val="28"/>
              </w:rPr>
              <w:t>:</w:t>
            </w:r>
            <w:r>
              <w:rPr>
                <w:rFonts w:ascii="仿宋_GB2312" w:hAnsi="仿宋_GB2312" w:cs="仿宋_GB2312" w:eastAsia="仿宋_GB2312"/>
                <w:sz w:val="28"/>
              </w:rPr>
              <w:t>踏勘现场</w:t>
            </w:r>
            <w:r>
              <w:rPr>
                <w:rFonts w:ascii="仿宋_GB2312" w:hAnsi="仿宋_GB2312" w:cs="仿宋_GB2312" w:eastAsia="仿宋_GB2312"/>
                <w:sz w:val="28"/>
              </w:rPr>
              <w:t>、</w:t>
            </w:r>
            <w:r>
              <w:rPr>
                <w:rFonts w:ascii="仿宋_GB2312" w:hAnsi="仿宋_GB2312" w:cs="仿宋_GB2312" w:eastAsia="仿宋_GB2312"/>
                <w:sz w:val="28"/>
              </w:rPr>
              <w:t>调查研究</w:t>
            </w:r>
            <w:r>
              <w:rPr>
                <w:rFonts w:ascii="仿宋_GB2312" w:hAnsi="仿宋_GB2312" w:cs="仿宋_GB2312" w:eastAsia="仿宋_GB2312"/>
                <w:sz w:val="28"/>
              </w:rPr>
              <w:t>、</w:t>
            </w:r>
            <w:r>
              <w:rPr>
                <w:rFonts w:ascii="仿宋_GB2312" w:hAnsi="仿宋_GB2312" w:cs="仿宋_GB2312" w:eastAsia="仿宋_GB2312"/>
                <w:sz w:val="28"/>
              </w:rPr>
              <w:t>收集资料</w:t>
            </w:r>
            <w:r>
              <w:rPr>
                <w:rFonts w:ascii="仿宋_GB2312" w:hAnsi="仿宋_GB2312" w:cs="仿宋_GB2312" w:eastAsia="仿宋_GB2312"/>
                <w:sz w:val="28"/>
              </w:rPr>
              <w:t>、</w:t>
            </w:r>
            <w:r>
              <w:rPr>
                <w:rFonts w:ascii="仿宋_GB2312" w:hAnsi="仿宋_GB2312" w:cs="仿宋_GB2312" w:eastAsia="仿宋_GB2312"/>
                <w:sz w:val="28"/>
              </w:rPr>
              <w:t>编制设计方案、设计验证和确认</w:t>
            </w:r>
            <w:r>
              <w:rPr>
                <w:rFonts w:ascii="仿宋_GB2312" w:hAnsi="仿宋_GB2312" w:cs="仿宋_GB2312" w:eastAsia="仿宋_GB2312"/>
                <w:sz w:val="28"/>
              </w:rPr>
              <w:t>等内容。</w:t>
            </w:r>
          </w:p>
          <w:p>
            <w:pPr>
              <w:pStyle w:val="null3"/>
              <w:ind w:firstLine="560"/>
              <w:jc w:val="both"/>
            </w:pPr>
            <w:r>
              <w:rPr>
                <w:rFonts w:ascii="仿宋_GB2312" w:hAnsi="仿宋_GB2312" w:cs="仿宋_GB2312" w:eastAsia="仿宋_GB2312"/>
                <w:sz w:val="28"/>
              </w:rPr>
              <w:t>2、服务要求:符合国家的相关标准、行业标准或者其他标准、规范，执行所有现行的国家、行业标准、规范、规程中的强制性条款。</w:t>
            </w:r>
          </w:p>
          <w:p>
            <w:pPr>
              <w:pStyle w:val="null3"/>
              <w:jc w:val="both"/>
            </w:pPr>
            <w:r>
              <w:rPr>
                <w:rFonts w:ascii="仿宋_GB2312" w:hAnsi="仿宋_GB2312" w:cs="仿宋_GB2312" w:eastAsia="仿宋_GB2312"/>
                <w:sz w:val="30"/>
                <w:b/>
              </w:rPr>
              <w:t>四、拟投入本项目的预算</w:t>
            </w:r>
          </w:p>
          <w:p>
            <w:pPr>
              <w:pStyle w:val="null3"/>
              <w:ind w:firstLine="560"/>
              <w:jc w:val="both"/>
            </w:pPr>
            <w:r>
              <w:rPr>
                <w:rFonts w:ascii="仿宋_GB2312" w:hAnsi="仿宋_GB2312" w:cs="仿宋_GB2312" w:eastAsia="仿宋_GB2312"/>
                <w:sz w:val="28"/>
              </w:rPr>
              <w:t>本次采购预算</w:t>
            </w:r>
            <w:r>
              <w:rPr>
                <w:rFonts w:ascii="仿宋_GB2312" w:hAnsi="仿宋_GB2312" w:cs="仿宋_GB2312" w:eastAsia="仿宋_GB2312"/>
                <w:sz w:val="28"/>
              </w:rPr>
              <w:t>185.62</w:t>
            </w:r>
            <w:r>
              <w:rPr>
                <w:rFonts w:ascii="仿宋_GB2312" w:hAnsi="仿宋_GB2312" w:cs="仿宋_GB2312" w:eastAsia="仿宋_GB2312"/>
                <w:sz w:val="28"/>
              </w:rPr>
              <w:t>万元，包含与本项目相关服务及履行合同义务有关的一切费用。</w:t>
            </w:r>
          </w:p>
          <w:p>
            <w:pPr>
              <w:pStyle w:val="null3"/>
              <w:jc w:val="both"/>
            </w:pPr>
            <w:r>
              <w:rPr>
                <w:rFonts w:ascii="仿宋_GB2312" w:hAnsi="仿宋_GB2312" w:cs="仿宋_GB2312" w:eastAsia="仿宋_GB2312"/>
                <w:sz w:val="30"/>
                <w:b/>
              </w:rPr>
              <w:t>五、服务质量、标准、期限、效率等要求</w:t>
            </w:r>
          </w:p>
          <w:p>
            <w:pPr>
              <w:pStyle w:val="null3"/>
              <w:ind w:firstLine="560"/>
              <w:jc w:val="both"/>
            </w:pPr>
            <w:r>
              <w:rPr>
                <w:rFonts w:ascii="仿宋_GB2312" w:hAnsi="仿宋_GB2312" w:cs="仿宋_GB2312" w:eastAsia="仿宋_GB2312"/>
                <w:sz w:val="28"/>
              </w:rPr>
              <w:t>1、满足国家的相关标准、行业标准或者其他标准、规范，执行所有现行的国家、行业标准、规范、规程中的强制性条款。</w:t>
            </w:r>
          </w:p>
          <w:p>
            <w:pPr>
              <w:pStyle w:val="null3"/>
              <w:ind w:firstLine="560"/>
              <w:jc w:val="both"/>
            </w:pPr>
            <w:r>
              <w:rPr>
                <w:rFonts w:ascii="仿宋_GB2312" w:hAnsi="仿宋_GB2312" w:cs="仿宋_GB2312" w:eastAsia="仿宋_GB2312"/>
                <w:sz w:val="28"/>
              </w:rPr>
              <w:t>2、成交单位不得以任何借口拖延相关服务。</w:t>
            </w:r>
          </w:p>
          <w:p>
            <w:pPr>
              <w:pStyle w:val="null3"/>
              <w:jc w:val="both"/>
            </w:pPr>
            <w:r>
              <w:rPr>
                <w:rFonts w:ascii="仿宋_GB2312" w:hAnsi="仿宋_GB2312" w:cs="仿宋_GB2312" w:eastAsia="仿宋_GB2312"/>
                <w:sz w:val="30"/>
                <w:b/>
              </w:rPr>
              <w:t>六、</w:t>
            </w:r>
            <w:r>
              <w:rPr>
                <w:rFonts w:ascii="仿宋_GB2312" w:hAnsi="仿宋_GB2312" w:cs="仿宋_GB2312" w:eastAsia="仿宋_GB2312"/>
                <w:sz w:val="30"/>
                <w:b/>
              </w:rPr>
              <w:t>付款方式</w:t>
            </w:r>
          </w:p>
          <w:tbl>
            <w:tblPr>
              <w:tblBorders>
                <w:top w:val="none" w:color="000000" w:sz="4"/>
                <w:left w:val="none" w:color="000000" w:sz="4"/>
                <w:bottom w:val="none" w:color="000000" w:sz="4"/>
                <w:right w:val="none" w:color="000000" w:sz="4"/>
                <w:insideH w:val="none"/>
                <w:insideV w:val="none"/>
              </w:tblBorders>
            </w:tblPr>
            <w:tblGrid>
              <w:gridCol w:w="761"/>
              <w:gridCol w:w="941"/>
              <w:gridCol w:w="851"/>
            </w:tblGrid>
            <w:tr>
              <w:tc>
                <w:tcPr>
                  <w:tcW w:type="dxa" w:w="7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支付次数</w:t>
                  </w:r>
                </w:p>
              </w:tc>
              <w:tc>
                <w:tcPr>
                  <w:tcW w:type="dxa" w:w="9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支付时间</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支付比例</w:t>
                  </w: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第一次付款</w:t>
                  </w:r>
                </w:p>
              </w:tc>
              <w:tc>
                <w:tcPr>
                  <w:tcW w:type="dxa" w:w="9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成果经专家评审通过，并向甲方提交全部设计成果。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合同价款的</w:t>
                  </w:r>
                  <w:r>
                    <w:rPr>
                      <w:rFonts w:ascii="仿宋_GB2312" w:hAnsi="仿宋_GB2312" w:cs="仿宋_GB2312" w:eastAsia="仿宋_GB2312"/>
                      <w:sz w:val="24"/>
                    </w:rPr>
                    <w:t>10</w:t>
                  </w:r>
                  <w:r>
                    <w:rPr>
                      <w:rFonts w:ascii="仿宋_GB2312" w:hAnsi="仿宋_GB2312" w:cs="仿宋_GB2312" w:eastAsia="仿宋_GB2312"/>
                      <w:sz w:val="24"/>
                    </w:rPr>
                    <w:t>0%</w:t>
                  </w:r>
                </w:p>
              </w:tc>
            </w:tr>
          </w:tbl>
          <w:p>
            <w:pPr>
              <w:pStyle w:val="null3"/>
              <w:jc w:val="both"/>
            </w:pPr>
            <w:r>
              <w:rPr>
                <w:rFonts w:ascii="仿宋_GB2312" w:hAnsi="仿宋_GB2312" w:cs="仿宋_GB2312" w:eastAsia="仿宋_GB2312"/>
                <w:sz w:val="30"/>
                <w:b/>
              </w:rPr>
              <w:t>七、验收标准</w:t>
            </w:r>
          </w:p>
          <w:p>
            <w:pPr>
              <w:pStyle w:val="null3"/>
              <w:ind w:firstLine="560"/>
              <w:jc w:val="both"/>
            </w:pPr>
            <w:r>
              <w:rPr>
                <w:rFonts w:ascii="仿宋_GB2312" w:hAnsi="仿宋_GB2312" w:cs="仿宋_GB2312" w:eastAsia="仿宋_GB2312"/>
                <w:sz w:val="28"/>
              </w:rPr>
              <w:t>1、本项目还需要达到以下验收要求:符合国家、省市相关法律、法规、标准、规范。</w:t>
            </w:r>
          </w:p>
          <w:p>
            <w:pPr>
              <w:pStyle w:val="null3"/>
              <w:ind w:firstLine="560"/>
              <w:jc w:val="both"/>
            </w:pPr>
            <w:r>
              <w:rPr>
                <w:rFonts w:ascii="仿宋_GB2312" w:hAnsi="仿宋_GB2312" w:cs="仿宋_GB2312" w:eastAsia="仿宋_GB2312"/>
                <w:sz w:val="28"/>
              </w:rPr>
              <w:t>2、验收标准:按采购文件、响应文件及澄清函、项目检查情况等综合指标进行验收。各项指标均应符合验收标准及要求。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1、本项目还需要达到以下验收要求:符合国家、省市相关法律、法规、标准、规范。 2、验收标准:按采购文件、响应文件及澄清函、项目检查情况等综合指标进行验收。各项指标均应符合验收标准及要求。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成果经专家评审通过，并向甲方提交全部设计成果</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成交）服务费由成交单位在领取成交通知书时一次性支付。2、中标（成交）服务费参照《国家计委关于印发&lt;招标代理服务收费管理暂行办法&gt;的通知》（计价格【2002】1980号）及《国家发展和改革委员会办公厅关于招标代理服务收费有关问题的通知》（发改办价格〔2003〕857号）文件中服务类收费标准下浮10%收取，由中标（成交）供应商向受托人支付。服务费可以采取银行转账或现金等方式支付。3、成交供应商在成交（中标）公告发布后2个工作日内提交纸质版响应文件一正两副（双面打印），成交（中标）后提交的纸质文件应从专用制作软件中直接打印，与电子版响应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残疾人福利性单位声明函 响应函 供应商承诺书.docx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供应商具有独立承担民事责任能力的法人，提供合法有效的统一社会信用代码营业执照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提供2024年度的财务审计报告或开标前六个月内其基本存款账户开户银行出具的资信证明(附开户许可证或开户备案证明或基本账户信息)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2025年1月至今已缴存的至少一个月的纳税证明或完税证明，依法免税的单位应提供相关证明材料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供应商具备地质灾害评估和治理工程勘察设计甲级资质及土地规划乙级及以上资质及测绘乙级及以上资质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供应商法定代表人直接参加投标的，须出具法人身份证明及身份证；法定代表人授权代表参加投标的，须出具法定代表人授权书及授权代表身份证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供应商在递交响应文件截止时间前不得为“信用中国”网站(www.creditchina.gov.cn)中列入重大税收违法失信主体的供应商；不得为“中国执行信息公开网”(http://zxgk.court.gov.c n)中列入失信被执行人名单的供应商；不得为“中国政府采购网”(www.ccgp.gov.cn)政府采购严重违法失信行为记录名单中被财政部门禁止参加政府采购活动的供应商:(磋商文件解密完成后查询相关信用记录，对列入失信被执行人、重大税收违法失信主体、政府采购严重违法失信行为记录名单，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具有履行本项目所必需的设备和专业技术能力</w:t>
            </w:r>
          </w:p>
        </w:tc>
        <w:tc>
          <w:tcPr>
            <w:tcW w:type="dxa" w:w="3322"/>
          </w:tcPr>
          <w:p>
            <w:pPr>
              <w:pStyle w:val="null3"/>
            </w:pPr>
            <w:r>
              <w:rPr>
                <w:rFonts w:ascii="仿宋_GB2312" w:hAnsi="仿宋_GB2312" w:cs="仿宋_GB2312" w:eastAsia="仿宋_GB2312"/>
              </w:rPr>
              <w:t>供应商提供具有履行本项目所必需的设备和专业技术能力的声明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近3年无重大违法记录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供应商关联关系</w:t>
            </w:r>
          </w:p>
        </w:tc>
        <w:tc>
          <w:tcPr>
            <w:tcW w:type="dxa" w:w="3322"/>
          </w:tcPr>
          <w:p>
            <w:pPr>
              <w:pStyle w:val="null3"/>
            </w:pPr>
            <w:r>
              <w:rPr>
                <w:rFonts w:ascii="仿宋_GB2312" w:hAnsi="仿宋_GB2312" w:cs="仿宋_GB2312" w:eastAsia="仿宋_GB2312"/>
              </w:rPr>
              <w:t>供应商不得存在下列情形之一:(1)单位负责人为同一人或者存在直接控股、管理关系的不同供应商，不得参加本次采购活动:(2)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允许联合体磋商</w:t>
            </w:r>
          </w:p>
        </w:tc>
        <w:tc>
          <w:tcPr>
            <w:tcW w:type="dxa" w:w="3322"/>
          </w:tcPr>
          <w:p>
            <w:pPr>
              <w:pStyle w:val="null3"/>
            </w:pPr>
            <w:r>
              <w:rPr>
                <w:rFonts w:ascii="仿宋_GB2312" w:hAnsi="仿宋_GB2312" w:cs="仿宋_GB2312" w:eastAsia="仿宋_GB2312"/>
              </w:rPr>
              <w:t>本项目允许联合体磋商，联合体磋商的，应满足下列要求: (1)申请参加本项目投标的单位只能出现在一个联合体中； (2)联合体成员应共同签订具有法律效力和有约束力的联合体协议，明确各方权利、义务和分工，并声明承诺联合体各成员方对本次申请以及成交后签订合同承担全部及连带责任； (3)联合体投标的由联合体牵头人负责投标全过程，包括但不限于采购文件获取、响应文件编制与递交、委托人授权、接收答疑、回复澄清、主张或放弃权利、签字盖章和合同谈判活动，代表联合体提交和接收相关的资料、信息及指示，处理与之有关的一切事务，并负责合同实施阶段的主办、组织和协调工作等投标与中标后事宜相关的全部事宜。</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磋商响应文件签字盖章、格式</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供应商类似项目业绩一览表.docx 中小企业声明函 报价表 商务条款响应偏离表.docx 供应商承诺书.docx 响应文件封面 供应商应提交的相关资格证明材料.docx 残疾人福利性单位声明函 标的清单 技术、服务条款响应偏离表.docx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供应商报价是固定价且未超过预算金额（采购文件有最高限价的，报价未超过最高限价）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供应商类似项目业绩一览表.docx 中小企业声明函 报价表 商务条款响应偏离表.docx 供应商承诺书.docx 响应文件封面 供应商应提交的相关资格证明材料.docx 残疾人福利性单位声明函 标的清单 技术、服务条款响应偏离表.docx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设计理念、思路及实施方案</w:t>
            </w:r>
          </w:p>
        </w:tc>
        <w:tc>
          <w:tcPr>
            <w:tcW w:type="dxa" w:w="2492"/>
          </w:tcPr>
          <w:p>
            <w:pPr>
              <w:pStyle w:val="null3"/>
            </w:pPr>
            <w:r>
              <w:rPr>
                <w:rFonts w:ascii="仿宋_GB2312" w:hAnsi="仿宋_GB2312" w:cs="仿宋_GB2312" w:eastAsia="仿宋_GB2312"/>
              </w:rPr>
              <w:t>根据供应商提供针对本项目的设计理念、思路及实施方案进行综合评审。 1、完整性：方案能对采购人提出的工作内容进行完整、合理地阐述，对所有服务需求提出明确的服务工作机制、工作流程的，根据响应情况得[0-2.5]分。 2、可行性：方案的总体框架清晰，符合项目特点，并提出合法、合规并有利于推动项目实施措施的，根据响应情况得[0-2.5]分。 3、专业性：技术思路清晰、明确，逻辑性强，有系统、科学、操作性强的研究方法，充分考虑区域实际，根据响应情况得[0-2.5]分。 4、及时性：方案中具有具体的服务响应期限，能够做到及时、高效响应采购人的需求，进度计划科学合理，保证工作效率效果，根据响应情况得[0-2.5]分。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根据供应商对本项目的服务质量保证措施进行综合评审。 服务质量保证措施全面合理，可行性强得（7-10]分； 服务质量保证措施较全面合理，可行性较强得（4-7]分； 服务质量保证措施全面性低，可行性不强得（0-4]分，未提供不得分。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工作计划及时间安排</w:t>
            </w:r>
          </w:p>
        </w:tc>
        <w:tc>
          <w:tcPr>
            <w:tcW w:type="dxa" w:w="2492"/>
          </w:tcPr>
          <w:p>
            <w:pPr>
              <w:pStyle w:val="null3"/>
            </w:pPr>
            <w:r>
              <w:rPr>
                <w:rFonts w:ascii="仿宋_GB2312" w:hAnsi="仿宋_GB2312" w:cs="仿宋_GB2312" w:eastAsia="仿宋_GB2312"/>
              </w:rPr>
              <w:t>根据供应商对本次项目制定的工作计划及时间安排进行综合评审。 工作计划及时间安排合理、详细得（7-10]分； 工作计划及时间安排较合理、较详细得（4-7]分； 工作计划及时间安排简单、不合理、不详细得（0-4]分，未提供不得分。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针对本项目重点、难点分析</w:t>
            </w:r>
          </w:p>
        </w:tc>
        <w:tc>
          <w:tcPr>
            <w:tcW w:type="dxa" w:w="2492"/>
          </w:tcPr>
          <w:p>
            <w:pPr>
              <w:pStyle w:val="null3"/>
            </w:pPr>
            <w:r>
              <w:rPr>
                <w:rFonts w:ascii="仿宋_GB2312" w:hAnsi="仿宋_GB2312" w:cs="仿宋_GB2312" w:eastAsia="仿宋_GB2312"/>
              </w:rPr>
              <w:t>根据供应商针对本项目重点、难点分析的准确性、全面性及应对措施的可行性进行综合评审。 对本项目重点、难点分析及应对措施详细、合理得（7-10]分；对本项目重点、难点分析及应对措施较详细、较合理得（4-7]分；对本项目重点、难点分析及应对措施不详细、不合理得（0-4]分，未提供不得分。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资料管理制度</w:t>
            </w:r>
          </w:p>
        </w:tc>
        <w:tc>
          <w:tcPr>
            <w:tcW w:type="dxa" w:w="2492"/>
          </w:tcPr>
          <w:p>
            <w:pPr>
              <w:pStyle w:val="null3"/>
            </w:pPr>
            <w:r>
              <w:rPr>
                <w:rFonts w:ascii="仿宋_GB2312" w:hAnsi="仿宋_GB2312" w:cs="仿宋_GB2312" w:eastAsia="仿宋_GB2312"/>
              </w:rPr>
              <w:t>①资料管理制度②设计过程资料、成果文件等相关资料移交方案。评审标准:每一项内容描述详细内容全面，条理清晰、与项目内容匹配根据响应情况得[0-3]分，①~②项合计得6分。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针对本项目提出的合理化建议及服务承诺</w:t>
            </w:r>
          </w:p>
        </w:tc>
        <w:tc>
          <w:tcPr>
            <w:tcW w:type="dxa" w:w="2492"/>
          </w:tcPr>
          <w:p>
            <w:pPr>
              <w:pStyle w:val="null3"/>
            </w:pPr>
            <w:r>
              <w:rPr>
                <w:rFonts w:ascii="仿宋_GB2312" w:hAnsi="仿宋_GB2312" w:cs="仿宋_GB2312" w:eastAsia="仿宋_GB2312"/>
              </w:rPr>
              <w:t>根据供应商针对本项目提出合理化建议及服务承诺进行综合评审。 合理化建议全面、可行，服务承诺完善、详细得（3-5]分；合理化建议较全面、较可行，服务承诺较完善、较详细得（1-3]分；合理化建议不全面、不可行，服务承诺不完善、不详细得（0-1]分，未提供不得分。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方案优化</w:t>
            </w:r>
          </w:p>
        </w:tc>
        <w:tc>
          <w:tcPr>
            <w:tcW w:type="dxa" w:w="2492"/>
          </w:tcPr>
          <w:p>
            <w:pPr>
              <w:pStyle w:val="null3"/>
            </w:pPr>
            <w:r>
              <w:rPr>
                <w:rFonts w:ascii="仿宋_GB2312" w:hAnsi="仿宋_GB2312" w:cs="仿宋_GB2312" w:eastAsia="仿宋_GB2312"/>
              </w:rPr>
              <w:t>设计控制保证措施、设计方案优化措施的有效性和可行性；技术服务保证措施（现场服务、设计变更、手续办理等），及后期的现场技术服务支持，根据响应情况得[0-2]分。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根据为本项目配置的项目团队人员架构、资格证书、人员经验等方面综合评审。 人员构架、分工合理，人员安排方案具体、合理：(7-10]分；人员构架、分工较合理，人员安排方案较具体合理：(3-7]分；人员构架简单，人员安排方案简单笼统：（0-3]分,未提供不得分。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业绩：2022年1月1日起至响应文件文件递交截止时间止项目负责人负责过类似工程设计业绩（以合同或中标通知书中约定的项目负责人姓名为准，时间以合同签订时间或中标通知书签发时间为准），有1项得2分,最高得4分。 评审依据：以供应商加盖公章的合同复印件或扫描件为准。 职称：拟派项目负责人具有相关专业高级职称的，得4分，具有相关专业中级职称的，得2分。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2022年1月1日起至响应文件文件递交截止时间止类似工程设计业绩（以合同签订时间或中标通知书签发时间为准），有1项得3分,最高得9分。 评审依据：以供应商加盖公章的合同复印件或扫描件为准。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磋商报价最低的报价为评审基准价，其价格分为满分。其他供应商的价格分统一按照下列公式计算:磋商报价得分=【评审基准价/磋商报价(最终二次报价)]x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详见附件：技术、服务条款响应偏离表.docx</w:t>
      </w:r>
    </w:p>
    <w:p>
      <w:pPr>
        <w:pStyle w:val="null3"/>
        <w:ind w:firstLine="960"/>
      </w:pPr>
      <w:r>
        <w:rPr>
          <w:rFonts w:ascii="仿宋_GB2312" w:hAnsi="仿宋_GB2312" w:cs="仿宋_GB2312" w:eastAsia="仿宋_GB2312"/>
        </w:rPr>
        <w:t>详见附件：商务条款响应偏离表.docx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详见附件：建设工程勘察设计合同(1).docx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