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版本号：SXCFY20250801.2.4B320250925001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大荔县2025年粮油绿色高效提单产项目(四次)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SXCFY20250801.2.4B3</w:t>
      </w:r>
      <w:r>
        <w:br/>
      </w:r>
      <w:r>
        <w:br/>
      </w:r>
      <w:r>
        <w:br/>
      </w:r>
    </w:p>
    <w:p>
      <w:pPr>
        <w:pStyle w:val="null3"/>
        <w:jc w:val="center"/>
        <w:outlineLvl w:val="2"/>
      </w:pPr>
      <w:r>
        <w:rPr>
          <w:rFonts w:ascii="仿宋_GB2312" w:hAnsi="仿宋_GB2312" w:cs="仿宋_GB2312" w:eastAsia="仿宋_GB2312"/>
          <w:sz w:val="28"/>
          <w:b/>
        </w:rPr>
        <w:t>大荔县农业技术推广中心</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大荔县农业技术推广中心</w:t>
      </w:r>
      <w:r>
        <w:rPr>
          <w:rFonts w:ascii="仿宋_GB2312" w:hAnsi="仿宋_GB2312" w:cs="仿宋_GB2312" w:eastAsia="仿宋_GB2312"/>
        </w:rPr>
        <w:t>委托，拟对</w:t>
      </w:r>
      <w:r>
        <w:rPr>
          <w:rFonts w:ascii="仿宋_GB2312" w:hAnsi="仿宋_GB2312" w:cs="仿宋_GB2312" w:eastAsia="仿宋_GB2312"/>
        </w:rPr>
        <w:t>大荔县2025年粮油绿色高效提单产项目(四次)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SXCFY20250801.2.4B3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大荔县2025年粮油绿色高效提单产项目(四次)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充分挖掘我县粮油单产潜力，依托经营主体推进“三主融合”建立“三主融合”展示田，辐射带动大面积均衡增产增效。根据项目下达的目标任务，结合我县粮食生产实际，在全县范围遴选种植面积集中连片百亩以上的建立“三主融合展示田”4.8万亩，其中玉米建立1.91万亩，小麦建立2.29万亩，花生 0.6万亩;同时建立单产提升技术集成展示田 200亩以上。通过建立百亩展示田推广适宜当地小麦、玉米、花生的主推技术、主要品种、主要机型，力争展示田平均亩产较周边大田提高 10%以上，节水节肥 2%以上，辐射带动区面积5万亩以上。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采购包1（小麦专用肥）：属于专门面向中小企业采购。</w:t>
      </w:r>
    </w:p>
    <w:p>
      <w:pPr>
        <w:pStyle w:val="null3"/>
      </w:pPr>
      <w:r>
        <w:rPr>
          <w:rFonts w:ascii="仿宋_GB2312" w:hAnsi="仿宋_GB2312" w:cs="仿宋_GB2312" w:eastAsia="仿宋_GB2312"/>
        </w:rPr>
        <w:t>采购包2（（花生）复合肥）：属于专门面向null采购。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2、资质：投标人为生产企业的需提供有效期内的肥料登记证或农业农村部登记备案证明，为代理商的提供生产厂家的肥料登记证或农业农村部登记备案证明材料。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2、资质：投标人为生产企业的需提供有效期内的肥料登记证或农业农村部登记备案证明，为代理商的提供生产厂家的肥料登记证或农业农村部登记备案证明材料。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大荔县华城路26号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成站长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15389389840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陕西省西安市新城区金花北路169号天彩大厦B座1单元20层2001室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采购包1：448,500.00元</w:t>
            </w:r>
          </w:p>
          <w:p>
            <w:pPr>
              <w:pStyle w:val="null3"/>
            </w:pPr>
            <w:r>
              <w:rPr>
                <w:rFonts w:ascii="仿宋_GB2312" w:hAnsi="仿宋_GB2312" w:cs="仿宋_GB2312" w:eastAsia="仿宋_GB2312"/>
              </w:rPr>
              <w:t>采购包2：900,000.00元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代理服务费收费标准：参照国家发展和改革委员会办公厅颁发的 《关于招标代理服务费收费有关问题的通知》（发改办价格〔2003〕 857 号）及《调整后的招标代理服务收费标准》(发改价格〔2011〕 534 号)的规定。 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大荔县农业技术推广中心</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大荔县农业技术推广中心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符合采购文件和乙方响应文件标准和要求以及国家相关技术标准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联系人：阮工</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充分挖掘我县粮油单产潜力，依托经营主体推进“三主融合”建立“三主融合”展示田，辐射带动大面积均衡增产增效。根据项目下达的目标任务，结合我县粮食生产实际，在全县范围遴选种植面积集中连片百亩以上的建立“三主融合展示田”4.8万亩，其中玉米建立1.91万亩，小麦建立2.29万亩，花生 0.6万亩;同时建立单产提升技术集成展示田 200亩以上。通过建立百亩展示田推广适宜当地小麦、玉米、花生的主推技术、主要品种、主要机型，力争展示田平均亩产较周边大田提高 10%以上，节水节肥 2%以上，辐射带动区面积5万亩以上。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448,500.00</w:t>
      </w:r>
    </w:p>
    <w:p>
      <w:pPr>
        <w:pStyle w:val="null3"/>
      </w:pPr>
      <w:r>
        <w:rPr>
          <w:rFonts w:ascii="仿宋_GB2312" w:hAnsi="仿宋_GB2312" w:cs="仿宋_GB2312" w:eastAsia="仿宋_GB2312"/>
        </w:rPr>
        <w:t>采购包最高限价（元）: 448,500.00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小麦专用肥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（花生）复合肥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标的名称：小麦专用肥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实施区域：全县境内南种植主体</w:t>
            </w:r>
          </w:p>
          <w:p>
            <w:pPr>
              <w:pStyle w:val="null3"/>
            </w:pPr>
            <w:r>
              <w:rPr>
                <w:rFonts w:ascii="仿宋_GB2312" w:hAnsi="仿宋_GB2312" w:cs="仿宋_GB2312" w:eastAsia="仿宋_GB2312"/>
              </w:rPr>
              <w:t>肥料为三元复合肥，达到复混（合）肥国家标准（GB/T15063-2020）。N+P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+K</w:t>
            </w:r>
            <w:r>
              <w:rPr>
                <w:rFonts w:ascii="仿宋_GB2312" w:hAnsi="仿宋_GB2312" w:cs="仿宋_GB2312" w:eastAsia="仿宋_GB2312"/>
                <w:vertAlign w:val="subscript"/>
              </w:rPr>
              <w:t>2</w:t>
            </w:r>
            <w:r>
              <w:rPr>
                <w:rFonts w:ascii="仿宋_GB2312" w:hAnsi="仿宋_GB2312" w:cs="仿宋_GB2312" w:eastAsia="仿宋_GB2312"/>
              </w:rPr>
              <w:t>0总含量≥45%，其中N≥20，17≤P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≤20,5≤K</w:t>
            </w:r>
            <w:r>
              <w:rPr>
                <w:rFonts w:ascii="仿宋_GB2312" w:hAnsi="仿宋_GB2312" w:cs="仿宋_GB2312" w:eastAsia="仿宋_GB2312"/>
                <w:vertAlign w:val="subscript"/>
              </w:rPr>
              <w:t>2</w:t>
            </w:r>
            <w:r>
              <w:rPr>
                <w:rFonts w:ascii="仿宋_GB2312" w:hAnsi="仿宋_GB2312" w:cs="仿宋_GB2312" w:eastAsia="仿宋_GB2312"/>
              </w:rPr>
              <w:t>0≤8，肥料形状为颗粒，包装规格40公斤/袋，最高限价为单价130元/袋，补贴标准每亩20公斤，计划采购面积6900亩,计划采购3450袋。</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标的名称：（花生）复合肥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实施区域：全县境内种植主体</w:t>
            </w:r>
            <w:r>
              <w:br/>
            </w:r>
            <w:r>
              <w:rPr>
                <w:rFonts w:ascii="仿宋_GB2312" w:hAnsi="仿宋_GB2312" w:cs="仿宋_GB2312" w:eastAsia="仿宋_GB2312"/>
              </w:rPr>
              <w:t xml:space="preserve"> 肥料为三元复合肥，达到复混（合）肥国家标准（GB/T15063-2020）。N+P2O5+K20总含量≥45%，其中K20≥15，10≤P2O5≤15,肥料形状为颗粒，包装规格40公斤/袋，最高限价为单价150元/袋，补贴标准每亩40公斤，项目计划采购面积0.6万亩,计划采购6000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大荔县全县境内南种植主体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大荔县全县境内种植主体</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符合采购文件和乙方响应文件标准和要求以及国家相关技术标准，由专家小组进行评审，经过专家小组评审后一致认为已达到要求视为合格。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符合采购文件和乙方响应文件标准和要求以及国家相关技术标准，由专家小组进行评，经过专家小组评审后一致认为已达到要求视为合格。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质量符合国家、省、市相关技术规范要求。GB/T 15063-2020《复合肥料》 质保期：1年（自交货验收合格之日起计，质保期内，应提供免除一切费用的售后服务）。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质量符合国家、省、市相关技术规范要求。GB/T 15063-2020《复合肥料》 质保期：1年（自交货验收合格之日起计，质保期内，应提供免除一切费用的售后服务）。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1、本项目分项报价单位为：“袋”，规格及最高限价单价已在采购要求中载明； 2、中标单位在中标(成交)结果公告结束后3个工作日内向采购代理机构提供纸质版投标文件正 本一份，副本三份，电子U盘一份(投标文件内容与电子版一致)。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资格证明文件包1-4.docx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投标人为生产企业的需提供有效期内的肥料登记证或农业农村部登记备案证明，为代理商的提供生产厂家的肥料登记证或农业农村部登记备案证明材料。</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投标人为生产企业的需提供有效期内的肥料登记证或农业农村部登记备案证明，为代理商的提供生产厂家的肥料登记证或农业农村部登记备案证明材料。</w:t>
            </w:r>
          </w:p>
        </w:tc>
        <w:tc>
          <w:tcPr>
            <w:tcW w:type="dxa" w:w="1661"/>
          </w:tcPr>
          <w:p>
            <w:pPr>
              <w:pStyle w:val="null3"/>
            </w:pPr>
            <w:r>
              <w:rPr>
                <w:rFonts w:ascii="仿宋_GB2312" w:hAnsi="仿宋_GB2312" w:cs="仿宋_GB2312" w:eastAsia="仿宋_GB2312"/>
              </w:rPr>
              <w:t>资格证明文件包1-4.docx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资格证明文件包1-4.docx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完全响应招标文件技术要求及商务要求的内容且未含有采购人不能接受的附加条件。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资格证明文件包1-4.docx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完全响应招标文件技术要求及商务要求的内容且未含有采购人不能接受的附加条件。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项目组织实施计划完整可行，内容包括：①备货、供货进度及保证措施；②拟投入本项目的人员安排及责任制度；③所投产品的质量保证措施。 二、评审标准 1、完整性：方案须全面，对评审内容中的各项要求描述详细； 2、可实施性：切合本项目实际情况，实施步骤清晰、合理； 3、针对性：方案能够紧扣项目实际情况，内容科学合理。 三、赋分依据（满分 18 分） ①备货、供货进度及保证措施：每完全满足一个评审标准得 2 分，满分 6分； ②拟投入本项目的人员安排及责任制度:每完全满足一个评审标准得 2 分，满分 6分； ③所投产品的质量保证措施：每完全满足一个评审标准得 2 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根据项目实际需求，提供质量保证方案。内容包含：①所投产品符合国家相关标准，有具体可行的质量保证承诺，保证使用单位能熟练、安全使用；②所投产品提供合法来源渠道证明材料。 二、评审标准 1、完整性：方案须全面，对评审内容中的各项要求描述详细； 2、可实施性：切合本项目实际情况，实施步骤清晰、合理； 3、针对性：方案能够紧扣项目实际情况，内容科学合理。 三、赋分依据（满分 12分） ①所投产品符合国家相关标准，有具体可行的质量保证承诺，保证使用单位能熟练、安全使用:每完全满足一个评审标准得 3 分，满分 9 分。 ②提供所投产品提供合法来源渠道证明材料（包括但不限于产品制造商授权、销售协议、代理协议、第三方检测报告、彩页、官网截图等证明文件）得3分，不提供不得分。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根据项目实际需求提供应急和突发事件的处理措施。 二、评审标准 1、完整性：方案须全面，对评审内容中的各项要求描述详细； 2、可实施性：切合本项目实际情况，实施步骤清晰、合理； 3、针对性：方案能够紧扣项目实际情况，内容科学合理。 三、赋分依据（满分9分） 每完全满足一个评审标准得3分，满分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根据项目实际需求培训方案。 二、评审标准 1、完整性：方案须全面，对评审内容中的各项要求描述详细； 2、可实施性：切合本项目实际情况，实施步骤清晰、合理； 3、针对性：方案能够紧扣项目实际情况，内容科学合理。 三、赋分依据（满分6分） 每完全满足一个评审标准得2分，满分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根据项目实际需求提供售后服务方案。内容包含：①售后服务范围及保障措施②售后服务承诺③响应时间④质保期。 二、评审标准 1、完整性：方案须全面，对评审内容中的各项要求描述详细； 2、可实施性：切合本项目实际情况，实施步骤清晰、合理； 3、针对性：方案能够紧扣项目实际情况，内容科学合理。 三、赋分依据（满分17分） ①售后服务范围及保障措施：每完全满足一个评审标准得 2分，满分 6分； ②售后服务承诺:每完全满足一个评审标准得 2分，满分 6 分； ③响应时间:保证 3 小时内到现场处理相关问题，提供承诺，每缩短30分钟得0.5分，满分2分； ④质保期：质保期每延长6个月得1分，满分3分。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提供投标人2022年8月至今（时间以合同签订时间为准）类似项目业绩，每份计2分，计满8分为止。 备注：需提供完整业绩合同，并加盖投标人公章。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项目组织实施计划完整可行，内容包括：①备货、供货进度及保证措施；②拟投入本项目的人员安排及责任制度；③所投产品的质量保证措施。 二、评审标准 1、完整性：方案须全面，对评审内容中的各项要求描述详细； 2、可实施性：切合本项目实际情况，实施步骤清晰、合理； 3、针对性：方案能够紧扣项目实际情况，内容科学合理。 三、赋分依据（满分 18 分） ①备货、供货进度及保证措施：每完全满足一个评审标准得 2 分，满分 6分； ②拟投入本项目的人员安排及责任制度:每完全满足一个评审标准得 2 分，满分 6分； ③所投产品的质量保证措施：每完全满足一个评审标准得 2 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根据项目实际需求，提供质量保证方案。内容包含：①所投产品符合国家相关标准，有具体可行的质量保证承诺，保证使用单位能熟练、安全使用；②所投产品提供合法来源渠道证明材料。 二、评审标准 1、完整性：方案须全面，对评审内容中的各项要求描述详细； 2、可实施性：切合本项目实际情况，实施步骤清晰、合理； 3、针对性：方案能够紧扣项目实际情况，内容科学合理。 三、赋分依据（满分 12分） ①所投产品符合国家相关标准，有具体可行的质量保证承诺，保证使用单位能熟练、安全使用:每完全满足一个评审标准得 3 分，满分 9 分。 ②提供所投产品提供合法来源渠道证明材料（包括但不限于产品制造商授权、销售协议、代理协议、第三方检测报告、彩页、官网截图等证明文件）得3分，不提供不得分。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根据项目实际需求提供应急和突发事件的处理措施。 二、评审标准 1、完整性：方案须全面，对评审内容中的各项要求描述详细； 2、可实施性：切合本项目实际情况，实施步骤清晰、合理； 3、针对性：方案能够紧扣项目实际情况，内容科学合理。 三、赋分依据（满分9分） 每完全满足一个评审标准得3分，满分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根据项目实际需求培训方案。 二、评审标准 1、完整性：方案须全面，对评审内容中的各项要求描述详细； 2、可实施性：切合本项目实际情况，实施步骤清晰、合理； 3、针对性：方案能够紧扣项目实际情况，内容科学合理。 三、赋分依据（满分6分） 每完全满足一个评审标准得2分，满分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根据项目实际需求提供售后服务方案。内容包含：①售后服务范围及保障措施②售后服务承诺③响应时间④质保期。 二、评审标准 1、完整性：方案须全面，对评审内容中的各项要求描述详细； 2、可实施性：切合本项目实际情况，实施步骤清晰、合理； 3、针对性：方案能够紧扣项目实际情况，内容科学合理。 三、赋分依据（满分17分） ①售后服务范围及保障措施：每完全满足一个评审标准得 2分，满分 6分； ②售后服务承诺:每完全满足一个评审标准得 2分，满分 6 分； ③响应时间:保证 3 小时内到现场处理相关问题，提供承诺，每缩短30分钟得0.5分，满分2分； ④质保期：质保期每延长6个月得1分，满分3分。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提供投标人2022年8月至今（时间以合同签订时间为准）类似项目业绩，每份计2分，计满8分为止。 备注：需提供完整业绩合同，并加盖投标人公章。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详见附件：资格证明文件包1-4.docx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详见附件：资格证明文件包1-4.docx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