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版本号：JZZB2025-113420251211001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更新执法执勤用车政府采购项目(二次)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JZZB2025-1134</w:t>
      </w:r>
      <w:r>
        <w:br/>
      </w:r>
      <w:r>
        <w:br/>
      </w:r>
      <w:r>
        <w:br/>
      </w:r>
    </w:p>
    <w:p>
      <w:pPr>
        <w:pStyle w:val="null3"/>
        <w:jc w:val="center"/>
        <w:outlineLvl w:val="2"/>
      </w:pPr>
      <w:r>
        <w:rPr>
          <w:rFonts w:ascii="仿宋_GB2312" w:hAnsi="仿宋_GB2312" w:cs="仿宋_GB2312" w:eastAsia="仿宋_GB2312"/>
          <w:sz w:val="28"/>
          <w:b/>
        </w:rPr>
        <w:t>合阳县公安局</w:t>
      </w:r>
    </w:p>
    <w:p>
      <w:pPr>
        <w:pStyle w:val="null3"/>
        <w:jc w:val="center"/>
        <w:outlineLvl w:val="2"/>
      </w:pPr>
      <w:r>
        <w:rPr>
          <w:rFonts w:ascii="仿宋_GB2312" w:hAnsi="仿宋_GB2312" w:cs="仿宋_GB2312" w:eastAsia="仿宋_GB2312"/>
          <w:sz w:val="28"/>
          <w:b/>
        </w:rPr>
        <w:t>陕西金字招标有限责任公司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陕西金字招标有限责任公司</w:t>
      </w:r>
      <w:r>
        <w:rPr>
          <w:rFonts w:ascii="仿宋_GB2312" w:hAnsi="仿宋_GB2312" w:cs="仿宋_GB2312" w:eastAsia="仿宋_GB2312"/>
        </w:rPr>
        <w:t>（以下简称“代理机构”）受</w:t>
      </w:r>
      <w:r>
        <w:rPr>
          <w:rFonts w:ascii="仿宋_GB2312" w:hAnsi="仿宋_GB2312" w:cs="仿宋_GB2312" w:eastAsia="仿宋_GB2312"/>
        </w:rPr>
        <w:t>合阳县公安局</w:t>
      </w:r>
      <w:r>
        <w:rPr>
          <w:rFonts w:ascii="仿宋_GB2312" w:hAnsi="仿宋_GB2312" w:cs="仿宋_GB2312" w:eastAsia="仿宋_GB2312"/>
        </w:rPr>
        <w:t>委托，拟对</w:t>
      </w:r>
      <w:r>
        <w:rPr>
          <w:rFonts w:ascii="仿宋_GB2312" w:hAnsi="仿宋_GB2312" w:cs="仿宋_GB2312" w:eastAsia="仿宋_GB2312"/>
        </w:rPr>
        <w:t>更新执法执勤用车政府采购项目(二次)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JZZB2025-1134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更新执法执勤用车政府采购项目(二次)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采购执法执勤用车</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1、资格要求：具有独立承担民事责任能力的法人、其他组织或自然人，并出具合法有效的营业执照或事业单位法人证书等国家规定的相关证明，自然人参与的提供其身份证明； （2）供应商应具备良好的商业信誉，提供参加政府采购活动前3年内在经营活动中没有重大违法记录的书面声明； (3）财务状况报告：供应商提供2023或2024年的财务审计报告（至少包括资产负债表和利润表，成立时间至提交响应文件截止时间不足一年的可提供成立后任意时段的资产负债表），或其开标前六个月内银行开具的资信证明；  （4）社会保障资金缴纳证明：供应商提供已缴存的2024年度11月至今任意一个月的社会保障资金缴存单据或社保机构开具的社会保险参保缴费情况证明，单据或证明上应有社保机构或代收机构的公章。依法不需要缴纳社会保障资金的供应商应提供相关文件证明； （5）税收缴纳证明：供应商提供已缴纳的2024年度11月至今任意一个月的纳税证明或完税证明，纳税证明或完税证明上应有代收机构或税务机关的公章。依法免税的供应商应提供相关文件证明；  （6）供应商不得为“信用中国(www.creditchina.gov.cn)”中列入失信被执行人和重大税收违法案件当事人名单的供应商，不得为“中国政府采购网(www.ccgp.gov.cn)”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 （7）具备履行合同所必需的设备和专业技术能力的证明材料（书面声明）； （8）法定代表人直接参加投标的，须出具法人身份证明及身份证；法定代表人授权代表参加投标的，须出具法定代表人授权书及授权代表身份证； (9）单位负责人为同一人或者存在直接控股、管理关系的不同供应商，不得参加同一合同项下的政府采购活动。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合阳县公安局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合阳县城关街道办九龙大道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15353959270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陕西金字招标有限责任公司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西安市碑林区更新街13号铭爵大厦2号楼7楼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卢荣丹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15829663649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秦维纲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0913-8343423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开户名称：陕西金字招标有限责任公司</w:t>
            </w:r>
          </w:p>
          <w:p>
            <w:pPr>
              <w:pStyle w:val="null3"/>
            </w:pPr>
            <w:r>
              <w:rPr>
                <w:rFonts w:ascii="仿宋_GB2312" w:hAnsi="仿宋_GB2312" w:cs="仿宋_GB2312" w:eastAsia="仿宋_GB2312"/>
              </w:rPr>
              <w:t>开户银行：浙江网商银行股份有限公司</w:t>
            </w:r>
          </w:p>
          <w:p>
            <w:pPr>
              <w:pStyle w:val="null3"/>
            </w:pPr>
            <w:r>
              <w:rPr>
                <w:rFonts w:ascii="仿宋_GB2312" w:hAnsi="仿宋_GB2312" w:cs="仿宋_GB2312" w:eastAsia="仿宋_GB2312"/>
              </w:rPr>
              <w:t>银行账号：8888888167310240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 [2002]1980号）和《关于招标代理服务收费有关问题的通知》（发改办价格[2003]857号）的有关规定执行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合阳县公安局</w:t>
      </w:r>
      <w:r>
        <w:rPr>
          <w:rFonts w:ascii="仿宋_GB2312" w:hAnsi="仿宋_GB2312" w:cs="仿宋_GB2312" w:eastAsia="仿宋_GB2312"/>
        </w:rPr>
        <w:t>和</w:t>
      </w:r>
      <w:r>
        <w:rPr>
          <w:rFonts w:ascii="仿宋_GB2312" w:hAnsi="仿宋_GB2312" w:cs="仿宋_GB2312" w:eastAsia="仿宋_GB2312"/>
        </w:rPr>
        <w:t>陕西金字招标有限责任公司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合阳县公安局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陕西金字招标有限责任公司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合阳县公安局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陕西金字招标有限责任公司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以实际合同内容为准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联系人：卢荣丹</w:t>
      </w:r>
    </w:p>
    <w:p>
      <w:pPr>
        <w:pStyle w:val="null3"/>
      </w:pPr>
      <w:r>
        <w:rPr>
          <w:rFonts w:ascii="仿宋_GB2312" w:hAnsi="仿宋_GB2312" w:cs="仿宋_GB2312" w:eastAsia="仿宋_GB2312"/>
        </w:rPr>
        <w:t>联系电话：15829663649</w:t>
      </w:r>
    </w:p>
    <w:p>
      <w:pPr>
        <w:pStyle w:val="null3"/>
      </w:pPr>
      <w:r>
        <w:rPr>
          <w:rFonts w:ascii="仿宋_GB2312" w:hAnsi="仿宋_GB2312" w:cs="仿宋_GB2312" w:eastAsia="仿宋_GB2312"/>
        </w:rPr>
        <w:t>地址：西安市碑林区更新街13号铭爵大厦2号楼7楼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执法执勤用车采购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340,000.00</w:t>
      </w:r>
    </w:p>
    <w:p>
      <w:pPr>
        <w:pStyle w:val="null3"/>
      </w:pPr>
      <w:r>
        <w:rPr>
          <w:rFonts w:ascii="仿宋_GB2312" w:hAnsi="仿宋_GB2312" w:cs="仿宋_GB2312" w:eastAsia="仿宋_GB2312"/>
        </w:rPr>
        <w:t>采购包最高限价（元）: 340,000.00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执法执勤特种用车</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340,000.00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标的名称：执法执勤特种用车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tbl>
            <w:tblPr>
              <w:tblInd w:type="dxa" w:w="135"/>
              <w:tblBorders>
                <w:top w:val="none" w:color="000000" w:sz="4"/>
                <w:left w:val="none" w:color="000000" w:sz="4"/>
                <w:bottom w:val="none" w:color="000000" w:sz="4"/>
                <w:right w:val="none" w:color="000000" w:sz="4"/>
                <w:insideH w:val="none"/>
                <w:insideV w:val="none"/>
              </w:tblBorders>
            </w:tblPr>
            <w:tblGrid>
              <w:gridCol w:w="278"/>
              <w:gridCol w:w="916"/>
              <w:gridCol w:w="1360"/>
            </w:tblGrid>
            <w:tr>
              <w:tc>
                <w:tcPr>
                  <w:tcW w:type="dxa" w:w="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名称</w:t>
                  </w:r>
                </w:p>
              </w:tc>
              <w:tc>
                <w:tcPr>
                  <w:tcW w:type="dxa" w:w="1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技术参数及配置</w:t>
                  </w:r>
                </w:p>
              </w:tc>
            </w:tr>
            <w:tr>
              <w:tc>
                <w:tcPr>
                  <w:tcW w:type="dxa" w:w="25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基本要求</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w:t>
                  </w:r>
                </w:p>
              </w:tc>
              <w:tc>
                <w:tcPr>
                  <w:tcW w:type="dxa" w:w="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车型</w:t>
                  </w:r>
                </w:p>
              </w:tc>
              <w:tc>
                <w:tcPr>
                  <w:tcW w:type="dxa" w:w="1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轻型客车</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2</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座位数及颜色</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座位数：</w:t>
                  </w:r>
                  <w:r>
                    <w:rPr>
                      <w:rFonts w:ascii="仿宋_GB2312" w:hAnsi="仿宋_GB2312" w:cs="仿宋_GB2312" w:eastAsia="仿宋_GB2312"/>
                      <w:sz w:val="22"/>
                      <w:b/>
                    </w:rPr>
                    <w:t>11</w:t>
                  </w:r>
                  <w:r>
                    <w:rPr>
                      <w:rFonts w:ascii="仿宋_GB2312" w:hAnsi="仿宋_GB2312" w:cs="仿宋_GB2312" w:eastAsia="仿宋_GB2312"/>
                      <w:sz w:val="22"/>
                      <w:b/>
                    </w:rPr>
                    <w:t>座</w:t>
                  </w:r>
                </w:p>
                <w:p>
                  <w:pPr>
                    <w:pStyle w:val="null3"/>
                    <w:jc w:val="center"/>
                  </w:pPr>
                  <w:r>
                    <w:rPr>
                      <w:rFonts w:ascii="仿宋_GB2312" w:hAnsi="仿宋_GB2312" w:cs="仿宋_GB2312" w:eastAsia="仿宋_GB2312"/>
                      <w:sz w:val="22"/>
                      <w:b/>
                    </w:rPr>
                    <w:t>颜色：黑色</w:t>
                  </w:r>
                </w:p>
              </w:tc>
            </w:tr>
            <w:tr>
              <w:tc>
                <w:tcPr>
                  <w:tcW w:type="dxa" w:w="25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发动机</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w:t>
                  </w:r>
                </w:p>
              </w:tc>
              <w:tc>
                <w:tcPr>
                  <w:tcW w:type="dxa" w:w="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排量</w:t>
                  </w:r>
                </w:p>
              </w:tc>
              <w:tc>
                <w:tcPr>
                  <w:tcW w:type="dxa" w:w="1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w:t>
                  </w:r>
                  <w:r>
                    <w:rPr>
                      <w:rFonts w:ascii="仿宋_GB2312" w:hAnsi="仿宋_GB2312" w:cs="仿宋_GB2312" w:eastAsia="仿宋_GB2312"/>
                      <w:sz w:val="22"/>
                      <w:b/>
                    </w:rPr>
                    <w:t>2.0L</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2</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燃油种类</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柴油</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3</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排放标准</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国六</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4</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发动机最大功率</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w:t>
                  </w:r>
                  <w:r>
                    <w:rPr>
                      <w:rFonts w:ascii="仿宋_GB2312" w:hAnsi="仿宋_GB2312" w:cs="仿宋_GB2312" w:eastAsia="仿宋_GB2312"/>
                      <w:sz w:val="22"/>
                      <w:b/>
                    </w:rPr>
                    <w:t>100KW</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5</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发动机最大扭矩</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w:t>
                  </w:r>
                  <w:r>
                    <w:rPr>
                      <w:rFonts w:ascii="仿宋_GB2312" w:hAnsi="仿宋_GB2312" w:cs="仿宋_GB2312" w:eastAsia="仿宋_GB2312"/>
                      <w:sz w:val="22"/>
                      <w:b/>
                    </w:rPr>
                    <w:t>300N.m</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6</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发动机和驱动形式</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前驱</w:t>
                  </w:r>
                  <w:r>
                    <w:rPr>
                      <w:rFonts w:ascii="仿宋_GB2312" w:hAnsi="仿宋_GB2312" w:cs="仿宋_GB2312" w:eastAsia="仿宋_GB2312"/>
                      <w:sz w:val="22"/>
                      <w:b/>
                    </w:rPr>
                    <w:t>或后驱</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7</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变速箱</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手动挡或自动挡</w:t>
                  </w:r>
                </w:p>
              </w:tc>
            </w:tr>
            <w:tr>
              <w:tc>
                <w:tcPr>
                  <w:tcW w:type="dxa" w:w="25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整车配置要求</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w:t>
                  </w:r>
                </w:p>
              </w:tc>
              <w:tc>
                <w:tcPr>
                  <w:tcW w:type="dxa" w:w="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车身总长</w:t>
                  </w:r>
                </w:p>
              </w:tc>
              <w:tc>
                <w:tcPr>
                  <w:tcW w:type="dxa" w:w="1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w:t>
                  </w:r>
                  <w:r>
                    <w:rPr>
                      <w:rFonts w:ascii="仿宋_GB2312" w:hAnsi="仿宋_GB2312" w:cs="仿宋_GB2312" w:eastAsia="仿宋_GB2312"/>
                      <w:sz w:val="22"/>
                      <w:b/>
                    </w:rPr>
                    <w:t>4900</w:t>
                  </w:r>
                  <w:r>
                    <w:rPr>
                      <w:rFonts w:ascii="仿宋_GB2312" w:hAnsi="仿宋_GB2312" w:cs="仿宋_GB2312" w:eastAsia="仿宋_GB2312"/>
                      <w:sz w:val="22"/>
                      <w:b/>
                    </w:rPr>
                    <w:t>mm</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2</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车身总宽</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w:t>
                  </w:r>
                  <w:r>
                    <w:rPr>
                      <w:rFonts w:ascii="仿宋_GB2312" w:hAnsi="仿宋_GB2312" w:cs="仿宋_GB2312" w:eastAsia="仿宋_GB2312"/>
                      <w:sz w:val="22"/>
                      <w:b/>
                    </w:rPr>
                    <w:t>1900mm</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3</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车身总高</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w:t>
                  </w:r>
                  <w:r>
                    <w:rPr>
                      <w:rFonts w:ascii="仿宋_GB2312" w:hAnsi="仿宋_GB2312" w:cs="仿宋_GB2312" w:eastAsia="仿宋_GB2312"/>
                      <w:sz w:val="22"/>
                      <w:b/>
                    </w:rPr>
                    <w:t>2</w:t>
                  </w:r>
                  <w:r>
                    <w:rPr>
                      <w:rFonts w:ascii="仿宋_GB2312" w:hAnsi="仿宋_GB2312" w:cs="仿宋_GB2312" w:eastAsia="仿宋_GB2312"/>
                      <w:sz w:val="22"/>
                      <w:b/>
                    </w:rPr>
                    <w:t>3</w:t>
                  </w:r>
                  <w:r>
                    <w:rPr>
                      <w:rFonts w:ascii="仿宋_GB2312" w:hAnsi="仿宋_GB2312" w:cs="仿宋_GB2312" w:eastAsia="仿宋_GB2312"/>
                      <w:sz w:val="22"/>
                      <w:b/>
                    </w:rPr>
                    <w:t>00mm</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4</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轴距</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w:t>
                  </w:r>
                  <w:r>
                    <w:rPr>
                      <w:rFonts w:ascii="仿宋_GB2312" w:hAnsi="仿宋_GB2312" w:cs="仿宋_GB2312" w:eastAsia="仿宋_GB2312"/>
                      <w:sz w:val="22"/>
                      <w:b/>
                    </w:rPr>
                    <w:t>3</w:t>
                  </w:r>
                  <w:r>
                    <w:rPr>
                      <w:rFonts w:ascii="仿宋_GB2312" w:hAnsi="仿宋_GB2312" w:cs="仿宋_GB2312" w:eastAsia="仿宋_GB2312"/>
                      <w:sz w:val="22"/>
                      <w:b/>
                    </w:rPr>
                    <w:t>0</w:t>
                  </w:r>
                  <w:r>
                    <w:rPr>
                      <w:rFonts w:ascii="仿宋_GB2312" w:hAnsi="仿宋_GB2312" w:cs="仿宋_GB2312" w:eastAsia="仿宋_GB2312"/>
                      <w:sz w:val="22"/>
                      <w:b/>
                    </w:rPr>
                    <w:t>00mm</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5</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遥控钥匙、无钥匙启动</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有</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6</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制动型式</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实心盘式</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7</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转向系统</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机械液压助力</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8</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前大灯</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卤素灯</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9</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空调</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手动空调</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10</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ABS</w:t>
                  </w:r>
                  <w:r>
                    <w:rPr>
                      <w:rFonts w:ascii="仿宋_GB2312" w:hAnsi="仿宋_GB2312" w:cs="仿宋_GB2312" w:eastAsia="仿宋_GB2312"/>
                      <w:sz w:val="22"/>
                      <w:b/>
                    </w:rPr>
                    <w:t>防抱死</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有</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11</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多功能方向盘</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有</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12</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倒车影像及后驻车雷达</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有</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13</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车内中控锁</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有</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14</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轮胎规格</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w:t>
                  </w:r>
                  <w:r>
                    <w:rPr>
                      <w:rFonts w:ascii="仿宋_GB2312" w:hAnsi="仿宋_GB2312" w:cs="仿宋_GB2312" w:eastAsia="仿宋_GB2312"/>
                      <w:sz w:val="22"/>
                      <w:b/>
                    </w:rPr>
                    <w:t>215/75 R16</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15</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外观</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制式警车（包含警灯警报器、标识、警车喷涂）</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16</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座椅</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警用改制座椅</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合同签订后30日历天内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合阳县公安局</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货物全部运到采购人指定地方，安装完毕并经终验合格后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由采购人和供应商共同对项目整体进行验收。其内容包括确认产品的产地、规格、型号和数量，对其产品技术指标、性能参数是否达到现行国家有关验收规范“合格”标准进行逐项检查。 1.验收依据: a)合同文本; b)投标文件及澄清函、公开招标文件; c)国家和行业制定的相应的标准和规范； d)产品验收清单(注明品名、数量、规格和原产地或生产厂家)。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不低于3年或6万公里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中的相关条款执行未按合同或招标文件要求提供的产品或者服务，质量不能满足采购人技术要求，采购单位有权终止合同，甚至对供应商违约行为进行追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 （2）供应商应具备良好的商业信誉，提供参加政府采购活动前3年内在经营活动中没有重大违法记录的书面声明； (3）财务状况报告：供应商提供2023或2024年的财务审计报告（至少包括资产负债表和利润表，成立时间至提交响应文件截止时间不足一年的可提供成立后任意时段的资产负债表），或其开标前六个月内银行开具的资信证明；  （4）社会保障资金缴纳证明：供应商提供已缴存的2024年度11月至今任意一个月的社会保障资金缴存单据或社保机构开具的社会保险参保缴费情况证明，单据或证明上应有社保机构或代收机构的公章。依法不需要缴纳社会保障资金的供应商应提供相关文件证明； （5）税收缴纳证明：供应商提供已缴纳的2024年度11月至今任意一个月的纳税证明或完税证明，纳税证明或完税证明上应有代收机构或税务机关的公章。依法免税的供应商应提供相关文件证明；  （6）供应商不得为“信用中国(www.creditchina.gov.cn)”中列入失信被执行人和重大税收违法案件当事人名单的供应商，不得为“中国政府采购网(www.ccgp.gov.cn)”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 （7）具备履行合同所必需的设备和专业技术能力的证明材料（书面声明）； （8）法定代表人直接参加投标的，须出具法人身份证明及身份证；法定代表人授权代表参加投标的，须出具法定代表人授权书及授权代表身份证； (9）单位负责人为同一人或者存在直接控股、管理关系的不同供应商，不得参加同一合同项下的政府采购活动。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投标文件的签署、加盖印章是否合格、有效；投标有效期是否满足招标文件规定。</w:t>
            </w:r>
          </w:p>
        </w:tc>
        <w:tc>
          <w:tcPr>
            <w:tcW w:type="dxa" w:w="1661"/>
          </w:tcPr>
          <w:p>
            <w:pPr>
              <w:pStyle w:val="null3"/>
            </w:pPr>
            <w:r>
              <w:rPr>
                <w:rFonts w:ascii="仿宋_GB2312" w:hAnsi="仿宋_GB2312" w:cs="仿宋_GB2312" w:eastAsia="仿宋_GB2312"/>
              </w:rPr>
              <w:t>资格证明文件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供应商所投产品技术参数清楚、明确并能逐条响应并满足招标文件参数表中所有参数要求，得20分。 技术参数负偏离一项扣0.8分。 在技术规格响应表“备注”栏中标明证明材料的页码，未提供证明材料视为负偏离。（备注：证明材料包含但不限于技术白皮书、官网功能截图、产品彩页、产品技术说明、相关检测报告等资料任意一种。）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w:t>
            </w:r>
          </w:p>
          <w:p>
            <w:pPr>
              <w:pStyle w:val="null3"/>
            </w:pPr>
            <w:r>
              <w:rPr>
                <w:rFonts w:ascii="仿宋_GB2312" w:hAnsi="仿宋_GB2312" w:cs="仿宋_GB2312" w:eastAsia="仿宋_GB2312"/>
              </w:rPr>
              <w:t>保证金缴纳凭证</w:t>
            </w:r>
          </w:p>
          <w:p>
            <w:pPr>
              <w:pStyle w:val="null3"/>
            </w:pPr>
            <w:r>
              <w:rPr>
                <w:rFonts w:ascii="仿宋_GB2312" w:hAnsi="仿宋_GB2312" w:cs="仿宋_GB2312" w:eastAsia="仿宋_GB2312"/>
              </w:rPr>
              <w:t>业绩</w:t>
            </w:r>
          </w:p>
          <w:p>
            <w:pPr>
              <w:pStyle w:val="null3"/>
            </w:pPr>
            <w:r>
              <w:rPr>
                <w:rFonts w:ascii="仿宋_GB2312" w:hAnsi="仿宋_GB2312" w:cs="仿宋_GB2312" w:eastAsia="仿宋_GB2312"/>
              </w:rPr>
              <w:t>其他证明资料</w:t>
            </w:r>
          </w:p>
          <w:p>
            <w:pPr>
              <w:pStyle w:val="null3"/>
            </w:pPr>
            <w:r>
              <w:rPr>
                <w:rFonts w:ascii="仿宋_GB2312" w:hAnsi="仿宋_GB2312" w:cs="仿宋_GB2312" w:eastAsia="仿宋_GB2312"/>
              </w:rPr>
              <w:t>满足详细评审办法的内容</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针对本项目有具体实施方案，包含但不限于： （1）备货、供货进度及保证措施； （2）项目验收方案； （3）应急处理措施。 ①内容详细全面、层次清楚、完善可行的计8分； ②实施方案内容包含全面，但未针对各项内容进行详细描述的计5分； ③针对以上方案要求，有1项欠缺或无欠缺仅有粗略框架，无具体针对性内容的计2分； ④有2项缺项的计1分； ⑤未提供不得分。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针对本项目有履约能力方案,包含但不限于： （1）资金筹措； （2）仓储设施； （3）运输工具。 ①内容详细全面、层次清楚、完善可行的计7分； ②内容包含全面，但未针对各项内容进行详细描述的计5分； ③针对以上方案要求，有1项欠缺或无欠缺仅有粗略框架，无具体针对性内容的计2分； ④有2项缺项的计1分； ⑤未提供不得分。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w:t>
            </w:r>
          </w:p>
        </w:tc>
      </w:tr>
      <w:tr>
        <w:tc>
          <w:tcPr>
            <w:tcW w:type="dxa" w:w="831"/>
            <w:vMerge/>
          </w:tcPr>
          <w:p/>
        </w:tc>
        <w:tc>
          <w:tcPr>
            <w:tcW w:type="dxa" w:w="1661"/>
          </w:tcPr>
          <w:p>
            <w:pPr>
              <w:pStyle w:val="null3"/>
            </w:pPr>
            <w:r>
              <w:rPr>
                <w:rFonts w:ascii="仿宋_GB2312" w:hAnsi="仿宋_GB2312" w:cs="仿宋_GB2312" w:eastAsia="仿宋_GB2312"/>
              </w:rPr>
              <w:t>产品进货渠道</w:t>
            </w:r>
          </w:p>
        </w:tc>
        <w:tc>
          <w:tcPr>
            <w:tcW w:type="dxa" w:w="2492"/>
          </w:tcPr>
          <w:p>
            <w:pPr>
              <w:pStyle w:val="null3"/>
            </w:pPr>
            <w:r>
              <w:rPr>
                <w:rFonts w:ascii="仿宋_GB2312" w:hAnsi="仿宋_GB2312" w:cs="仿宋_GB2312" w:eastAsia="仿宋_GB2312"/>
              </w:rPr>
              <w:t>包含但不限于： （1）产品进货渠道正规，为市场较新或最新产品，有质量保证，无假冒伪劣、瑕产品提供产品正规来源渠道合法的证明文件(包括但不限于销售协议、代理协议、原厂授权); （2）质量保证承诺及措施。 ①内容详细全面、层次清楚、完善可行的计5分； ②内容包含全面，但未针对各项内容进行详细描述的计3分； ③针对以上方案要求，有1项欠缺或无欠缺仅有粗略框架，无具体针对性内容的计2分； ④未提供不得分。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w:t>
            </w:r>
          </w:p>
        </w:tc>
      </w:tr>
      <w:tr>
        <w:tc>
          <w:tcPr>
            <w:tcW w:type="dxa" w:w="831"/>
            <w:vMerge/>
          </w:tcPr>
          <w:p/>
        </w:tc>
        <w:tc>
          <w:tcPr>
            <w:tcW w:type="dxa" w:w="1661"/>
          </w:tcPr>
          <w:p>
            <w:pPr>
              <w:pStyle w:val="null3"/>
            </w:pPr>
            <w:r>
              <w:rPr>
                <w:rFonts w:ascii="仿宋_GB2312" w:hAnsi="仿宋_GB2312" w:cs="仿宋_GB2312" w:eastAsia="仿宋_GB2312"/>
              </w:rPr>
              <w:t>产品质量</w:t>
            </w:r>
          </w:p>
        </w:tc>
        <w:tc>
          <w:tcPr>
            <w:tcW w:type="dxa" w:w="2492"/>
          </w:tcPr>
          <w:p>
            <w:pPr>
              <w:pStyle w:val="null3"/>
            </w:pPr>
            <w:r>
              <w:rPr>
                <w:rFonts w:ascii="仿宋_GB2312" w:hAnsi="仿宋_GB2312" w:cs="仿宋_GB2312" w:eastAsia="仿宋_GB2312"/>
              </w:rPr>
              <w:t>针对本项目有具体的质量保证方案，包含但不限于： （1）质量管理制度； （2）质量保证期限及质量保证范围； （3）投标产品备品备件储备齐全，维修及更换频次较低 ①内容详细全面、层次清楚、完善可行的计5分； ②内容包含全面，但未针对各项内容进行详细描述的计3分； ③针对以上方案要求，有1项欠缺或无欠缺仅有粗略框架，无具体针对性内容的计2分； ④有2项缺项的计1分； ⑤未提供不得分。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w:t>
            </w:r>
          </w:p>
        </w:tc>
      </w:tr>
      <w:tr>
        <w:tc>
          <w:tcPr>
            <w:tcW w:type="dxa" w:w="831"/>
            <w:vMerge/>
          </w:tcPr>
          <w:p/>
        </w:tc>
        <w:tc>
          <w:tcPr>
            <w:tcW w:type="dxa" w:w="1661"/>
          </w:tcPr>
          <w:p>
            <w:pPr>
              <w:pStyle w:val="null3"/>
            </w:pPr>
            <w:r>
              <w:rPr>
                <w:rFonts w:ascii="仿宋_GB2312" w:hAnsi="仿宋_GB2312" w:cs="仿宋_GB2312" w:eastAsia="仿宋_GB2312"/>
              </w:rPr>
              <w:t>项目团队人员安排及责任制度及进度保障措施</w:t>
            </w:r>
          </w:p>
        </w:tc>
        <w:tc>
          <w:tcPr>
            <w:tcW w:type="dxa" w:w="2492"/>
          </w:tcPr>
          <w:p>
            <w:pPr>
              <w:pStyle w:val="null3"/>
            </w:pPr>
            <w:r>
              <w:rPr>
                <w:rFonts w:ascii="仿宋_GB2312" w:hAnsi="仿宋_GB2312" w:cs="仿宋_GB2312" w:eastAsia="仿宋_GB2312"/>
              </w:rPr>
              <w:t>包含但不限于： （1）备货、供货进度及保证措施； （2）项目团队人员安排及责任制度； ①内容详细全面、层次清楚、完善可行的计5分； ②内容包含全面，但未针对各项内容进行详细描述的计3分； ③针对以上方案要求，有1项欠缺或无欠缺仅有粗略框架，无具体针对性内容的计2分； ④未提供不得分。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w:t>
            </w:r>
          </w:p>
        </w:tc>
      </w:tr>
      <w:tr>
        <w:tc>
          <w:tcPr>
            <w:tcW w:type="dxa" w:w="831"/>
            <w:vMerge/>
          </w:tcPr>
          <w:p/>
        </w:tc>
        <w:tc>
          <w:tcPr>
            <w:tcW w:type="dxa" w:w="1661"/>
          </w:tcPr>
          <w:p>
            <w:pPr>
              <w:pStyle w:val="null3"/>
            </w:pPr>
            <w:r>
              <w:rPr>
                <w:rFonts w:ascii="仿宋_GB2312" w:hAnsi="仿宋_GB2312" w:cs="仿宋_GB2312" w:eastAsia="仿宋_GB2312"/>
              </w:rPr>
              <w:t>售后服务人员及承诺</w:t>
            </w:r>
          </w:p>
        </w:tc>
        <w:tc>
          <w:tcPr>
            <w:tcW w:type="dxa" w:w="2492"/>
          </w:tcPr>
          <w:p>
            <w:pPr>
              <w:pStyle w:val="null3"/>
            </w:pPr>
            <w:r>
              <w:rPr>
                <w:rFonts w:ascii="仿宋_GB2312" w:hAnsi="仿宋_GB2312" w:cs="仿宋_GB2312" w:eastAsia="仿宋_GB2312"/>
              </w:rPr>
              <w:t>包含但不限于： (1)售后人员配置及安排计划; (2)售后服务承诺及措施。 ①内容详细全面、层次清楚、完善可行的计5分； ②内容包含全面，但未针对各项内容进行详细描述的计3分； ③针对以上方案要求，有1项欠缺或无欠缺仅有粗略框架，无具体针对性内容的计2分； ④未提供不得分。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针对本项目有具体的售后服务方案,包含但不限于： （1）售后服务网点的设定； （2）设备日常维护方案及措施； （3)项目交付用户后出现故障响应时间及措施。 ①内容详细全面、层次清楚、完善可行的计5分； ②内容包含全面，但未针对各项内容进行详细描述的计3分； ③针对以上方案要求，有1项欠缺或无欠缺仅有粗略框架，无具体针对性内容的计2分； ④有2项缺项的计1分； ⑤未提供不得分。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针对本项目有具体的培训方案，包含但不限于： （1）培训目标； （2）培训内容； （3）培训方式； （4）培训计划安排； （5）人员安排。 ①内容详细全面、层次清楚、完善可行的计5分； ②内容包含全面，但未针对各项内容进行详细描述的计3分； ③针对以上方案要求，有1项欠缺或无欠缺仅有粗略框架，无具体针对性内容的计2分； ④有2项缺项的计1分； ⑤未提供不得分。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以合同形式提供供应商2022年11月至今类似项目业绩，每份计2.5分，计满5分为止。（以合同签订时间为准，提供完整合同复印件）。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1.经初审合格的投标文件，其投标报价为有效投标价。对符合政策性扣减的有效投标报价进行政策性扣减，并依据扣减后的价格（评审价格）进行价格评审。 2.有效最低报价为基准价得30分。 3.按（有效最低报价/有效投标报价）×30的公式计算其得分。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详见附件：满足详细评审办法的内容</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详见附件：其他证明资料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