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版本号：SXHY-2025-040.3B120250929001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编制白水县“十五五”专项规划服务费(二次)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SXHY-2025-040.3B1</w:t>
      </w:r>
      <w:r>
        <w:br/>
      </w:r>
      <w:r>
        <w:br/>
      </w:r>
      <w:r>
        <w:br/>
      </w:r>
    </w:p>
    <w:p>
      <w:pPr>
        <w:pStyle w:val="null3"/>
        <w:jc w:val="center"/>
        <w:outlineLvl w:val="2"/>
      </w:pPr>
      <w:r>
        <w:rPr>
          <w:rFonts w:ascii="仿宋_GB2312" w:hAnsi="仿宋_GB2312" w:cs="仿宋_GB2312" w:eastAsia="仿宋_GB2312"/>
          <w:sz w:val="28"/>
          <w:b/>
        </w:rPr>
        <w:t>白水县发展和改革局</w:t>
      </w:r>
    </w:p>
    <w:p>
      <w:pPr>
        <w:pStyle w:val="null3"/>
        <w:jc w:val="center"/>
        <w:outlineLvl w:val="2"/>
      </w:pPr>
      <w:r>
        <w:rPr>
          <w:rFonts w:ascii="仿宋_GB2312" w:hAnsi="仿宋_GB2312" w:cs="仿宋_GB2312" w:eastAsia="仿宋_GB2312"/>
          <w:sz w:val="28"/>
          <w:b/>
        </w:rPr>
        <w:t>陕西浩优项目管理有限公司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2025年09月29日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陕西浩优项目管理有限公司</w:t>
      </w:r>
      <w:r>
        <w:rPr>
          <w:rFonts w:ascii="仿宋_GB2312" w:hAnsi="仿宋_GB2312" w:cs="仿宋_GB2312" w:eastAsia="仿宋_GB2312"/>
        </w:rPr>
        <w:t>（以下简称“代理机构”）受</w:t>
      </w:r>
      <w:r>
        <w:rPr>
          <w:rFonts w:ascii="仿宋_GB2312" w:hAnsi="仿宋_GB2312" w:cs="仿宋_GB2312" w:eastAsia="仿宋_GB2312"/>
        </w:rPr>
        <w:t>白水县发展和改革局</w:t>
      </w:r>
      <w:r>
        <w:rPr>
          <w:rFonts w:ascii="仿宋_GB2312" w:hAnsi="仿宋_GB2312" w:cs="仿宋_GB2312" w:eastAsia="仿宋_GB2312"/>
        </w:rPr>
        <w:t>委托，拟对</w:t>
      </w:r>
      <w:r>
        <w:rPr>
          <w:rFonts w:ascii="仿宋_GB2312" w:hAnsi="仿宋_GB2312" w:cs="仿宋_GB2312" w:eastAsia="仿宋_GB2312"/>
        </w:rPr>
        <w:t>编制白水县“十五五”专项规划服务费(二次)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SXHY-2025-040.3B1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编制白水县“十五五”专项规划服务费(二次)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白水县“十五五”重点专项规划共13个，是指导各领域发展改革以及审批、核准、备案重大项目和安排政府投资，引导社会资本投向的重要依据，为我县坚定不移走“工业优先、三产并举”发展之路提供重要支撑和根本保证,对顺利完成全县“十五五”目标任务意义重大。</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采购包1（编制白水县“十五五”专项规划服务费三标段）：属于专门面向中小企业采购。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1、营业执照：提供投标人合法注册的法人或者其他组织的营业执照等证明文件、自然人的身份证明</w:t>
      </w:r>
    </w:p>
    <w:p>
      <w:pPr>
        <w:pStyle w:val="null3"/>
      </w:pPr>
      <w:r>
        <w:rPr>
          <w:rFonts w:ascii="仿宋_GB2312" w:hAnsi="仿宋_GB2312" w:cs="仿宋_GB2312" w:eastAsia="仿宋_GB2312"/>
        </w:rPr>
        <w:t>2、财务状况报告：提供具有财务审计资质单位出具的近三年(2022年-2024年）财务审计报告（成立时间至开标时间不足一年的可提供成立后任意时段的资产负债表）或开标前六个月内其基本账户银行出具的资信证明或政府采购信用担保机构出具的担保函</w:t>
      </w:r>
    </w:p>
    <w:p>
      <w:pPr>
        <w:pStyle w:val="null3"/>
      </w:pPr>
      <w:r>
        <w:rPr>
          <w:rFonts w:ascii="仿宋_GB2312" w:hAnsi="仿宋_GB2312" w:cs="仿宋_GB2312" w:eastAsia="仿宋_GB2312"/>
        </w:rPr>
        <w:t>3、税收缴纳证明：供截止至开标时间前一年（2024年）内任意一个月的税收缴纳凭据；（增值税、企业所得税至少提供一种，依法免税的投标人应提供相关文件证明）</w:t>
      </w:r>
    </w:p>
    <w:p>
      <w:pPr>
        <w:pStyle w:val="null3"/>
      </w:pPr>
      <w:r>
        <w:rPr>
          <w:rFonts w:ascii="仿宋_GB2312" w:hAnsi="仿宋_GB2312" w:cs="仿宋_GB2312" w:eastAsia="仿宋_GB2312"/>
        </w:rPr>
        <w:t>4、社会保障资金缴纳证明：提供截止至开标时间前六个月内任意一个月的社保缴纳凭据或社保机构开具的社会保险参保缴纳情况证明；（依法不需要缴纳社会保障资金的投标人应提供相关证明）</w:t>
      </w:r>
    </w:p>
    <w:p>
      <w:pPr>
        <w:pStyle w:val="null3"/>
      </w:pPr>
      <w:r>
        <w:rPr>
          <w:rFonts w:ascii="仿宋_GB2312" w:hAnsi="仿宋_GB2312" w:cs="仿宋_GB2312" w:eastAsia="仿宋_GB2312"/>
        </w:rPr>
        <w:t>5、承诺书：提供具有履行本合同所必需的设备和专业技术能力的承诺；（提供承诺书，加盖投标人公章）</w:t>
      </w:r>
    </w:p>
    <w:p>
      <w:pPr>
        <w:pStyle w:val="null3"/>
      </w:pPr>
      <w:r>
        <w:rPr>
          <w:rFonts w:ascii="仿宋_GB2312" w:hAnsi="仿宋_GB2312" w:cs="仿宋_GB2312" w:eastAsia="仿宋_GB2312"/>
        </w:rPr>
        <w:t>6、法定代表人身份证明和授权委托书：法定代表人授权委托书（附法定代表人身份证复印件及被授权人身份证复印件）；法定代表人直接参加投标只须提供法定代表人资格证明书（附法定代表人身份证复印件）</w:t>
      </w:r>
    </w:p>
    <w:p>
      <w:pPr>
        <w:pStyle w:val="null3"/>
      </w:pPr>
      <w:r>
        <w:rPr>
          <w:rFonts w:ascii="仿宋_GB2312" w:hAnsi="仿宋_GB2312" w:cs="仿宋_GB2312" w:eastAsia="仿宋_GB2312"/>
        </w:rPr>
        <w:t>7、三年内在经营活动中没有重大违法记录的书面声明：提供参加政府采购活动前三年内在经营活动中没有重大违法记录的书面声明。（提供书面声明，加盖投标人公章）</w:t>
      </w:r>
    </w:p>
    <w:p>
      <w:pPr>
        <w:pStyle w:val="null3"/>
      </w:pPr>
      <w:r>
        <w:rPr>
          <w:rFonts w:ascii="仿宋_GB2312" w:hAnsi="仿宋_GB2312" w:cs="仿宋_GB2312" w:eastAsia="仿宋_GB2312"/>
        </w:rPr>
        <w:t>8、提供《中小企业声明函》：本项目专门面向中小企业采购；须符合《政府采购促进中小企业发展管理办法》（财库〔2020〕46号）规定的中小企业参加。（提供《中小企业声明函》）</w:t>
      </w:r>
    </w:p>
    <w:p>
      <w:pPr>
        <w:pStyle w:val="null3"/>
      </w:pPr>
      <w:r>
        <w:rPr>
          <w:rFonts w:ascii="仿宋_GB2312" w:hAnsi="仿宋_GB2312" w:cs="仿宋_GB2312" w:eastAsia="仿宋_GB2312"/>
        </w:rPr>
        <w:t>9、信誉要求：不得为“信用中国”网站(http://www.creditchina.gov.cn)列入“失信被执行人（页面跳转至“中国执行信息公开网”http://zxgk.court.gov.cn/shixin/）、重大税收违法失信主体、政府采购严重违法失信行为记录名单”的投标人；不得为中国政府采购网(http://www.ccgp.gov.cn)“政府采购严重违法失信行为记录名单”中的投标人；(根据财库【2019】38号文规定，由采购人在响应截止日当天在“信用中国”网站和中国政府采购网站进行查询，截图留档；如网站无投标人信息的，投标人须提供相关证明资料或书面声明，装订在每份投标文件中）</w:t>
      </w:r>
    </w:p>
    <w:p>
      <w:pPr>
        <w:pStyle w:val="null3"/>
      </w:pPr>
      <w:r>
        <w:rPr>
          <w:rFonts w:ascii="仿宋_GB2312" w:hAnsi="仿宋_GB2312" w:cs="仿宋_GB2312" w:eastAsia="仿宋_GB2312"/>
        </w:rPr>
        <w:t>10、单位负责人为同一人或者存在控股、管理关系的不同单位，不得同时参加同一招标项目投标，否则投标无效：单位负责人为同一人或者存在直接控股、管理关系的不同投标人，不得参加同一合同项下的政府采购活动。(根据财库【2019】38号文规定，由采购人在响应截止日当天在“国家企业信用信息公示系统”网站进行查询，截图留档；如网站无投标人信息的，投标人须提供相关证明资料或承诺书，装订在每份投标文件中。）</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白水县发展和改革局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白水县新兴路009号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张文超</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17719790852</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陕西浩优项目管理有限公司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陕西省西安市雁塔区陕西省西安市曲江新区商通大道6号智慧大厦一幢203室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李金娥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029-89553153</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白水县政府采购管理股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韩琳</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13991639110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采购包1：320,000.00元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招标代理服务收费管理暂行办法》的通知（计价格〔2002〕1980号）、《国家发展和改革委员会办公厅关于招标代理服务收费有关问题的通知》（发改办价格〔2003〕857号）规定收取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白水县发展和改革局</w:t>
      </w:r>
      <w:r>
        <w:rPr>
          <w:rFonts w:ascii="仿宋_GB2312" w:hAnsi="仿宋_GB2312" w:cs="仿宋_GB2312" w:eastAsia="仿宋_GB2312"/>
        </w:rPr>
        <w:t>和</w:t>
      </w:r>
      <w:r>
        <w:rPr>
          <w:rFonts w:ascii="仿宋_GB2312" w:hAnsi="仿宋_GB2312" w:cs="仿宋_GB2312" w:eastAsia="仿宋_GB2312"/>
        </w:rPr>
        <w:t>陕西浩优项目管理有限公司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白水县发展和改革局</w:t>
      </w:r>
      <w:r>
        <w:rPr>
          <w:rFonts w:ascii="仿宋_GB2312" w:hAnsi="仿宋_GB2312" w:cs="仿宋_GB2312" w:eastAsia="仿宋_GB2312"/>
        </w:rPr>
        <w:t>负责解释。除上述招标文件内容，其他内容由</w:t>
      </w:r>
      <w:r>
        <w:rPr>
          <w:rFonts w:ascii="仿宋_GB2312" w:hAnsi="仿宋_GB2312" w:cs="仿宋_GB2312" w:eastAsia="仿宋_GB2312"/>
        </w:rPr>
        <w:t>陕西浩优项目管理有限公司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白水县发展和改革局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陕西浩优项目管理有限公司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达到合同验收要求和国家相关规范标准。</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陕西浩优项目管理有限公司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陕西浩优项目管理有限公司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陕西浩优项目管理有限公司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联系人：李金娥</w:t>
      </w:r>
    </w:p>
    <w:p>
      <w:pPr>
        <w:pStyle w:val="null3"/>
      </w:pPr>
      <w:r>
        <w:rPr>
          <w:rFonts w:ascii="仿宋_GB2312" w:hAnsi="仿宋_GB2312" w:cs="仿宋_GB2312" w:eastAsia="仿宋_GB2312"/>
        </w:rPr>
        <w:t>联系电话：029-89553153</w:t>
      </w:r>
    </w:p>
    <w:p>
      <w:pPr>
        <w:pStyle w:val="null3"/>
      </w:pPr>
      <w:r>
        <w:rPr>
          <w:rFonts w:ascii="仿宋_GB2312" w:hAnsi="仿宋_GB2312" w:cs="仿宋_GB2312" w:eastAsia="仿宋_GB2312"/>
        </w:rPr>
        <w:t>地址：陕西省西安市曲江新区商通大道6号智慧大厦一幢203室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白水县“十五五”重点专项规划共13个，是指导各领域发展改革以及审批、核准、备案重大项目和安排政府投资，引导社会资本投向的重要依据，为我县坚定不移走“工业优先、三产并举”发展之路提供重要支撑和根本保证,对顺利完成全县“十五五”目标任务意义重大。</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320,000.00</w:t>
      </w:r>
    </w:p>
    <w:p>
      <w:pPr>
        <w:pStyle w:val="null3"/>
      </w:pPr>
      <w:r>
        <w:rPr>
          <w:rFonts w:ascii="仿宋_GB2312" w:hAnsi="仿宋_GB2312" w:cs="仿宋_GB2312" w:eastAsia="仿宋_GB2312"/>
        </w:rPr>
        <w:t>采购包最高限价（元）: 320,000.00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文化旅游高质量发展规划</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320,000.00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标的名称：文化旅游高质量发展规划</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1"/>
                <w:color w:val="333333"/>
              </w:rPr>
              <w:t>规划要具备前瞻性，可</w:t>
            </w:r>
            <w:r>
              <w:rPr>
                <w:rFonts w:ascii="仿宋_GB2312" w:hAnsi="仿宋_GB2312" w:cs="仿宋_GB2312" w:eastAsia="仿宋_GB2312"/>
                <w:sz w:val="21"/>
                <w:color w:val="333333"/>
              </w:rPr>
              <w:t>操作性，对推动县域经</w:t>
            </w:r>
            <w:r>
              <w:rPr>
                <w:rFonts w:ascii="仿宋_GB2312" w:hAnsi="仿宋_GB2312" w:cs="仿宋_GB2312" w:eastAsia="仿宋_GB2312"/>
                <w:sz w:val="21"/>
                <w:color w:val="333333"/>
              </w:rPr>
              <w:t>济高质量发展提供重要</w:t>
            </w:r>
            <w:r>
              <w:rPr>
                <w:rFonts w:ascii="仿宋_GB2312" w:hAnsi="仿宋_GB2312" w:cs="仿宋_GB2312" w:eastAsia="仿宋_GB2312"/>
                <w:sz w:val="21"/>
                <w:color w:val="333333"/>
              </w:rPr>
              <w:t>支撑。验收要求：达到</w:t>
            </w:r>
            <w:r>
              <w:rPr>
                <w:rFonts w:ascii="仿宋_GB2312" w:hAnsi="仿宋_GB2312" w:cs="仿宋_GB2312" w:eastAsia="仿宋_GB2312"/>
                <w:sz w:val="21"/>
                <w:color w:val="333333"/>
              </w:rPr>
              <w:t>合同验收要求和国家相</w:t>
            </w:r>
            <w:r>
              <w:rPr>
                <w:rFonts w:ascii="仿宋_GB2312" w:hAnsi="仿宋_GB2312" w:cs="仿宋_GB2312" w:eastAsia="仿宋_GB2312"/>
                <w:sz w:val="21"/>
                <w:color w:val="333333"/>
              </w:rPr>
              <w:t>关规范标准。</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详见采购文件评标办法评审细则及标准</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详见采购文件评标办法评审细则及标准</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自合同签订后至2026年6月底内完成并提交成果文件</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渭南市白水县</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达到合同验收要求和国家相关规范标准。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自合同签订起</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乙方提交最终成果资料后，甲方向乙方提交最终成果文件之日起</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服务内容及服务邀请应答表 投标函 投标文件封面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提供投标人合法注册的法人或者其他组织的营业执照等证明文件、自然人的身份证明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具有财务审计资质单位出具的近三年(2022年-2024年）财务审计报告（成立时间至开标时间不足一年的可提供成立后任意时段的资产负债表）或开标前六个月内其基本账户银行出具的资信证明或政府采购信用担保机构出具的担保函</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供截止至开标时间前一年（2024年）内任意一个月的税收缴纳凭据；（增值税、企业所得税至少提供一种，依法免税的投标人应提供相关文件证明）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提供截止至开标时间前六个月内任意一个月的社保缴纳凭据或社保机构开具的社会保险参保缴纳情况证明；（依法不需要缴纳社会保障资金的投标人应提供相关证明）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承诺书</w:t>
            </w:r>
          </w:p>
        </w:tc>
        <w:tc>
          <w:tcPr>
            <w:tcW w:type="dxa" w:w="3322"/>
          </w:tcPr>
          <w:p>
            <w:pPr>
              <w:pStyle w:val="null3"/>
            </w:pPr>
            <w:r>
              <w:rPr>
                <w:rFonts w:ascii="仿宋_GB2312" w:hAnsi="仿宋_GB2312" w:cs="仿宋_GB2312" w:eastAsia="仿宋_GB2312"/>
              </w:rPr>
              <w:t>提供具有履行本合同所必需的设备和专业技术能力的承诺；（提供承诺书，加盖投标人公章）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法定代表人身份证明和授权委托书</w:t>
            </w:r>
          </w:p>
        </w:tc>
        <w:tc>
          <w:tcPr>
            <w:tcW w:type="dxa" w:w="3322"/>
          </w:tcPr>
          <w:p>
            <w:pPr>
              <w:pStyle w:val="null3"/>
            </w:pPr>
            <w:r>
              <w:rPr>
                <w:rFonts w:ascii="仿宋_GB2312" w:hAnsi="仿宋_GB2312" w:cs="仿宋_GB2312" w:eastAsia="仿宋_GB2312"/>
              </w:rPr>
              <w:t>法定代表人授权委托书（附法定代表人身份证复印件及被授权人身份证复印件）；法定代表人直接参加投标只须提供法定代表人资格证明书（附法定代表人身份证复印件）</w:t>
            </w:r>
          </w:p>
        </w:tc>
        <w:tc>
          <w:tcPr>
            <w:tcW w:type="dxa" w:w="1661"/>
          </w:tcPr>
          <w:p>
            <w:pPr>
              <w:pStyle w:val="null3"/>
            </w:pPr>
            <w:r>
              <w:rPr>
                <w:rFonts w:ascii="仿宋_GB2312" w:hAnsi="仿宋_GB2312" w:cs="仿宋_GB2312" w:eastAsia="仿宋_GB2312"/>
              </w:rPr>
              <w:t>法定代表人证明书.docx 法定代表人授权书.docx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三年内在经营活动中没有重大违法记录的书面声明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提供参加政府采购活动前三年内在经营活动中没有重大违法记录的书面声明。（提供书面声明，加盖投标人公章）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提供《中小企业声明函》</w:t>
            </w:r>
          </w:p>
        </w:tc>
        <w:tc>
          <w:tcPr>
            <w:tcW w:type="dxa" w:w="3322"/>
          </w:tcPr>
          <w:p>
            <w:pPr>
              <w:pStyle w:val="null3"/>
            </w:pPr>
            <w:r>
              <w:rPr>
                <w:rFonts w:ascii="仿宋_GB2312" w:hAnsi="仿宋_GB2312" w:cs="仿宋_GB2312" w:eastAsia="仿宋_GB2312"/>
              </w:rPr>
              <w:t>本项目专门面向中小企业采购；须符合《政府采购促进中小企业发展管理办法》（财库〔2020〕46号）规定的中小企业参加。（提供《中小企业声明函》）</w:t>
            </w:r>
          </w:p>
        </w:tc>
        <w:tc>
          <w:tcPr>
            <w:tcW w:type="dxa" w:w="1661"/>
          </w:tcPr>
          <w:p>
            <w:pPr>
              <w:pStyle w:val="null3"/>
            </w:pPr>
            <w:r>
              <w:rPr>
                <w:rFonts w:ascii="仿宋_GB2312" w:hAnsi="仿宋_GB2312" w:cs="仿宋_GB2312" w:eastAsia="仿宋_GB2312"/>
              </w:rPr>
              <w:t>中小企业声明函</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不得为“信用中国”网站(http://www.creditchina.gov.cn)列入“失信被执行人（页面跳转至“中国执行信息公开网”http://zxgk.court.gov.cn/shixin/）、重大税收违法失信主体、政府采购严重违法失信行为记录名单”的投标人；不得为中国政府采购网(http://www.ccgp.gov.cn)“政府采购严重违法失信行为记录名单”中的投标人；(根据财库【2019】38号文规定，由采购人在响应截止日当天在“信用中国”网站和中国政府采购网站进行查询，截图留档；如网站无投标人信息的，投标人须提供相关证明资料或书面声明，装订在每份投标文件中）</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单位负责人为同一人或者存在控股、管理关系的不同单位，不得同时参加同一招标项目投标，否则投标无效</w:t>
            </w:r>
          </w:p>
        </w:tc>
        <w:tc>
          <w:tcPr>
            <w:tcW w:type="dxa" w:w="3322"/>
          </w:tcPr>
          <w:p>
            <w:pPr>
              <w:pStyle w:val="null3"/>
            </w:pPr>
            <w:r>
              <w:rPr>
                <w:rFonts w:ascii="仿宋_GB2312" w:hAnsi="仿宋_GB2312" w:cs="仿宋_GB2312" w:eastAsia="仿宋_GB2312"/>
              </w:rPr>
              <w:t>单位负责人为同一人或者存在直接控股、管理关系的不同投标人，不得参加同一合同项下的政府采购活动。(根据财库【2019】38号文规定，由采购人在响应截止日当天在“国家企业信用信息公示系统”网站进行查询，截图留档；如网站无投标人信息的，投标人须提供相关证明资料或承诺书，装订在每份投标文件中。）</w:t>
            </w:r>
          </w:p>
        </w:tc>
        <w:tc>
          <w:tcPr>
            <w:tcW w:type="dxa" w:w="1661"/>
          </w:tcPr>
          <w:p>
            <w:pPr>
              <w:pStyle w:val="null3"/>
            </w:pPr>
            <w:r>
              <w:rPr>
                <w:rFonts w:ascii="仿宋_GB2312" w:hAnsi="仿宋_GB2312" w:cs="仿宋_GB2312" w:eastAsia="仿宋_GB2312"/>
              </w:rPr>
              <w:t>投标人应提交的相关资格证明材料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残疾人福利性单位声明函 中小企业声明函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招标响应文件的签署盖章</w:t>
            </w:r>
          </w:p>
        </w:tc>
        <w:tc>
          <w:tcPr>
            <w:tcW w:type="dxa" w:w="3322"/>
          </w:tcPr>
          <w:p>
            <w:pPr>
              <w:pStyle w:val="null3"/>
            </w:pPr>
            <w:r>
              <w:rPr>
                <w:rFonts w:ascii="仿宋_GB2312" w:hAnsi="仿宋_GB2312" w:cs="仿宋_GB2312" w:eastAsia="仿宋_GB2312"/>
              </w:rPr>
              <w:t>招标响应文件上法定代表人或被授权人的签字 齐全并加盖公章</w:t>
            </w:r>
          </w:p>
        </w:tc>
        <w:tc>
          <w:tcPr>
            <w:tcW w:type="dxa" w:w="1661"/>
          </w:tcPr>
          <w:p>
            <w:pPr>
              <w:pStyle w:val="null3"/>
            </w:pPr>
            <w:r>
              <w:rPr>
                <w:rFonts w:ascii="仿宋_GB2312" w:hAnsi="仿宋_GB2312" w:cs="仿宋_GB2312" w:eastAsia="仿宋_GB2312"/>
              </w:rPr>
              <w:t>开标一览表 服务内容及服务邀请应答表 中小企业声明函 商务应答表 投标人应提交的相关资格证明材料 法定代表人授权书.docx 投标函 残疾人福利性单位声明函 服务方案 标的清单 法定代表人证明书.docx 投标文件封面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招标响应文件格式</w:t>
            </w:r>
          </w:p>
        </w:tc>
        <w:tc>
          <w:tcPr>
            <w:tcW w:type="dxa" w:w="3322"/>
          </w:tcPr>
          <w:p>
            <w:pPr>
              <w:pStyle w:val="null3"/>
            </w:pPr>
            <w:r>
              <w:rPr>
                <w:rFonts w:ascii="仿宋_GB2312" w:hAnsi="仿宋_GB2312" w:cs="仿宋_GB2312" w:eastAsia="仿宋_GB2312"/>
              </w:rPr>
              <w:t>应符合“招标文件格式”要求</w:t>
            </w:r>
          </w:p>
        </w:tc>
        <w:tc>
          <w:tcPr>
            <w:tcW w:type="dxa" w:w="1661"/>
          </w:tcPr>
          <w:p>
            <w:pPr>
              <w:pStyle w:val="null3"/>
            </w:pPr>
            <w:r>
              <w:rPr>
                <w:rFonts w:ascii="仿宋_GB2312" w:hAnsi="仿宋_GB2312" w:cs="仿宋_GB2312" w:eastAsia="仿宋_GB2312"/>
              </w:rPr>
              <w:t>开标一览表 服务内容及服务邀请应答表 中小企业声明函 商务应答表 投标人应提交的相关资格证明材料 法定代表人授权书.docx 投标函 残疾人福利性单位声明函 服务方案 标的清单 法定代表人证明书.docx 投标文件封面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开标一览表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招标响应文件内容</w:t>
            </w:r>
          </w:p>
        </w:tc>
        <w:tc>
          <w:tcPr>
            <w:tcW w:type="dxa" w:w="3322"/>
          </w:tcPr>
          <w:p>
            <w:pPr>
              <w:pStyle w:val="null3"/>
            </w:pPr>
            <w:r>
              <w:rPr>
                <w:rFonts w:ascii="仿宋_GB2312" w:hAnsi="仿宋_GB2312" w:cs="仿宋_GB2312" w:eastAsia="仿宋_GB2312"/>
              </w:rPr>
              <w:t>招标响应文件内容齐全、无遗漏</w:t>
            </w:r>
          </w:p>
        </w:tc>
        <w:tc>
          <w:tcPr>
            <w:tcW w:type="dxa" w:w="1661"/>
          </w:tcPr>
          <w:p>
            <w:pPr>
              <w:pStyle w:val="null3"/>
            </w:pPr>
            <w:r>
              <w:rPr>
                <w:rFonts w:ascii="仿宋_GB2312" w:hAnsi="仿宋_GB2312" w:cs="仿宋_GB2312" w:eastAsia="仿宋_GB2312"/>
              </w:rPr>
              <w:t>服务内容及服务邀请应答表 投标函 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合同履行期限</w:t>
            </w:r>
          </w:p>
        </w:tc>
        <w:tc>
          <w:tcPr>
            <w:tcW w:type="dxa" w:w="3322"/>
          </w:tcPr>
          <w:p>
            <w:pPr>
              <w:pStyle w:val="null3"/>
            </w:pPr>
            <w:r>
              <w:rPr>
                <w:rFonts w:ascii="仿宋_GB2312" w:hAnsi="仿宋_GB2312" w:cs="仿宋_GB2312" w:eastAsia="仿宋_GB2312"/>
              </w:rPr>
              <w:t>应满足招标文件中要求的合同履行期限</w:t>
            </w:r>
          </w:p>
        </w:tc>
        <w:tc>
          <w:tcPr>
            <w:tcW w:type="dxa" w:w="1661"/>
          </w:tcPr>
          <w:p>
            <w:pPr>
              <w:pStyle w:val="null3"/>
            </w:pPr>
            <w:r>
              <w:rPr>
                <w:rFonts w:ascii="仿宋_GB2312" w:hAnsi="仿宋_GB2312" w:cs="仿宋_GB2312" w:eastAsia="仿宋_GB2312"/>
              </w:rPr>
              <w:t>商务应答表</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拟投入人员中，具备矿产地质、水文地质、环保工程专业等相关专业高级工程师职称且有本科学历的每有1人得2分；中级职称且有大专学历的，每有1人，得1分。最多得8分，本项共计8分。 注：（1）拟投入人员应为本单位正式员工。提供有效的证书原件扫描件，不提供不得分；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质量保障措施</w:t>
            </w:r>
          </w:p>
        </w:tc>
        <w:tc>
          <w:tcPr>
            <w:tcW w:type="dxa" w:w="2492"/>
          </w:tcPr>
          <w:p>
            <w:pPr>
              <w:pStyle w:val="null3"/>
            </w:pPr>
            <w:r>
              <w:rPr>
                <w:rFonts w:ascii="仿宋_GB2312" w:hAnsi="仿宋_GB2312" w:cs="仿宋_GB2312" w:eastAsia="仿宋_GB2312"/>
              </w:rPr>
              <w:t>针对本项目提供的整体服务方案内容，包括但不限于：（1）服务思路（2）服务内容（3）服务方法（4）服务体系（5）服务响应机（6）服务承诺等；以上（1）- （6）项内容齐全且无缺陷的得 18 分，每有一项内容缺项的扣3分；每存在一项缺陷的扣1分，扣完为止。无此项描述的不得分。（“缺陷”是指以下任意一种情形：数据、名称、专业术语及符号、文字表述错误；或前后矛盾；或存在与采购情况无关的内容；或涉及的内容与本项目要求不一致；或提供方案与采购需求存在相互矛盾；或照搬其他内容而存在与本项目执行无关的内容；或只有简单复制粘贴需求内容而无描述。）</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有健全的突发事件处理机制和应急方案，应急方案详细并且符合本项目实际情况，针对性强得3.1-6分，有突发事件处理机制和应急方案且符合本项目实际情况，针对性不强得 1-3 分。不提供不得分。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项目实施</w:t>
            </w:r>
          </w:p>
        </w:tc>
        <w:tc>
          <w:tcPr>
            <w:tcW w:type="dxa" w:w="2492"/>
          </w:tcPr>
          <w:p>
            <w:pPr>
              <w:pStyle w:val="null3"/>
            </w:pPr>
            <w:r>
              <w:rPr>
                <w:rFonts w:ascii="仿宋_GB2312" w:hAnsi="仿宋_GB2312" w:cs="仿宋_GB2312" w:eastAsia="仿宋_GB2312"/>
              </w:rPr>
              <w:t>供应商提供针对本项目的服务方案，根据服务方案的完整性、条理清晰、逻辑顺畅、重点突出和整体可行性等得14.1 -20分,服务方案完整、条例清晰、较满足要求，内容较详细，得 7.1-14分；服务方案基本满足要求，但内容较简单，得 1-7分；不提供不得分。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进度保证措施</w:t>
            </w:r>
          </w:p>
        </w:tc>
        <w:tc>
          <w:tcPr>
            <w:tcW w:type="dxa" w:w="2492"/>
          </w:tcPr>
          <w:p>
            <w:pPr>
              <w:pStyle w:val="null3"/>
            </w:pPr>
            <w:r>
              <w:rPr>
                <w:rFonts w:ascii="仿宋_GB2312" w:hAnsi="仿宋_GB2312" w:cs="仿宋_GB2312" w:eastAsia="仿宋_GB2312"/>
              </w:rPr>
              <w:t>对项目进度保证（进度安排、人员任务分工、实施计划等）：进度安排具体详细、分工明确，满足项目需求的得 8分，每有一项内容缺项、欠合理的扣2 分，扣完为止。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根据投标人对本项目后期服务作出相关售后服务承诺等内容评分： 第一档：承诺内容全面、明确，完全符合本项目的得6.1-10分； 第二档：承诺内容欠缺、不明确，基本符合本项目的得 1-6 分，未提供者不得分。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2020年1月1日起至投标截止时间具有类似项目业绩，每提供一份有效业绩得2分，最高得10分。以投标文件中所附业绩合同复印件为准，时间以合同落款时间为准。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价格最低的投标报价为评标基准价，其价格分为满分。其他投标人的价格分统一按照下列公式计算：投标报价得分=（评标基准价/投标报价）×价格权值（评标委员会认为投标人投标报价明显低于其他通过符合性审查投标人的报价，有可能影响服务质量或者不能诚信履约的，应当在评标现场提供书面说明及相关证明材料。投标人不能证明其报价合理性的，为无效投标） 注：本项目已专门面向中小微企业，投标人须如实填写《中小企业声明函》。</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详见附件：法定代表人授权书.docx</w:t>
      </w:r>
    </w:p>
    <w:p>
      <w:pPr>
        <w:pStyle w:val="null3"/>
        <w:ind w:firstLine="960"/>
      </w:pPr>
      <w:r>
        <w:rPr>
          <w:rFonts w:ascii="仿宋_GB2312" w:hAnsi="仿宋_GB2312" w:cs="仿宋_GB2312" w:eastAsia="仿宋_GB2312"/>
        </w:rPr>
        <w:t>详见附件：法定代表人证明书.docx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详见附件：拟签订的合同文本.docx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