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版本号：2025JMR-（HW）0801.1B120250821001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富平县人民法院2025年中省政法转移支付自定装备采购项目(二次)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2025JMR-（HW）0801.1B1</w:t>
      </w:r>
      <w:r>
        <w:br/>
      </w:r>
      <w:r>
        <w:br/>
      </w:r>
      <w:r>
        <w:br/>
      </w:r>
    </w:p>
    <w:p>
      <w:pPr>
        <w:pStyle w:val="null3"/>
        <w:jc w:val="center"/>
        <w:outlineLvl w:val="2"/>
      </w:pPr>
      <w:r>
        <w:rPr>
          <w:rFonts w:ascii="仿宋_GB2312" w:hAnsi="仿宋_GB2312" w:cs="仿宋_GB2312" w:eastAsia="仿宋_GB2312"/>
          <w:sz w:val="28"/>
          <w:b/>
        </w:rPr>
        <w:t>富平县人民法院（本级）</w:t>
      </w:r>
    </w:p>
    <w:p>
      <w:pPr>
        <w:pStyle w:val="null3"/>
        <w:jc w:val="center"/>
        <w:outlineLvl w:val="2"/>
      </w:pPr>
      <w:r>
        <w:rPr>
          <w:rFonts w:ascii="仿宋_GB2312" w:hAnsi="仿宋_GB2312" w:cs="仿宋_GB2312" w:eastAsia="仿宋_GB2312"/>
          <w:sz w:val="28"/>
          <w:b/>
        </w:rPr>
        <w:t>陕西晶鸣瑞项目管理有限公司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陕西晶鸣瑞项目管理有限公司</w:t>
      </w:r>
      <w:r>
        <w:rPr>
          <w:rFonts w:ascii="仿宋_GB2312" w:hAnsi="仿宋_GB2312" w:cs="仿宋_GB2312" w:eastAsia="仿宋_GB2312"/>
        </w:rPr>
        <w:t>（以下简称“代理机构”）受</w:t>
      </w:r>
      <w:r>
        <w:rPr>
          <w:rFonts w:ascii="仿宋_GB2312" w:hAnsi="仿宋_GB2312" w:cs="仿宋_GB2312" w:eastAsia="仿宋_GB2312"/>
        </w:rPr>
        <w:t>富平县人民法院（本级）</w:t>
      </w:r>
      <w:r>
        <w:rPr>
          <w:rFonts w:ascii="仿宋_GB2312" w:hAnsi="仿宋_GB2312" w:cs="仿宋_GB2312" w:eastAsia="仿宋_GB2312"/>
        </w:rPr>
        <w:t>委托，拟对</w:t>
      </w:r>
      <w:r>
        <w:rPr>
          <w:rFonts w:ascii="仿宋_GB2312" w:hAnsi="仿宋_GB2312" w:cs="仿宋_GB2312" w:eastAsia="仿宋_GB2312"/>
        </w:rPr>
        <w:t>富平县人民法院2025年中省政法转移支付自定装备采购项目(二次)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2025JMR-（HW）0801.1B1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富平县人民法院2025年中省政法转移支付自定装备采购项目(二次)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具体详见招标文件采购内容及技术参数要求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的能力：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p>
      <w:pPr>
        <w:pStyle w:val="null3"/>
      </w:pPr>
      <w:r>
        <w:rPr>
          <w:rFonts w:ascii="仿宋_GB2312" w:hAnsi="仿宋_GB2312" w:cs="仿宋_GB2312" w:eastAsia="仿宋_GB2312"/>
        </w:rPr>
        <w:t>2、良好的商业信誉和健全的财务会计制度：良好的商业信誉和健全的财务会计制度：供应商提供2024年度经审计的财务报告或在投标截止时间前六个月（2025年2月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有依法缴纳税收和社会保障资金的良好记录：供应商提供投标截止时间前六个月（2025年2月至今）内任意时段的缴纳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书面声明：书面声明：①参加政府采购活动前三年内，在经营活动中没有重大违法记录的书面声明；②提供具有履行本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5、法律、行政法规规定的其他条件：法律、行政法规规定的其他条件：法定代表人直接参加投标的，须提供法定代表人身份证明；法定代表人授权代表参加投标的，须提供法定代表人授权委托书；供应商需在项目电子化交易系统中按要求上传相应证明文件并进行电子签章。</w:t>
      </w:r>
    </w:p>
    <w:p>
      <w:pPr>
        <w:pStyle w:val="null3"/>
      </w:pPr>
      <w:r>
        <w:rPr>
          <w:rFonts w:ascii="仿宋_GB2312" w:hAnsi="仿宋_GB2312" w:cs="仿宋_GB2312" w:eastAsia="仿宋_GB2312"/>
        </w:rPr>
        <w:t>6、供应商企业关系关联及联合体说明：供应商企业关系关联及联合体说明：本项目不接受联合体投标，单位负责人为同一人或者存在直接控股、管理关系的不同供应商，不得参加同一合同项下的政府采购活动。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富平县人民法院（本级）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富平县莲湖路84号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0913-8221338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陕西晶鸣瑞项目管理有限公司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西安市莲湖区唐延路北段20号太和时代广场C座507室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029-88618769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开户名称：陕西晶鸣瑞项目管理有限公司</w:t>
            </w:r>
          </w:p>
          <w:p>
            <w:pPr>
              <w:pStyle w:val="null3"/>
            </w:pPr>
            <w:r>
              <w:rPr>
                <w:rFonts w:ascii="仿宋_GB2312" w:hAnsi="仿宋_GB2312" w:cs="仿宋_GB2312" w:eastAsia="仿宋_GB2312"/>
              </w:rPr>
              <w:t>开户银行：华夏银行大唐西市支行</w:t>
            </w:r>
          </w:p>
          <w:p>
            <w:pPr>
              <w:pStyle w:val="null3"/>
            </w:pPr>
            <w:r>
              <w:rPr>
                <w:rFonts w:ascii="仿宋_GB2312" w:hAnsi="仿宋_GB2312" w:cs="仿宋_GB2312" w:eastAsia="仿宋_GB2312"/>
              </w:rPr>
              <w:t>银行账号：11468000000227626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关于进一步放开建设项目专业服务价格的通知》（发改价格【2015】299号），参照《招标代理服务收费管理暂行办法的通知》(计价格〔2002〕1980号)、《关于招标代理服务收费有关问题的通知》（发改办价格〔2003〕857号）以及《关于降低部分建设项目收费标准规范收费行为等有关问题的通知》(发改价格〔2011〕534号)，以货物收费标准向陕西晶鸣瑞项目管理有限公司交纳招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富平县人民法院（本级）</w:t>
      </w:r>
      <w:r>
        <w:rPr>
          <w:rFonts w:ascii="仿宋_GB2312" w:hAnsi="仿宋_GB2312" w:cs="仿宋_GB2312" w:eastAsia="仿宋_GB2312"/>
        </w:rPr>
        <w:t>和</w:t>
      </w:r>
      <w:r>
        <w:rPr>
          <w:rFonts w:ascii="仿宋_GB2312" w:hAnsi="仿宋_GB2312" w:cs="仿宋_GB2312" w:eastAsia="仿宋_GB2312"/>
        </w:rPr>
        <w:t>陕西晶鸣瑞项目管理有限公司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富平县人民法院（本级）</w:t>
      </w:r>
      <w:r>
        <w:rPr>
          <w:rFonts w:ascii="仿宋_GB2312" w:hAnsi="仿宋_GB2312" w:cs="仿宋_GB2312" w:eastAsia="仿宋_GB2312"/>
        </w:rPr>
        <w:t>负责解释。除上述招标文件内容，其他内容由</w:t>
      </w:r>
      <w:r>
        <w:rPr>
          <w:rFonts w:ascii="仿宋_GB2312" w:hAnsi="仿宋_GB2312" w:cs="仿宋_GB2312" w:eastAsia="仿宋_GB2312"/>
        </w:rPr>
        <w:t>陕西晶鸣瑞项目管理有限公司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富平县人民法院（本级）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陕西晶鸣瑞项目管理有限公司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陕西晶鸣瑞项目管理有限公司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陕西晶鸣瑞项目管理有限公司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陕西晶鸣瑞项目管理有限公司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联系人：赵欢</w:t>
      </w:r>
    </w:p>
    <w:p>
      <w:pPr>
        <w:pStyle w:val="null3"/>
      </w:pPr>
      <w:r>
        <w:rPr>
          <w:rFonts w:ascii="仿宋_GB2312" w:hAnsi="仿宋_GB2312" w:cs="仿宋_GB2312" w:eastAsia="仿宋_GB2312"/>
        </w:rPr>
        <w:t>联系电话：029-88618769</w:t>
      </w:r>
    </w:p>
    <w:p>
      <w:pPr>
        <w:pStyle w:val="null3"/>
      </w:pPr>
      <w:r>
        <w:rPr>
          <w:rFonts w:ascii="仿宋_GB2312" w:hAnsi="仿宋_GB2312" w:cs="仿宋_GB2312" w:eastAsia="仿宋_GB2312"/>
        </w:rPr>
        <w:t>地址：西安市莲湖区唐延路北段20号太和时代广场C座507室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详见招标文件采购内容及技术要求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2025年中省政法转移支付自定装备采购项目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标的名称：2025年中省政法转移支付自定装备采购项目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b/>
              </w:rPr>
              <w:t>一、技术要求</w:t>
            </w:r>
          </w:p>
          <w:p>
            <w:pPr>
              <w:pStyle w:val="null3"/>
              <w:jc w:val="both"/>
            </w:pPr>
            <w:r>
              <w:rPr>
                <w:rFonts w:ascii="仿宋_GB2312" w:hAnsi="仿宋_GB2312" w:cs="仿宋_GB2312" w:eastAsia="仿宋_GB2312"/>
                <w:sz w:val="24"/>
                <w:b/>
              </w:rPr>
              <w:t>1、防火墙（核心产品）</w:t>
            </w:r>
          </w:p>
          <w:tbl>
            <w:tblPr>
              <w:tblBorders>
                <w:top w:val="none" w:color="000000" w:sz="4"/>
                <w:left w:val="none" w:color="000000" w:sz="4"/>
                <w:bottom w:val="none" w:color="000000" w:sz="4"/>
                <w:right w:val="none" w:color="000000" w:sz="4"/>
                <w:insideH w:val="none"/>
                <w:insideV w:val="none"/>
              </w:tblBorders>
            </w:tblPr>
            <w:tblGrid>
              <w:gridCol w:w="347"/>
              <w:gridCol w:w="348"/>
              <w:gridCol w:w="1857"/>
            </w:tblGrid>
            <w:tr>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指标类型</w:t>
                  </w:r>
                </w:p>
              </w:tc>
              <w:tc>
                <w:tcPr>
                  <w:tcW w:type="dxa" w:w="18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主要技术指标</w:t>
                  </w:r>
                </w:p>
              </w:tc>
            </w:tr>
            <w:tr>
              <w:tc>
                <w:tcPr>
                  <w:tcW w:type="dxa" w:w="3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防火墙</w:t>
                  </w:r>
                  <w:r>
                    <w:rPr>
                      <w:rFonts w:ascii="仿宋_GB2312" w:hAnsi="仿宋_GB2312" w:cs="仿宋_GB2312" w:eastAsia="仿宋_GB2312"/>
                      <w:sz w:val="19"/>
                    </w:rPr>
                    <w:t xml:space="preserve"> </w:t>
                  </w:r>
                  <w:r>
                    <w:rPr>
                      <w:rFonts w:ascii="仿宋_GB2312" w:hAnsi="仿宋_GB2312" w:cs="仿宋_GB2312" w:eastAsia="仿宋_GB2312"/>
                      <w:sz w:val="24"/>
                    </w:rPr>
                    <w:t>（</w:t>
                  </w:r>
                  <w:r>
                    <w:rPr>
                      <w:rFonts w:ascii="仿宋_GB2312" w:hAnsi="仿宋_GB2312" w:cs="仿宋_GB2312" w:eastAsia="仿宋_GB2312"/>
                      <w:sz w:val="24"/>
                    </w:rPr>
                    <w:t>1套</w:t>
                  </w:r>
                  <w:r>
                    <w:rPr>
                      <w:rFonts w:ascii="仿宋_GB2312" w:hAnsi="仿宋_GB2312" w:cs="仿宋_GB2312" w:eastAsia="仿宋_GB2312"/>
                      <w:sz w:val="24"/>
                    </w:rPr>
                    <w:t>）</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硬件规格</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1U机架式设备,国产化处理器和操作系统，内存≥16G，硬盘≥512G SSD，</w:t>
                  </w:r>
                  <w:r>
                    <w:rPr>
                      <w:rFonts w:ascii="仿宋_GB2312" w:hAnsi="仿宋_GB2312" w:cs="仿宋_GB2312" w:eastAsia="仿宋_GB2312"/>
                      <w:sz w:val="24"/>
                    </w:rPr>
                    <w:t>≥</w:t>
                  </w:r>
                  <w:r>
                    <w:rPr>
                      <w:rFonts w:ascii="仿宋_GB2312" w:hAnsi="仿宋_GB2312" w:cs="仿宋_GB2312" w:eastAsia="仿宋_GB2312"/>
                      <w:sz w:val="24"/>
                    </w:rPr>
                    <w:t>1个console口，</w:t>
                  </w:r>
                  <w:r>
                    <w:rPr>
                      <w:rFonts w:ascii="仿宋_GB2312" w:hAnsi="仿宋_GB2312" w:cs="仿宋_GB2312" w:eastAsia="仿宋_GB2312"/>
                      <w:sz w:val="24"/>
                    </w:rPr>
                    <w:t>≥</w:t>
                  </w:r>
                  <w:r>
                    <w:rPr>
                      <w:rFonts w:ascii="仿宋_GB2312" w:hAnsi="仿宋_GB2312" w:cs="仿宋_GB2312" w:eastAsia="仿宋_GB2312"/>
                      <w:sz w:val="24"/>
                    </w:rPr>
                    <w:t>2个USB接口，接口配置≥10个千兆电口（含1个管理口和个HA口），≥14个千兆光口，2个万兆光口，≥1个扩展槽位，自带液晶屏，冗余电源,防火墙吞吐≥8G，最大并发连接数≥300万，包含防病毒功能</w:t>
                  </w:r>
                  <w:r>
                    <w:rPr>
                      <w:rFonts w:ascii="仿宋_GB2312" w:hAnsi="仿宋_GB2312" w:cs="仿宋_GB2312" w:eastAsia="仿宋_GB2312"/>
                      <w:sz w:val="24"/>
                    </w:rPr>
                    <w:t>。</w:t>
                  </w:r>
                </w:p>
                <w:p>
                  <w:pPr>
                    <w:pStyle w:val="null3"/>
                  </w:pPr>
                  <w:r>
                    <w:rPr>
                      <w:rFonts w:ascii="仿宋_GB2312" w:hAnsi="仿宋_GB2312" w:cs="仿宋_GB2312" w:eastAsia="仿宋_GB2312"/>
                      <w:sz w:val="24"/>
                      <w:b/>
                    </w:rPr>
                    <w:t>（</w:t>
                  </w:r>
                  <w:r>
                    <w:rPr>
                      <w:rFonts w:ascii="仿宋_GB2312" w:hAnsi="仿宋_GB2312" w:cs="仿宋_GB2312" w:eastAsia="仿宋_GB2312"/>
                      <w:sz w:val="24"/>
                      <w:b/>
                    </w:rPr>
                    <w:t>提供</w:t>
                  </w:r>
                  <w:r>
                    <w:rPr>
                      <w:rFonts w:ascii="仿宋_GB2312" w:hAnsi="仿宋_GB2312" w:cs="仿宋_GB2312" w:eastAsia="仿宋_GB2312"/>
                      <w:sz w:val="24"/>
                      <w:b/>
                    </w:rPr>
                    <w:t>≥3年防病毒规则库升级许可。提供≥3年软硬件升级维保服务。</w:t>
                  </w:r>
                  <w:r>
                    <w:rPr>
                      <w:rFonts w:ascii="仿宋_GB2312" w:hAnsi="仿宋_GB2312" w:cs="仿宋_GB2312" w:eastAsia="仿宋_GB2312"/>
                      <w:sz w:val="24"/>
                      <w:b/>
                    </w:rPr>
                    <w:t>）</w:t>
                  </w:r>
                </w:p>
              </w:tc>
            </w:tr>
            <w:tr>
              <w:tc>
                <w:tcPr>
                  <w:tcW w:type="dxa" w:w="347"/>
                  <w:vMerge/>
                  <w:tcBorders>
                    <w:top w:val="none" w:color="000000" w:sz="4"/>
                    <w:left w:val="single" w:color="000000" w:sz="4"/>
                    <w:bottom w:val="single" w:color="000000" w:sz="4"/>
                    <w:right w:val="single" w:color="000000" w:sz="4"/>
                  </w:tcBorders>
                </w:tcPr>
                <w:p/>
              </w:tc>
              <w:tc>
                <w:tcPr>
                  <w:tcW w:type="dxa" w:w="3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功能参数</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1、支持路由、交换、虚拟线、监听、混合工作模式；</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2、支持策略路由，支持根据入接口、源/目的IP地址、地址范围、协议、角色、应用、选路算法、运营商、探测等多种条件设置策略路由；</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支持一体化安全策略配置，可以通过一条策略实现五元组、源MAC、地区、域名、应用、服务、时间、长连接、并发会话、WEB认证、入侵防御、防病毒、URL过滤、高级威胁防护、WAF、邮件安全、数据过滤、文件过滤、僵木蠕防御、审计、防代理、威胁情报等功能配置,简化用户管理；</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4、提供策略分析功能，支持策略命中分析、策略冗余分析、策略冲突检查、策略包含分析、宽泛策略分析，可在WEB界面显示检测结果；</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5、提供策略变更信息管理功能，支持查看变更策略、变更动作、变更时间、修改人、登陆IP，支持对变更前后的策略进行直观对比，并能一键还原配置；（提供功能截图并加盖厂家公章）</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6、支持在一台防火墙上划分出24个相互独立的虚拟系统，可根据连接配额及连接新建速率为每个虚拟系统分配资源，实配不少于24个虚拟防火墙授权</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7、支持对HTTP/SMTP/POP3/FTP/IMAP/IM等协议进行病毒防御；支持专业品牌</w:t>
                  </w:r>
                  <w:r>
                    <w:rPr>
                      <w:rFonts w:ascii="仿宋_GB2312" w:hAnsi="仿宋_GB2312" w:cs="仿宋_GB2312" w:eastAsia="仿宋_GB2312"/>
                      <w:sz w:val="24"/>
                    </w:rPr>
                    <w:t>防</w:t>
                  </w:r>
                  <w:r>
                    <w:rPr>
                      <w:rFonts w:ascii="仿宋_GB2312" w:hAnsi="仿宋_GB2312" w:cs="仿宋_GB2312" w:eastAsia="仿宋_GB2312"/>
                      <w:sz w:val="24"/>
                    </w:rPr>
                    <w:t>病毒厂商病毒特征库</w:t>
                  </w:r>
                  <w:r>
                    <w:rPr>
                      <w:rFonts w:ascii="仿宋_GB2312" w:hAnsi="仿宋_GB2312" w:cs="仿宋_GB2312" w:eastAsia="仿宋_GB2312"/>
                      <w:sz w:val="24"/>
                    </w:rPr>
                    <w:t>。</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8、内置暴力破解检测引擎，支持检测telnet、ftp、mysql、smb、rlogin、ssh、rdp、imap、pop3、smtp等10种协议，并添加到动态黑名单；</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9、支持管理员手动添加、批量导入、设备主动资产发现、被动资产发现、EDR资产上报、漏扫资产上报等多种资产信息获取方式，可对资产进行防护优化；</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支持威胁地图功能，可以单独开启/关闭威胁地图；支持依地图形式展示攻击信息，可以详细展示攻击链路与方向，支持安全事件实时播报，展示当日风险资产统计、最近1小时攻击源（TOP5）、基于高中低的攻击趋势</w:t>
                  </w:r>
                </w:p>
              </w:tc>
            </w:tr>
          </w:tbl>
          <w:p>
            <w:pPr>
              <w:pStyle w:val="null3"/>
              <w:jc w:val="both"/>
            </w:pPr>
            <w:r>
              <w:rPr>
                <w:rFonts w:ascii="仿宋_GB2312" w:hAnsi="仿宋_GB2312" w:cs="仿宋_GB2312" w:eastAsia="仿宋_GB2312"/>
                <w:sz w:val="24"/>
                <w:b/>
              </w:rPr>
              <w:t>2、入侵防御</w:t>
            </w:r>
          </w:p>
          <w:tbl>
            <w:tblPr>
              <w:tblBorders>
                <w:top w:val="none" w:color="000000" w:sz="4"/>
                <w:left w:val="none" w:color="000000" w:sz="4"/>
                <w:bottom w:val="none" w:color="000000" w:sz="4"/>
                <w:right w:val="none" w:color="000000" w:sz="4"/>
                <w:insideH w:val="none"/>
                <w:insideV w:val="none"/>
              </w:tblBorders>
            </w:tblPr>
            <w:tblGrid>
              <w:gridCol w:w="347"/>
              <w:gridCol w:w="348"/>
              <w:gridCol w:w="1857"/>
            </w:tblGrid>
            <w:tr>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指标类型</w:t>
                  </w:r>
                </w:p>
              </w:tc>
              <w:tc>
                <w:tcPr>
                  <w:tcW w:type="dxa" w:w="18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主要技术指标</w:t>
                  </w:r>
                </w:p>
              </w:tc>
            </w:tr>
            <w:tr>
              <w:tc>
                <w:tcPr>
                  <w:tcW w:type="dxa" w:w="3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入侵防御</w:t>
                  </w:r>
                  <w:r>
                    <w:rPr>
                      <w:rFonts w:ascii="仿宋_GB2312" w:hAnsi="仿宋_GB2312" w:cs="仿宋_GB2312" w:eastAsia="仿宋_GB2312"/>
                      <w:sz w:val="24"/>
                    </w:rPr>
                    <w:t>（</w:t>
                  </w:r>
                  <w:r>
                    <w:rPr>
                      <w:rFonts w:ascii="仿宋_GB2312" w:hAnsi="仿宋_GB2312" w:cs="仿宋_GB2312" w:eastAsia="仿宋_GB2312"/>
                      <w:sz w:val="24"/>
                    </w:rPr>
                    <w:t>1套</w:t>
                  </w:r>
                  <w:r>
                    <w:rPr>
                      <w:rFonts w:ascii="仿宋_GB2312" w:hAnsi="仿宋_GB2312" w:cs="仿宋_GB2312" w:eastAsia="仿宋_GB2312"/>
                      <w:sz w:val="24"/>
                    </w:rPr>
                    <w:t>）</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硬件规格</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2U机架式设备,国产化处理器和操作系统，内存≥32G，硬盘≥4T，</w:t>
                  </w:r>
                  <w:r>
                    <w:rPr>
                      <w:rFonts w:ascii="仿宋_GB2312" w:hAnsi="仿宋_GB2312" w:cs="仿宋_GB2312" w:eastAsia="仿宋_GB2312"/>
                      <w:sz w:val="24"/>
                    </w:rPr>
                    <w:t>≥</w:t>
                  </w:r>
                  <w:r>
                    <w:rPr>
                      <w:rFonts w:ascii="仿宋_GB2312" w:hAnsi="仿宋_GB2312" w:cs="仿宋_GB2312" w:eastAsia="仿宋_GB2312"/>
                      <w:sz w:val="24"/>
                    </w:rPr>
                    <w:t>1个console口，</w:t>
                  </w:r>
                  <w:r>
                    <w:rPr>
                      <w:rFonts w:ascii="仿宋_GB2312" w:hAnsi="仿宋_GB2312" w:cs="仿宋_GB2312" w:eastAsia="仿宋_GB2312"/>
                      <w:sz w:val="24"/>
                    </w:rPr>
                    <w:t>≥</w:t>
                  </w:r>
                  <w:r>
                    <w:rPr>
                      <w:rFonts w:ascii="仿宋_GB2312" w:hAnsi="仿宋_GB2312" w:cs="仿宋_GB2312" w:eastAsia="仿宋_GB2312"/>
                      <w:sz w:val="24"/>
                    </w:rPr>
                    <w:t>2个USB接口，接口配置≥10个千兆电口（含1个管理口和个HA口），≥8个千兆光口（提供8个千兆多模光模块），≥2个万兆光口（提供2个万兆多模光模块），≥1个扩展槽位，自带液晶屏，冗余电源, 整机吞吐≥27G，最大并发连接数≥200万，IPS吞吐率≥1G</w:t>
                  </w:r>
                  <w:r>
                    <w:rPr>
                      <w:rFonts w:ascii="仿宋_GB2312" w:hAnsi="仿宋_GB2312" w:cs="仿宋_GB2312" w:eastAsia="仿宋_GB2312"/>
                      <w:sz w:val="24"/>
                    </w:rPr>
                    <w:t>。</w:t>
                  </w:r>
                </w:p>
                <w:p>
                  <w:pPr>
                    <w:pStyle w:val="null3"/>
                  </w:pPr>
                  <w:r>
                    <w:rPr>
                      <w:rFonts w:ascii="仿宋_GB2312" w:hAnsi="仿宋_GB2312" w:cs="仿宋_GB2312" w:eastAsia="仿宋_GB2312"/>
                      <w:sz w:val="24"/>
                      <w:b/>
                    </w:rPr>
                    <w:t>（</w:t>
                  </w:r>
                  <w:r>
                    <w:rPr>
                      <w:rFonts w:ascii="仿宋_GB2312" w:hAnsi="仿宋_GB2312" w:cs="仿宋_GB2312" w:eastAsia="仿宋_GB2312"/>
                      <w:sz w:val="24"/>
                      <w:b/>
                    </w:rPr>
                    <w:t>提供</w:t>
                  </w:r>
                  <w:r>
                    <w:rPr>
                      <w:rFonts w:ascii="仿宋_GB2312" w:hAnsi="仿宋_GB2312" w:cs="仿宋_GB2312" w:eastAsia="仿宋_GB2312"/>
                      <w:sz w:val="24"/>
                      <w:b/>
                    </w:rPr>
                    <w:t>≥3年攻击检测规则库、应用识别库、地理信息库、僵尸主机规则库升级许可。提供≥3年软硬件升级维保服务。</w:t>
                  </w:r>
                  <w:r>
                    <w:rPr>
                      <w:rFonts w:ascii="仿宋_GB2312" w:hAnsi="仿宋_GB2312" w:cs="仿宋_GB2312" w:eastAsia="仿宋_GB2312"/>
                      <w:sz w:val="24"/>
                      <w:b/>
                    </w:rPr>
                    <w:t>）</w:t>
                  </w:r>
                </w:p>
              </w:tc>
            </w:tr>
            <w:tr>
              <w:tc>
                <w:tcPr>
                  <w:tcW w:type="dxa" w:w="347"/>
                  <w:vMerge/>
                  <w:tcBorders>
                    <w:top w:val="none" w:color="000000" w:sz="4"/>
                    <w:left w:val="single" w:color="000000" w:sz="4"/>
                    <w:bottom w:val="single" w:color="000000" w:sz="4"/>
                    <w:right w:val="single" w:color="000000" w:sz="4"/>
                  </w:tcBorders>
                </w:tcPr>
                <w:p/>
              </w:tc>
              <w:tc>
                <w:tcPr>
                  <w:tcW w:type="dxa" w:w="3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功能参数</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1、支持独立的攻击检测引擎，涵盖</w:t>
                  </w:r>
                  <w:r>
                    <w:rPr>
                      <w:rFonts w:ascii="仿宋_GB2312" w:hAnsi="仿宋_GB2312" w:cs="仿宋_GB2312" w:eastAsia="仿宋_GB2312"/>
                      <w:sz w:val="24"/>
                    </w:rPr>
                    <w:t>≥</w:t>
                  </w:r>
                  <w:r>
                    <w:rPr>
                      <w:rFonts w:ascii="仿宋_GB2312" w:hAnsi="仿宋_GB2312" w:cs="仿宋_GB2312" w:eastAsia="仿宋_GB2312"/>
                      <w:sz w:val="24"/>
                    </w:rPr>
                    <w:t>10000种以上的攻击检测规则库。规则库支持按照攻击类型、操作系统、风险等级、应用类型、流行程度等方式进行分类；</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2、支持在线升级、离线升级。支持自动检查自动更新、自动检查手动更新、手动导入等规则库升级方式；</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支持能够检测包括扫描探测、暴力猜解、拒绝服务攻击、后门控制、溢出攻击、代码执行、非授权访问、注入攻击、URL跳转、跨站攻击、WebShell、浏览器劫持、文件漏洞攻击、工控漏洞攻击、车联网漏洞攻击、物联网漏洞攻击等在内的</w:t>
                  </w:r>
                  <w:r>
                    <w:rPr>
                      <w:rFonts w:ascii="仿宋_GB2312" w:hAnsi="仿宋_GB2312" w:cs="仿宋_GB2312" w:eastAsia="仿宋_GB2312"/>
                      <w:sz w:val="24"/>
                    </w:rPr>
                    <w:t>≥</w:t>
                  </w:r>
                  <w:r>
                    <w:rPr>
                      <w:rFonts w:ascii="仿宋_GB2312" w:hAnsi="仿宋_GB2312" w:cs="仿宋_GB2312" w:eastAsia="仿宋_GB2312"/>
                      <w:sz w:val="24"/>
                    </w:rPr>
                    <w:t>17大类超过</w:t>
                  </w:r>
                  <w:r>
                    <w:rPr>
                      <w:rFonts w:ascii="仿宋_GB2312" w:hAnsi="仿宋_GB2312" w:cs="仿宋_GB2312" w:eastAsia="仿宋_GB2312"/>
                      <w:sz w:val="24"/>
                    </w:rPr>
                    <w:t>≥</w:t>
                  </w:r>
                  <w:r>
                    <w:rPr>
                      <w:rFonts w:ascii="仿宋_GB2312" w:hAnsi="仿宋_GB2312" w:cs="仿宋_GB2312" w:eastAsia="仿宋_GB2312"/>
                      <w:sz w:val="24"/>
                    </w:rPr>
                    <w:t>11000种以上网络攻击事件；</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支持对SMTP、POP3、IMAP、FTP、TELNET、LDAP、RDP、MSSQL、DB2、REDIS、POSTGRESQL、HTTP等服务的弱口令登录行为检测，采用弱口令字典和口令强度两种方式检测，弱口令字典支持导入、导出。可自定义口令强度规则，如密码长度、密码字符类型等。支持对发生的弱口令事件进行取证。支持HTTP协议关键字自定义设置，包括用户名、密码、登录成功；</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5、支持对HTTP、FTP、SMTP、IMAP、POP3、TELNET等服务的隐蔽通信检测，可设置相应警告、联动阻断动作，并可设置忽略知名应用；</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6、支持独立的DDoS检测引擎，支持对IP扫描攻击、端口扫描攻击等多种扫描攻击行为检测；</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7、支持SQL注入分析引擎检测、SQL注入智慧引擎检测、命令注入智慧引擎检测、XSS攻击检测、WEBSHELL上传智慧引擎检测。</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8、支持卸载SSL，实现对HTTPS、IMAPS、SMTPS、POP3S、FTPS、RDP、MQTT、SIP等加密流量的分析检测。</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9、支持服务器非法外联检测防护，能够按照服务器地址、仅境外地址进行外联检测防护；支持按照IP地址、协议/端口设置外联白名单；</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10、支持日志合并配置，合并条件支持按照安全事件类型（攻击检测、僵尸主机、WEB防护、异常流量、URL过滤、黑名单）、源/目的IP、源/目的端口、协议、规则号以及合并周期；</w:t>
                  </w:r>
                </w:p>
              </w:tc>
            </w:tr>
          </w:tbl>
          <w:p>
            <w:pPr>
              <w:pStyle w:val="null3"/>
              <w:jc w:val="both"/>
            </w:pPr>
            <w:r>
              <w:rPr>
                <w:rFonts w:ascii="仿宋_GB2312" w:hAnsi="仿宋_GB2312" w:cs="仿宋_GB2312" w:eastAsia="仿宋_GB2312"/>
                <w:sz w:val="24"/>
                <w:b/>
              </w:rPr>
              <w:t>3、上网行为管理</w:t>
            </w:r>
          </w:p>
          <w:tbl>
            <w:tblPr>
              <w:tblBorders>
                <w:top w:val="none" w:color="000000" w:sz="4"/>
                <w:left w:val="none" w:color="000000" w:sz="4"/>
                <w:bottom w:val="none" w:color="000000" w:sz="4"/>
                <w:right w:val="none" w:color="000000" w:sz="4"/>
                <w:insideH w:val="none"/>
                <w:insideV w:val="none"/>
              </w:tblBorders>
            </w:tblPr>
            <w:tblGrid>
              <w:gridCol w:w="347"/>
              <w:gridCol w:w="348"/>
              <w:gridCol w:w="1857"/>
            </w:tblGrid>
            <w:tr>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指标类型</w:t>
                  </w:r>
                </w:p>
              </w:tc>
              <w:tc>
                <w:tcPr>
                  <w:tcW w:type="dxa" w:w="18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主要技术指标</w:t>
                  </w:r>
                </w:p>
              </w:tc>
            </w:tr>
            <w:tr>
              <w:tc>
                <w:tcPr>
                  <w:tcW w:type="dxa" w:w="3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上网行为管理</w:t>
                  </w:r>
                  <w:r>
                    <w:rPr>
                      <w:rFonts w:ascii="仿宋_GB2312" w:hAnsi="仿宋_GB2312" w:cs="仿宋_GB2312" w:eastAsia="仿宋_GB2312"/>
                      <w:sz w:val="19"/>
                    </w:rPr>
                    <w:t xml:space="preserve">   </w:t>
                  </w:r>
                  <w:r>
                    <w:rPr>
                      <w:rFonts w:ascii="仿宋_GB2312" w:hAnsi="仿宋_GB2312" w:cs="仿宋_GB2312" w:eastAsia="仿宋_GB2312"/>
                      <w:sz w:val="24"/>
                    </w:rPr>
                    <w:t>（</w:t>
                  </w:r>
                  <w:r>
                    <w:rPr>
                      <w:rFonts w:ascii="仿宋_GB2312" w:hAnsi="仿宋_GB2312" w:cs="仿宋_GB2312" w:eastAsia="仿宋_GB2312"/>
                      <w:sz w:val="24"/>
                    </w:rPr>
                    <w:t>1套</w:t>
                  </w:r>
                  <w:r>
                    <w:rPr>
                      <w:rFonts w:ascii="仿宋_GB2312" w:hAnsi="仿宋_GB2312" w:cs="仿宋_GB2312" w:eastAsia="仿宋_GB2312"/>
                      <w:sz w:val="24"/>
                    </w:rPr>
                    <w:t>）</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硬件规格</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1U机架式设备,国产化处理器和操作系统，内存≥32G，硬盘≥4T，</w:t>
                  </w:r>
                  <w:r>
                    <w:rPr>
                      <w:rFonts w:ascii="仿宋_GB2312" w:hAnsi="仿宋_GB2312" w:cs="仿宋_GB2312" w:eastAsia="仿宋_GB2312"/>
                      <w:sz w:val="24"/>
                    </w:rPr>
                    <w:t>≥</w:t>
                  </w:r>
                  <w:r>
                    <w:rPr>
                      <w:rFonts w:ascii="仿宋_GB2312" w:hAnsi="仿宋_GB2312" w:cs="仿宋_GB2312" w:eastAsia="仿宋_GB2312"/>
                      <w:sz w:val="24"/>
                    </w:rPr>
                    <w:t>1个console口，</w:t>
                  </w:r>
                  <w:r>
                    <w:rPr>
                      <w:rFonts w:ascii="仿宋_GB2312" w:hAnsi="仿宋_GB2312" w:cs="仿宋_GB2312" w:eastAsia="仿宋_GB2312"/>
                      <w:sz w:val="24"/>
                    </w:rPr>
                    <w:t>≥</w:t>
                  </w:r>
                  <w:r>
                    <w:rPr>
                      <w:rFonts w:ascii="仿宋_GB2312" w:hAnsi="仿宋_GB2312" w:cs="仿宋_GB2312" w:eastAsia="仿宋_GB2312"/>
                      <w:sz w:val="24"/>
                    </w:rPr>
                    <w:t>2个USB接口，接口配置≥8个千兆电口，≥4个千兆光口，支持≥2组电口Bypass，≥2个扩展槽位，自带液晶屏，单电源, 网络吞吐量≥3.5G，应用层吞吐≥800M，支持带宽≥550M，最大并发连接数≥150万，新建连接数≥11000，包含应用识别功能</w:t>
                  </w:r>
                  <w:r>
                    <w:rPr>
                      <w:rFonts w:ascii="仿宋_GB2312" w:hAnsi="仿宋_GB2312" w:cs="仿宋_GB2312" w:eastAsia="仿宋_GB2312"/>
                      <w:sz w:val="24"/>
                    </w:rPr>
                    <w:t>。</w:t>
                  </w:r>
                </w:p>
                <w:p>
                  <w:pPr>
                    <w:pStyle w:val="null3"/>
                  </w:pPr>
                  <w:r>
                    <w:rPr>
                      <w:rFonts w:ascii="仿宋_GB2312" w:hAnsi="仿宋_GB2312" w:cs="仿宋_GB2312" w:eastAsia="仿宋_GB2312"/>
                      <w:sz w:val="24"/>
                      <w:b/>
                    </w:rPr>
                    <w:t>（</w:t>
                  </w:r>
                  <w:r>
                    <w:rPr>
                      <w:rFonts w:ascii="仿宋_GB2312" w:hAnsi="仿宋_GB2312" w:cs="仿宋_GB2312" w:eastAsia="仿宋_GB2312"/>
                      <w:sz w:val="24"/>
                      <w:b/>
                    </w:rPr>
                    <w:t>提供</w:t>
                  </w:r>
                  <w:r>
                    <w:rPr>
                      <w:rFonts w:ascii="仿宋_GB2312" w:hAnsi="仿宋_GB2312" w:cs="仿宋_GB2312" w:eastAsia="仿宋_GB2312"/>
                      <w:sz w:val="24"/>
                      <w:b/>
                    </w:rPr>
                    <w:t>≥3年的系统版本，URL库及应用特征库升级许可。提供≥3年软硬件升级维保服务。</w:t>
                  </w:r>
                  <w:r>
                    <w:rPr>
                      <w:rFonts w:ascii="仿宋_GB2312" w:hAnsi="仿宋_GB2312" w:cs="仿宋_GB2312" w:eastAsia="仿宋_GB2312"/>
                      <w:sz w:val="24"/>
                      <w:b/>
                    </w:rPr>
                    <w:t>）</w:t>
                  </w:r>
                </w:p>
              </w:tc>
            </w:tr>
            <w:tr>
              <w:tc>
                <w:tcPr>
                  <w:tcW w:type="dxa" w:w="347"/>
                  <w:vMerge/>
                  <w:tcBorders>
                    <w:top w:val="none" w:color="000000" w:sz="4"/>
                    <w:left w:val="single" w:color="000000" w:sz="4"/>
                    <w:bottom w:val="single" w:color="000000" w:sz="4"/>
                    <w:right w:val="single" w:color="000000" w:sz="4"/>
                  </w:tcBorders>
                </w:tcPr>
                <w:p/>
              </w:tc>
              <w:tc>
                <w:tcPr>
                  <w:tcW w:type="dxa" w:w="3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功能参数</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1、支持路由模式，旁路模式、网桥模式、混合模式部署；切换部署模式无需重启，不影响设备正常使用；</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2、支持将多个以太网物理端口捆绑成一条逻辑端口（即将多个端口捆绑成一个逻辑的端口以增加带宽，同时增加链路备份）支持基于轮循、主备、哈希、广播、802.3ad、发送自适应、双向自适应等多种负载方式；</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3、支持在设置流量策略后，根据整体线路或者设置某流量通道内的空闲值，根据通道的空闲情况，自动启用和停止使用流量控制策略，以提升带宽的高使用率；空闲值支持自定义；</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4、支持分时分区上网，拥有多个网络区域访问权限时，可以实现用户在任意时刻只能访问一个网络，实现网络逻辑隔离，可支持自定义</w:t>
                  </w:r>
                  <w:r>
                    <w:rPr>
                      <w:rFonts w:ascii="仿宋_GB2312" w:hAnsi="仿宋_GB2312" w:cs="仿宋_GB2312" w:eastAsia="仿宋_GB2312"/>
                      <w:sz w:val="24"/>
                    </w:rPr>
                    <w:t>7个</w:t>
                  </w:r>
                  <w:r>
                    <w:rPr>
                      <w:rFonts w:ascii="仿宋_GB2312" w:hAnsi="仿宋_GB2312" w:cs="仿宋_GB2312" w:eastAsia="仿宋_GB2312"/>
                      <w:sz w:val="24"/>
                    </w:rPr>
                    <w:t>及以上</w:t>
                  </w:r>
                  <w:r>
                    <w:rPr>
                      <w:rFonts w:ascii="仿宋_GB2312" w:hAnsi="仿宋_GB2312" w:cs="仿宋_GB2312" w:eastAsia="仿宋_GB2312"/>
                      <w:sz w:val="24"/>
                    </w:rPr>
                    <w:t>网络区域。可支持根据域名划分网络区域；</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5、支持移动终端接入类型管控，可对接入的移动终端区分出IOS终端、安卓终端、三星终端，并可以根据所区分出的终端类型设置告警和拒绝动作；</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6、支持对TCP、UDP、ICMP、TCP SYN超时时间，无回应UDP超时时间设置，并能支持按照新建会话与总会话比例设置老化开始或者结束；</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可针对特殊非主流论坛或网页评论自定义特征，可对非内置特征的论坛和网页评论审计外发文字内容并在审计内容中对应自定义特征名称；可定义内容应包括：URL、HOST、编码类型、是否MIME型、主题关键字、内容关键字；</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8、可根据预设总带宽，实时智能识别策略匹配上线用户，并依照预设总带宽将流量对匹配用户进行智能平均分配；</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9、支持阻拦终端用户的广告弹窗，至少支持WinRAR、快压、360安全卫士、360画报、金山毒霸、热点资讯、今日热点等广告弹窗；</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支持基于个人的所有行为监控报表，包括：网页标题记录、发贴记录、网页评论记录、在搜索引擎上的搜索记录、网页文件上传记录、URL访问记录、即时通讯的登录信息/聊天内容/文件传输记录、邮件记录（详细内容、附件）、FTP登录信息/上传记录/下载记录；</w:t>
                  </w:r>
                </w:p>
              </w:tc>
            </w:tr>
          </w:tbl>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b/>
              </w:rPr>
              <w:t>4、日志审计</w:t>
            </w:r>
          </w:p>
          <w:tbl>
            <w:tblPr>
              <w:tblBorders>
                <w:top w:val="none" w:color="000000" w:sz="4"/>
                <w:left w:val="none" w:color="000000" w:sz="4"/>
                <w:bottom w:val="none" w:color="000000" w:sz="4"/>
                <w:right w:val="none" w:color="000000" w:sz="4"/>
                <w:insideH w:val="none"/>
                <w:insideV w:val="none"/>
              </w:tblBorders>
            </w:tblPr>
            <w:tblGrid>
              <w:gridCol w:w="347"/>
              <w:gridCol w:w="348"/>
              <w:gridCol w:w="1857"/>
            </w:tblGrid>
            <w:tr>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指标类型</w:t>
                  </w:r>
                </w:p>
              </w:tc>
              <w:tc>
                <w:tcPr>
                  <w:tcW w:type="dxa" w:w="18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主要技术指标</w:t>
                  </w:r>
                </w:p>
              </w:tc>
            </w:tr>
            <w:tr>
              <w:tc>
                <w:tcPr>
                  <w:tcW w:type="dxa" w:w="3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日志审计</w:t>
                  </w:r>
                  <w:r>
                    <w:rPr>
                      <w:rFonts w:ascii="仿宋_GB2312" w:hAnsi="仿宋_GB2312" w:cs="仿宋_GB2312" w:eastAsia="仿宋_GB2312"/>
                      <w:sz w:val="24"/>
                    </w:rPr>
                    <w:t>（</w:t>
                  </w:r>
                  <w:r>
                    <w:rPr>
                      <w:rFonts w:ascii="仿宋_GB2312" w:hAnsi="仿宋_GB2312" w:cs="仿宋_GB2312" w:eastAsia="仿宋_GB2312"/>
                      <w:sz w:val="24"/>
                    </w:rPr>
                    <w:t>1套</w:t>
                  </w:r>
                  <w:r>
                    <w:rPr>
                      <w:rFonts w:ascii="仿宋_GB2312" w:hAnsi="仿宋_GB2312" w:cs="仿宋_GB2312" w:eastAsia="仿宋_GB2312"/>
                      <w:sz w:val="24"/>
                    </w:rPr>
                    <w:t>）</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硬件规格</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2U机架式设备,国产化处理器和操作系统，内存≥32G，硬盘≥256G+4T，≥1个console口，≥2个USB接口，接口配置≥6个千兆电口，≥4个千兆光口，≥2个万兆光口，≥2个扩展槽位，自带液晶屏，</w:t>
                  </w:r>
                  <w:r>
                    <w:rPr>
                      <w:rFonts w:ascii="仿宋_GB2312" w:hAnsi="仿宋_GB2312" w:cs="仿宋_GB2312" w:eastAsia="仿宋_GB2312"/>
                      <w:sz w:val="24"/>
                    </w:rPr>
                    <w:t>冗余</w:t>
                  </w:r>
                  <w:r>
                    <w:rPr>
                      <w:rFonts w:ascii="仿宋_GB2312" w:hAnsi="仿宋_GB2312" w:cs="仿宋_GB2312" w:eastAsia="仿宋_GB2312"/>
                      <w:sz w:val="24"/>
                    </w:rPr>
                    <w:t>电源</w:t>
                  </w:r>
                  <w:r>
                    <w:rPr>
                      <w:rFonts w:ascii="仿宋_GB2312" w:hAnsi="仿宋_GB2312" w:cs="仿宋_GB2312" w:eastAsia="仿宋_GB2312"/>
                      <w:sz w:val="24"/>
                    </w:rPr>
                    <w:t>,日志采集处理性能≥3000EPS。本次实配≥50日志源。提供≥3年软硬件升级维保服务。</w:t>
                  </w:r>
                </w:p>
              </w:tc>
            </w:tr>
            <w:tr>
              <w:tc>
                <w:tcPr>
                  <w:tcW w:type="dxa" w:w="347"/>
                  <w:vMerge/>
                  <w:tcBorders>
                    <w:top w:val="none" w:color="000000" w:sz="4"/>
                    <w:left w:val="single" w:color="000000" w:sz="4"/>
                    <w:bottom w:val="single" w:color="000000" w:sz="4"/>
                    <w:right w:val="single" w:color="000000" w:sz="4"/>
                  </w:tcBorders>
                </w:tcPr>
                <w:p/>
              </w:tc>
              <w:tc>
                <w:tcPr>
                  <w:tcW w:type="dxa" w:w="3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功能参数</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1、支持安全设备、网络设备、中间件、服务器、数据库、操作系统、业务系统等不少于26类300种日志对象的日志数据采集；</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2、支持Syslog、SNMP Trap、Netflow、JDBC、WMI、FTP、SFTP、SCP、文件等方式进行数据采集；支持通过Agent采集日志数据；</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3、支持手动添加日志源，管理员可以对日志源进行查看、批量修改、添加、编辑、删除以及启\禁用的操作；</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4、支持首页展示日志采集总量统计，可按不同日志源种类分类显示日志总量及大小，并支持导出；</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5、支持根据设备重要程度设置独立设置每个被采集源的日志、报表数据存储时间为1个月、3个月、6个月和永久保存等参数；</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6、支持对日志流量非常大但是日志重要程度低的syslog类型日志源进行限制接收速率，降低对系统资源的占用，保障重要日志的收集；</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7、支持对日志流量非常大但是日志重要程度低的syslog类型日志源进行限制接收速率，降低对系统资源的占用，保障重要日志的收集；</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8、系统具有防恶意暴力破解账号与口令功能，口令错误次数可设置，超过错误次数锁定，锁定时间可设置；</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9、内置上百种报表模版，支持自动实现智能报表创建，每添加一个日志源，系统自动分析日志源类型进行相应报表创建，无需人工干预，报表和资产一一对应；</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10、内置多种维度的数据在线分析模型，在数据查询结果界面直接对查询结果数据进行多维度在线数据分析，分析结果实时展示，分析模型包括但不限于树图、散点图、关系图、折线图、时序图、柱状图等</w:t>
                  </w:r>
                  <w:r>
                    <w:rPr>
                      <w:rFonts w:ascii="仿宋_GB2312" w:hAnsi="仿宋_GB2312" w:cs="仿宋_GB2312" w:eastAsia="仿宋_GB2312"/>
                      <w:sz w:val="24"/>
                    </w:rPr>
                    <w:t>；</w:t>
                  </w:r>
                </w:p>
              </w:tc>
            </w:tr>
          </w:tbl>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b/>
              </w:rPr>
              <w:t>5、入侵检测</w:t>
            </w:r>
          </w:p>
          <w:tbl>
            <w:tblPr>
              <w:tblBorders>
                <w:top w:val="none" w:color="000000" w:sz="4"/>
                <w:left w:val="none" w:color="000000" w:sz="4"/>
                <w:bottom w:val="none" w:color="000000" w:sz="4"/>
                <w:right w:val="none" w:color="000000" w:sz="4"/>
                <w:insideH w:val="none"/>
                <w:insideV w:val="none"/>
              </w:tblBorders>
            </w:tblPr>
            <w:tblGrid>
              <w:gridCol w:w="347"/>
              <w:gridCol w:w="348"/>
              <w:gridCol w:w="1857"/>
            </w:tblGrid>
            <w:tr>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指标类型</w:t>
                  </w:r>
                </w:p>
              </w:tc>
              <w:tc>
                <w:tcPr>
                  <w:tcW w:type="dxa" w:w="18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主要技术指标</w:t>
                  </w:r>
                </w:p>
              </w:tc>
            </w:tr>
            <w:tr>
              <w:tc>
                <w:tcPr>
                  <w:tcW w:type="dxa" w:w="3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入侵检测</w:t>
                  </w:r>
                  <w:r>
                    <w:rPr>
                      <w:rFonts w:ascii="仿宋_GB2312" w:hAnsi="仿宋_GB2312" w:cs="仿宋_GB2312" w:eastAsia="仿宋_GB2312"/>
                      <w:sz w:val="24"/>
                    </w:rPr>
                    <w:t>（</w:t>
                  </w:r>
                  <w:r>
                    <w:rPr>
                      <w:rFonts w:ascii="仿宋_GB2312" w:hAnsi="仿宋_GB2312" w:cs="仿宋_GB2312" w:eastAsia="仿宋_GB2312"/>
                      <w:sz w:val="24"/>
                    </w:rPr>
                    <w:t>1套</w:t>
                  </w:r>
                  <w:r>
                    <w:rPr>
                      <w:rFonts w:ascii="仿宋_GB2312" w:hAnsi="仿宋_GB2312" w:cs="仿宋_GB2312" w:eastAsia="仿宋_GB2312"/>
                      <w:sz w:val="24"/>
                    </w:rPr>
                    <w:t>）</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硬件规格</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2U机架式设备,国产化处理器和操作系统，内存≥32G，硬盘≥4T，</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1个console口，</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2个USB接口，接口配置≥6个千兆电口（含1个管理口和个HA口），≥4个千兆光口（提供4个千兆多模光模块），≥2个万兆光口（提供2个万兆多模光模块），≥2个扩展槽位，自带液晶屏，冗余电源, 整机吞吐≥24G，最大并发连接数≥500万，IDS吞吐率≥1G</w:t>
                  </w:r>
                  <w:r>
                    <w:rPr>
                      <w:rFonts w:ascii="仿宋_GB2312" w:hAnsi="仿宋_GB2312" w:cs="仿宋_GB2312" w:eastAsia="仿宋_GB2312"/>
                      <w:sz w:val="24"/>
                      <w:shd w:fill="FFFFFF" w:val="clear"/>
                    </w:rPr>
                    <w:t>。</w:t>
                  </w:r>
                </w:p>
                <w:p>
                  <w:pPr>
                    <w:pStyle w:val="null3"/>
                    <w:jc w:val="both"/>
                  </w:pP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提供</w:t>
                  </w:r>
                  <w:r>
                    <w:rPr>
                      <w:rFonts w:ascii="仿宋_GB2312" w:hAnsi="仿宋_GB2312" w:cs="仿宋_GB2312" w:eastAsia="仿宋_GB2312"/>
                      <w:sz w:val="24"/>
                      <w:b/>
                      <w:shd w:fill="FFFFFF" w:val="clear"/>
                    </w:rPr>
                    <w:t>≥3年攻击检测规则库、应用识别库、地理信息库、僵尸主机规则库升级许可。提供≥3年软硬件升级维保服务。</w:t>
                  </w:r>
                  <w:r>
                    <w:rPr>
                      <w:rFonts w:ascii="仿宋_GB2312" w:hAnsi="仿宋_GB2312" w:cs="仿宋_GB2312" w:eastAsia="仿宋_GB2312"/>
                      <w:sz w:val="24"/>
                      <w:b/>
                      <w:shd w:fill="FFFFFF" w:val="clear"/>
                    </w:rPr>
                    <w:t>）</w:t>
                  </w:r>
                </w:p>
              </w:tc>
            </w:tr>
            <w:tr>
              <w:tc>
                <w:tcPr>
                  <w:tcW w:type="dxa" w:w="347"/>
                  <w:vMerge/>
                  <w:tcBorders>
                    <w:top w:val="none" w:color="000000" w:sz="4"/>
                    <w:left w:val="single" w:color="000000" w:sz="4"/>
                    <w:bottom w:val="single" w:color="000000" w:sz="4"/>
                    <w:right w:val="single" w:color="000000" w:sz="4"/>
                  </w:tcBorders>
                </w:tcPr>
                <w:p/>
              </w:tc>
              <w:tc>
                <w:tcPr>
                  <w:tcW w:type="dxa" w:w="3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功能参数</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1、具备扫描探测、暴力猜解、拒绝服务攻击、后门控制、溢出攻击、代码执行、非授权访问、注入攻击、URL跳转、跨站攻击、WebShell、浏览器劫持、文件漏洞攻击等检测能力；</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2、具备检测僵尸网络、木马控制、蠕虫、挖矿、勒索、移动端木马控制、APT等多类型的僵尸主机行为；</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3、支持服务器非法外联检测，对服务器外联行为自学习、外联白名单设置；</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4、支持DGA恶意域名检测，采用DGA恶意域名检测智慧引擎检测；</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具备WEB攻击检测能力，包含SQL注入攻击、跨站攻击、URL跳转攻击、WEB远程代码执行攻击、WEB缓冲区溢出攻击、WEB漏洞攻击、WEBSHELL上传攻击、WEB越权攻击、WEB扫描攻击、目录遍历攻击、WEB口令暴力破解攻击等多种WEB攻击类型；</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6、具备SSL卸载功能，实现对HTTPS、IMAPS、SMTPS、POP3S、FTPS、RDP、MQTT、SIP等加密流量的分析检测；</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7、具备威胁分析功能，威胁分析展示包括：威胁事件的失陷/成功/尝试/失败等攻击结果、攻击事件级别、攻击类型分布、攻击阶段、事件详情等信息；</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8、具备对所有或按条件搜索的安全事件进行二次聚合能力，包括事件描述、攻击主机、受害主机一种或多种聚合方式；</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9、支持取证功能，取证类型包括：PCAP取证、样本取证（扩展功能）两种形式，PCAP取证文件支持在线预览</w:t>
                  </w:r>
                  <w:r>
                    <w:rPr>
                      <w:rFonts w:ascii="仿宋_GB2312" w:hAnsi="仿宋_GB2312" w:cs="仿宋_GB2312" w:eastAsia="仿宋_GB2312"/>
                      <w:sz w:val="24"/>
                    </w:rPr>
                    <w:t>；</w:t>
                  </w:r>
                </w:p>
              </w:tc>
            </w:tr>
            <w:tr>
              <w:tc>
                <w:tcPr>
                  <w:tcW w:type="dxa" w:w="347"/>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10、支持规则库升级无缝加载技术，整个升级过程检测引擎工作不间断</w:t>
                  </w:r>
                  <w:r>
                    <w:rPr>
                      <w:rFonts w:ascii="仿宋_GB2312" w:hAnsi="仿宋_GB2312" w:cs="仿宋_GB2312" w:eastAsia="仿宋_GB2312"/>
                      <w:sz w:val="24"/>
                    </w:rPr>
                    <w:t>；</w:t>
                  </w:r>
                </w:p>
              </w:tc>
            </w:tr>
          </w:tbl>
          <w:p>
            <w:pPr>
              <w:pStyle w:val="null3"/>
              <w:jc w:val="both"/>
            </w:pPr>
            <w:r>
              <w:rPr>
                <w:rFonts w:ascii="仿宋_GB2312" w:hAnsi="仿宋_GB2312" w:cs="仿宋_GB2312" w:eastAsia="仿宋_GB2312"/>
                <w:sz w:val="24"/>
                <w:b/>
              </w:rPr>
              <w:t>6、网络安全运维服务</w:t>
            </w:r>
          </w:p>
          <w:tbl>
            <w:tblPr>
              <w:tblBorders>
                <w:top w:val="none" w:color="000000" w:sz="4"/>
                <w:left w:val="none" w:color="000000" w:sz="4"/>
                <w:bottom w:val="none" w:color="000000" w:sz="4"/>
                <w:right w:val="none" w:color="000000" w:sz="4"/>
                <w:insideH w:val="none"/>
                <w:insideV w:val="none"/>
              </w:tblBorders>
            </w:tblPr>
            <w:tblGrid>
              <w:gridCol w:w="347"/>
              <w:gridCol w:w="393"/>
              <w:gridCol w:w="1813"/>
            </w:tblGrid>
            <w:tr>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服务名称</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指标类型</w:t>
                  </w:r>
                </w:p>
              </w:tc>
              <w:tc>
                <w:tcPr>
                  <w:tcW w:type="dxa" w:w="18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主要技术指标</w:t>
                  </w:r>
                </w:p>
              </w:tc>
            </w:tr>
            <w:tr>
              <w:tc>
                <w:tcPr>
                  <w:tcW w:type="dxa" w:w="3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网络</w:t>
                  </w:r>
                  <w:r>
                    <w:rPr>
                      <w:rFonts w:ascii="仿宋_GB2312" w:hAnsi="仿宋_GB2312" w:cs="仿宋_GB2312" w:eastAsia="仿宋_GB2312"/>
                      <w:sz w:val="24"/>
                    </w:rPr>
                    <w:t>安全</w:t>
                  </w:r>
                  <w:r>
                    <w:rPr>
                      <w:rFonts w:ascii="仿宋_GB2312" w:hAnsi="仿宋_GB2312" w:cs="仿宋_GB2312" w:eastAsia="仿宋_GB2312"/>
                      <w:sz w:val="24"/>
                    </w:rPr>
                    <w:t>运维</w:t>
                  </w:r>
                  <w:r>
                    <w:rPr>
                      <w:rFonts w:ascii="仿宋_GB2312" w:hAnsi="仿宋_GB2312" w:cs="仿宋_GB2312" w:eastAsia="仿宋_GB2312"/>
                      <w:sz w:val="24"/>
                    </w:rPr>
                    <w:t>服务</w:t>
                  </w:r>
                  <w:r>
                    <w:rPr>
                      <w:rFonts w:ascii="仿宋_GB2312" w:hAnsi="仿宋_GB2312" w:cs="仿宋_GB2312" w:eastAsia="仿宋_GB2312"/>
                      <w:sz w:val="24"/>
                    </w:rPr>
                    <w:t>（</w:t>
                  </w:r>
                  <w:r>
                    <w:rPr>
                      <w:rFonts w:ascii="仿宋_GB2312" w:hAnsi="仿宋_GB2312" w:cs="仿宋_GB2312" w:eastAsia="仿宋_GB2312"/>
                      <w:sz w:val="24"/>
                    </w:rPr>
                    <w:t>1年</w:t>
                  </w:r>
                  <w:r>
                    <w:rPr>
                      <w:rFonts w:ascii="仿宋_GB2312" w:hAnsi="仿宋_GB2312" w:cs="仿宋_GB2312" w:eastAsia="仿宋_GB2312"/>
                      <w:sz w:val="24"/>
                    </w:rPr>
                    <w:t>）</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周期性安全巡检服务</w:t>
                  </w:r>
                </w:p>
              </w:tc>
              <w:tc>
                <w:tcPr>
                  <w:tcW w:type="dxa" w:w="1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服务期内每季度提供</w:t>
                  </w:r>
                  <w:r>
                    <w:rPr>
                      <w:rFonts w:ascii="仿宋_GB2312" w:hAnsi="仿宋_GB2312" w:cs="仿宋_GB2312" w:eastAsia="仿宋_GB2312"/>
                      <w:sz w:val="24"/>
                    </w:rPr>
                    <w:t>≥</w:t>
                  </w:r>
                  <w:r>
                    <w:rPr>
                      <w:rFonts w:ascii="仿宋_GB2312" w:hAnsi="仿宋_GB2312" w:cs="仿宋_GB2312" w:eastAsia="仿宋_GB2312"/>
                      <w:sz w:val="24"/>
                    </w:rPr>
                    <w:t>1次安全设备巡检服务，周期性对部署的安全设备进行监控巡检，包括但不限于CPU、内存、用户、许可证书、防护日志等，对发现的安全事件进行跟踪、分析、上报和处理。对安全设备、安全平台的日志、告警数据进行专项分析研判，并且对探针采集的数据进行分析，处理异常情况。</w:t>
                  </w:r>
                </w:p>
              </w:tc>
            </w:tr>
            <w:tr>
              <w:tc>
                <w:tcPr>
                  <w:tcW w:type="dxa" w:w="347"/>
                  <w:vMerge/>
                  <w:tcBorders>
                    <w:top w:val="none" w:color="000000" w:sz="4"/>
                    <w:left w:val="single" w:color="000000" w:sz="4"/>
                    <w:bottom w:val="single" w:color="000000" w:sz="4"/>
                    <w:right w:val="single" w:color="000000" w:sz="4"/>
                  </w:tcBorders>
                </w:tcP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常态化漏洞扫描服务</w:t>
                  </w:r>
                </w:p>
              </w:tc>
              <w:tc>
                <w:tcPr>
                  <w:tcW w:type="dxa" w:w="1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服务期内每季度提供</w:t>
                  </w:r>
                  <w:r>
                    <w:rPr>
                      <w:rFonts w:ascii="仿宋_GB2312" w:hAnsi="仿宋_GB2312" w:cs="仿宋_GB2312" w:eastAsia="仿宋_GB2312"/>
                      <w:sz w:val="24"/>
                    </w:rPr>
                    <w:t>≥</w:t>
                  </w:r>
                  <w:r>
                    <w:rPr>
                      <w:rFonts w:ascii="仿宋_GB2312" w:hAnsi="仿宋_GB2312" w:cs="仿宋_GB2312" w:eastAsia="仿宋_GB2312"/>
                      <w:sz w:val="24"/>
                    </w:rPr>
                    <w:t>1次漏洞扫描服务，安全服务人员通过工具+人工的方式对甲方资产进行全面、深入的漏洞检测。将包含网络设备、安全设备、主机系统、web应用、数据库系统等利用漏洞检测工具进行漏洞检测，检测完成后进行高风险漏洞验证，并提出专业的漏洞安全解决方案和建议，并协助整改。</w:t>
                  </w:r>
                </w:p>
              </w:tc>
            </w:tr>
            <w:tr>
              <w:tc>
                <w:tcPr>
                  <w:tcW w:type="dxa" w:w="347"/>
                  <w:vMerge/>
                  <w:tcBorders>
                    <w:top w:val="none" w:color="000000" w:sz="4"/>
                    <w:left w:val="single" w:color="000000" w:sz="4"/>
                    <w:bottom w:val="single" w:color="000000" w:sz="4"/>
                    <w:right w:val="single" w:color="000000" w:sz="4"/>
                  </w:tcBorders>
                </w:tcP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渗透测试</w:t>
                  </w:r>
                </w:p>
                <w:p>
                  <w:pPr>
                    <w:pStyle w:val="null3"/>
                  </w:pPr>
                  <w:r>
                    <w:rPr>
                      <w:rFonts w:ascii="仿宋_GB2312" w:hAnsi="仿宋_GB2312" w:cs="仿宋_GB2312" w:eastAsia="仿宋_GB2312"/>
                      <w:sz w:val="24"/>
                    </w:rPr>
                    <w:t>服务</w:t>
                  </w:r>
                </w:p>
              </w:tc>
              <w:tc>
                <w:tcPr>
                  <w:tcW w:type="dxa" w:w="1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安全服务人员对甲方的重要业务系统进行全方位的渗透测试评估，对发现的弱口令、安全漏洞验证是否可以获取系统主机控制权、应用系统控制权、数据库数据、验证是否可以通过系统做跳板可以入侵内网。渗透点（包括但不限于）操作系统漏洞、数据库系统漏洞、</w:t>
                  </w:r>
                  <w:r>
                    <w:rPr>
                      <w:rFonts w:ascii="仿宋_GB2312" w:hAnsi="仿宋_GB2312" w:cs="仿宋_GB2312" w:eastAsia="仿宋_GB2312"/>
                      <w:sz w:val="24"/>
                    </w:rPr>
                    <w:t>Web服务漏洞、中间件漏洞、网络设备漏洞、Ftp服务漏洞、远程控制漏洞、网络边界漏洞、信任机制漏洞、恶意代码漏洞、缓冲区溢出、账号密码弱口令测试、ARP欺骗测试和其他方式的测试手段。最终出具详细的渗透测试流程及渗透测试报告，并提供整改优化建议。</w:t>
                  </w:r>
                </w:p>
                <w:p>
                  <w:pPr>
                    <w:pStyle w:val="null3"/>
                  </w:pPr>
                  <w:r>
                    <w:rPr>
                      <w:rFonts w:ascii="仿宋_GB2312" w:hAnsi="仿宋_GB2312" w:cs="仿宋_GB2312" w:eastAsia="仿宋_GB2312"/>
                      <w:sz w:val="24"/>
                    </w:rPr>
                    <w:t>开展次数</w:t>
                  </w:r>
                  <w:r>
                    <w:rPr>
                      <w:rFonts w:ascii="仿宋_GB2312" w:hAnsi="仿宋_GB2312" w:cs="仿宋_GB2312" w:eastAsia="仿宋_GB2312"/>
                      <w:sz w:val="24"/>
                    </w:rPr>
                    <w:t>每半年</w:t>
                  </w:r>
                  <w:r>
                    <w:rPr>
                      <w:rFonts w:ascii="仿宋_GB2312" w:hAnsi="仿宋_GB2312" w:cs="仿宋_GB2312" w:eastAsia="仿宋_GB2312"/>
                      <w:sz w:val="24"/>
                    </w:rPr>
                    <w:t>≥1次</w:t>
                  </w:r>
                  <w:r>
                    <w:rPr>
                      <w:rFonts w:ascii="仿宋_GB2312" w:hAnsi="仿宋_GB2312" w:cs="仿宋_GB2312" w:eastAsia="仿宋_GB2312"/>
                      <w:sz w:val="24"/>
                    </w:rPr>
                    <w:t>。</w:t>
                  </w:r>
                </w:p>
              </w:tc>
            </w:tr>
            <w:tr>
              <w:tc>
                <w:tcPr>
                  <w:tcW w:type="dxa" w:w="347"/>
                  <w:vMerge/>
                  <w:tcBorders>
                    <w:top w:val="none" w:color="000000" w:sz="4"/>
                    <w:left w:val="single" w:color="000000" w:sz="4"/>
                    <w:bottom w:val="single" w:color="000000" w:sz="4"/>
                    <w:right w:val="single" w:color="000000" w:sz="4"/>
                  </w:tcBorders>
                </w:tcP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突发安全事件应急响应服务</w:t>
                  </w:r>
                </w:p>
              </w:tc>
              <w:tc>
                <w:tcPr>
                  <w:tcW w:type="dxa" w:w="1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服务期内协助甲方对发生的国内重大、重要事件以及全网突发的重大安全事件提供</w:t>
                  </w:r>
                  <w:r>
                    <w:rPr>
                      <w:rFonts w:ascii="仿宋_GB2312" w:hAnsi="仿宋_GB2312" w:cs="仿宋_GB2312" w:eastAsia="仿宋_GB2312"/>
                      <w:sz w:val="24"/>
                    </w:rPr>
                    <w:t>7*24小时线上+线下的应急支持服务。在安全事件发生后，及时对异常的系统、网络进行分析，确定安全事件的各项技术细节，保留相关证据并制定进一步的响应策略；及时采取行动限制安全事件扩散和影响的范围，限制潜在的损失与破坏，保障系统正常运行；事后要通过对有关安全事件或异常行为的分析结果，找出根源，明确相应的补救措施并协助完成彻底清除；协助恢复安全事件所涉及的系统，并还原到正常状态，使业务能够正常运行。</w:t>
                  </w:r>
                </w:p>
                <w:p>
                  <w:pPr>
                    <w:pStyle w:val="null3"/>
                    <w:jc w:val="both"/>
                  </w:pPr>
                  <w:r>
                    <w:rPr>
                      <w:rFonts w:ascii="仿宋_GB2312" w:hAnsi="仿宋_GB2312" w:cs="仿宋_GB2312" w:eastAsia="仿宋_GB2312"/>
                      <w:sz w:val="24"/>
                    </w:rPr>
                    <w:t>每年</w:t>
                  </w:r>
                  <w:r>
                    <w:rPr>
                      <w:rFonts w:ascii="仿宋_GB2312" w:hAnsi="仿宋_GB2312" w:cs="仿宋_GB2312" w:eastAsia="仿宋_GB2312"/>
                      <w:sz w:val="24"/>
                    </w:rPr>
                    <w:t>≥</w:t>
                  </w:r>
                  <w:r>
                    <w:rPr>
                      <w:rFonts w:ascii="仿宋_GB2312" w:hAnsi="仿宋_GB2312" w:cs="仿宋_GB2312" w:eastAsia="仿宋_GB2312"/>
                      <w:sz w:val="24"/>
                    </w:rPr>
                    <w:t>3次。</w:t>
                  </w:r>
                </w:p>
              </w:tc>
            </w:tr>
            <w:tr>
              <w:tc>
                <w:tcPr>
                  <w:tcW w:type="dxa" w:w="347"/>
                  <w:vMerge/>
                  <w:tcBorders>
                    <w:top w:val="none" w:color="000000" w:sz="4"/>
                    <w:left w:val="single" w:color="000000" w:sz="4"/>
                    <w:bottom w:val="single" w:color="000000" w:sz="4"/>
                    <w:right w:val="single" w:color="000000" w:sz="4"/>
                  </w:tcBorders>
                </w:tcP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重大活动安全保障服务</w:t>
                  </w:r>
                </w:p>
              </w:tc>
              <w:tc>
                <w:tcPr>
                  <w:tcW w:type="dxa" w:w="1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服务期内提供</w:t>
                  </w:r>
                  <w:r>
                    <w:rPr>
                      <w:rFonts w:ascii="仿宋_GB2312" w:hAnsi="仿宋_GB2312" w:cs="仿宋_GB2312" w:eastAsia="仿宋_GB2312"/>
                      <w:sz w:val="24"/>
                    </w:rPr>
                    <w:t>1名具备丰富护网与重保实战经验的安全专家配合现场人员开展监控值守与保障总结工作，全面保障在重要时期不发生重大网络安全事件，高效顺利的完成保障任务。</w:t>
                  </w:r>
                </w:p>
              </w:tc>
            </w:tr>
            <w:tr>
              <w:tc>
                <w:tcPr>
                  <w:tcW w:type="dxa" w:w="347"/>
                  <w:vMerge/>
                  <w:tcBorders>
                    <w:top w:val="none" w:color="000000" w:sz="4"/>
                    <w:left w:val="single" w:color="000000" w:sz="4"/>
                    <w:bottom w:val="single" w:color="000000" w:sz="4"/>
                    <w:right w:val="single" w:color="000000" w:sz="4"/>
                  </w:tcBorders>
                </w:tcP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驻场服务</w:t>
                  </w:r>
                </w:p>
              </w:tc>
              <w:tc>
                <w:tcPr>
                  <w:tcW w:type="dxa" w:w="1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本次驻场服务为期</w:t>
                  </w:r>
                  <w:r>
                    <w:rPr>
                      <w:rFonts w:ascii="仿宋_GB2312" w:hAnsi="仿宋_GB2312" w:cs="仿宋_GB2312" w:eastAsia="仿宋_GB2312"/>
                      <w:sz w:val="24"/>
                    </w:rPr>
                    <w:t>1年，需安排至少1名专业技术人员完成上述服务项目的落实及服务期内的网络安全运维服务，能够熟练并合理使用不限于本项目及单位现有安全设备及系统。</w:t>
                  </w:r>
                </w:p>
              </w:tc>
            </w:tr>
          </w:tbl>
          <w:p>
            <w:pPr>
              <w:pStyle w:val="null3"/>
              <w:jc w:val="both"/>
            </w:pPr>
            <w:r>
              <w:rPr>
                <w:rFonts w:ascii="仿宋_GB2312" w:hAnsi="仿宋_GB2312" w:cs="仿宋_GB2312" w:eastAsia="仿宋_GB2312"/>
                <w:sz w:val="24"/>
                <w:b/>
              </w:rPr>
              <w:t>7、其他要求</w:t>
            </w:r>
          </w:p>
          <w:p>
            <w:pPr>
              <w:pStyle w:val="null3"/>
              <w:jc w:val="both"/>
            </w:pPr>
            <w:r>
              <w:rPr>
                <w:rFonts w:ascii="仿宋_GB2312" w:hAnsi="仿宋_GB2312" w:cs="仿宋_GB2312" w:eastAsia="仿宋_GB2312"/>
                <w:sz w:val="24"/>
              </w:rPr>
              <w:t>（一）要求以上设备关键核心部件如</w:t>
            </w:r>
            <w:r>
              <w:rPr>
                <w:rFonts w:ascii="仿宋_GB2312" w:hAnsi="仿宋_GB2312" w:cs="仿宋_GB2312" w:eastAsia="仿宋_GB2312"/>
                <w:sz w:val="24"/>
              </w:rPr>
              <w:t>CPU等必须国产化，并能提供相关证明材料。</w:t>
            </w:r>
          </w:p>
          <w:p>
            <w:pPr>
              <w:pStyle w:val="null3"/>
              <w:jc w:val="both"/>
            </w:pPr>
            <w:r>
              <w:rPr>
                <w:rFonts w:ascii="仿宋_GB2312" w:hAnsi="仿宋_GB2312" w:cs="仿宋_GB2312" w:eastAsia="仿宋_GB2312"/>
                <w:sz w:val="24"/>
              </w:rPr>
              <w:t>（二）我院服务器，电脑都是安装的国产系统银河麒麟</w:t>
            </w:r>
            <w:r>
              <w:rPr>
                <w:rFonts w:ascii="仿宋_GB2312" w:hAnsi="仿宋_GB2312" w:cs="仿宋_GB2312" w:eastAsia="仿宋_GB2312"/>
                <w:sz w:val="24"/>
              </w:rPr>
              <w:t>V10，要求安全设备必须支持银河麒麟V10系统，同时支持windows7、windows10系统。</w:t>
            </w:r>
          </w:p>
          <w:p>
            <w:pPr>
              <w:pStyle w:val="null3"/>
              <w:jc w:val="both"/>
              <w:outlineLvl w:val="0"/>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商务要求</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交货期及地点：</w:t>
            </w:r>
          </w:p>
          <w:p>
            <w:pPr>
              <w:pStyle w:val="null3"/>
              <w:jc w:val="both"/>
            </w:pPr>
            <w:r>
              <w:rPr>
                <w:rFonts w:ascii="仿宋_GB2312" w:hAnsi="仿宋_GB2312" w:cs="仿宋_GB2312" w:eastAsia="仿宋_GB2312"/>
                <w:sz w:val="24"/>
              </w:rPr>
              <w:t>1、 交货期：</w:t>
            </w:r>
            <w:r>
              <w:rPr>
                <w:rFonts w:ascii="仿宋_GB2312" w:hAnsi="仿宋_GB2312" w:cs="仿宋_GB2312" w:eastAsia="仿宋_GB2312"/>
                <w:sz w:val="24"/>
              </w:rPr>
              <w:t>合同签订后</w:t>
            </w:r>
            <w:r>
              <w:rPr>
                <w:rFonts w:ascii="仿宋_GB2312" w:hAnsi="仿宋_GB2312" w:cs="仿宋_GB2312" w:eastAsia="仿宋_GB2312"/>
                <w:sz w:val="24"/>
              </w:rPr>
              <w:t>15</w:t>
            </w:r>
            <w:r>
              <w:rPr>
                <w:rFonts w:ascii="仿宋_GB2312" w:hAnsi="仿宋_GB2312" w:cs="仿宋_GB2312" w:eastAsia="仿宋_GB2312"/>
                <w:sz w:val="24"/>
              </w:rPr>
              <w:t>天内安装调试完毕</w:t>
            </w:r>
          </w:p>
          <w:p>
            <w:pPr>
              <w:pStyle w:val="null3"/>
              <w:jc w:val="both"/>
            </w:pPr>
            <w:r>
              <w:rPr>
                <w:rFonts w:ascii="仿宋_GB2312" w:hAnsi="仿宋_GB2312" w:cs="仿宋_GB2312" w:eastAsia="仿宋_GB2312"/>
                <w:sz w:val="24"/>
              </w:rPr>
              <w:t>2、 交货地点：</w:t>
            </w:r>
            <w:r>
              <w:rPr>
                <w:rFonts w:ascii="仿宋_GB2312" w:hAnsi="仿宋_GB2312" w:cs="仿宋_GB2312" w:eastAsia="仿宋_GB2312"/>
                <w:sz w:val="24"/>
              </w:rPr>
              <w:t>富平县、</w:t>
            </w:r>
            <w:r>
              <w:rPr>
                <w:rFonts w:ascii="仿宋_GB2312" w:hAnsi="仿宋_GB2312" w:cs="仿宋_GB2312" w:eastAsia="仿宋_GB2312"/>
                <w:sz w:val="24"/>
              </w:rPr>
              <w:t>采购人指定地点</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包装、运输、安装、调试及培训要求：</w:t>
            </w:r>
          </w:p>
          <w:p>
            <w:pPr>
              <w:pStyle w:val="null3"/>
              <w:jc w:val="both"/>
            </w:pPr>
            <w:r>
              <w:rPr>
                <w:rFonts w:ascii="仿宋_GB2312" w:hAnsi="仿宋_GB2312" w:cs="仿宋_GB2312" w:eastAsia="仿宋_GB2312"/>
                <w:sz w:val="24"/>
              </w:rPr>
              <w:t>1、包装：应采取防潮、防晒、防腐蚀、防震动及防止其它损坏的必要措施。中标单位应承担由于其包装或防护措施不妥而引起的货物锈蚀、损坏和丢失等任何损失造成的责任或费用。</w:t>
            </w:r>
          </w:p>
          <w:p>
            <w:pPr>
              <w:pStyle w:val="null3"/>
              <w:jc w:val="both"/>
            </w:pPr>
            <w:r>
              <w:rPr>
                <w:rFonts w:ascii="仿宋_GB2312" w:hAnsi="仿宋_GB2312" w:cs="仿宋_GB2312" w:eastAsia="仿宋_GB2312"/>
                <w:sz w:val="24"/>
              </w:rPr>
              <w:t>2、运输：</w:t>
            </w:r>
            <w:r>
              <w:rPr>
                <w:rFonts w:ascii="仿宋_GB2312" w:hAnsi="仿宋_GB2312" w:cs="仿宋_GB2312" w:eastAsia="仿宋_GB2312"/>
                <w:sz w:val="24"/>
              </w:rPr>
              <w:t>选择运输风险小、运费低、距离短的运输路线。运杂费一次包死在总价内，包括生产厂到现场所需的装卸、运输（含保险费）、现场保管费、二次倒运费、吊装费等费用。</w:t>
            </w:r>
          </w:p>
          <w:p>
            <w:pPr>
              <w:pStyle w:val="null3"/>
              <w:jc w:val="both"/>
            </w:pPr>
            <w:r>
              <w:rPr>
                <w:rFonts w:ascii="仿宋_GB2312" w:hAnsi="仿宋_GB2312" w:cs="仿宋_GB2312" w:eastAsia="仿宋_GB2312"/>
                <w:sz w:val="24"/>
              </w:rPr>
              <w:t>3、安装、调试及培训：中标单位负责所有设备的安装、调试、培训工作，所有</w:t>
            </w:r>
            <w:r>
              <w:rPr>
                <w:rFonts w:ascii="仿宋_GB2312" w:hAnsi="仿宋_GB2312" w:cs="仿宋_GB2312" w:eastAsia="仿宋_GB2312"/>
                <w:sz w:val="24"/>
              </w:rPr>
              <w:t>费用一次包死在总价内。</w:t>
            </w:r>
            <w:r>
              <w:rPr>
                <w:rFonts w:ascii="仿宋_GB2312" w:hAnsi="仿宋_GB2312" w:cs="仿宋_GB2312" w:eastAsia="仿宋_GB2312"/>
                <w:sz w:val="24"/>
              </w:rPr>
              <w:t>设备安装调试完毕后，中标单位必须安排技术人员对使用单位的设备管理人员进行操作应用及维护保养方面的技能培训</w:t>
            </w:r>
            <w:r>
              <w:rPr>
                <w:rFonts w:ascii="仿宋_GB2312" w:hAnsi="仿宋_GB2312" w:cs="仿宋_GB2312" w:eastAsia="仿宋_GB2312"/>
                <w:sz w:val="24"/>
              </w:rPr>
              <w:t>，使其掌握基本技能。</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付款方式：</w:t>
            </w:r>
          </w:p>
          <w:p>
            <w:pPr>
              <w:pStyle w:val="null3"/>
              <w:jc w:val="both"/>
            </w:pPr>
            <w:r>
              <w:rPr>
                <w:rFonts w:ascii="仿宋_GB2312" w:hAnsi="仿宋_GB2312" w:cs="仿宋_GB2312" w:eastAsia="仿宋_GB2312"/>
                <w:sz w:val="24"/>
              </w:rPr>
              <w:t>合同签订后，待设备安装调试完毕，经终验合格后</w:t>
            </w:r>
            <w:r>
              <w:rPr>
                <w:rFonts w:ascii="仿宋_GB2312" w:hAnsi="仿宋_GB2312" w:cs="仿宋_GB2312" w:eastAsia="仿宋_GB2312"/>
                <w:sz w:val="24"/>
              </w:rPr>
              <w:t>60天内一次付清合同款项。</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验收</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1、项目验收</w:t>
            </w:r>
          </w:p>
          <w:p>
            <w:pPr>
              <w:pStyle w:val="null3"/>
              <w:jc w:val="both"/>
            </w:pPr>
            <w:r>
              <w:rPr>
                <w:rFonts w:ascii="仿宋_GB2312" w:hAnsi="仿宋_GB2312" w:cs="仿宋_GB2312" w:eastAsia="仿宋_GB2312"/>
                <w:sz w:val="24"/>
              </w:rPr>
              <w:t>初验：货物到达交货地点后，由使用单位根据合同对货物（设备）的名称、品牌、规格、型号、产地、数量进行检查，所有货物</w:t>
            </w:r>
            <w:r>
              <w:rPr>
                <w:rFonts w:ascii="仿宋_GB2312" w:hAnsi="仿宋_GB2312" w:cs="仿宋_GB2312" w:eastAsia="仿宋_GB2312"/>
                <w:sz w:val="24"/>
              </w:rPr>
              <w:t>(设备)安装、调试完毕，可以正常使用；由采购方进行终验（最终验收），合格后签发《终验合格单》。</w:t>
            </w:r>
            <w:r>
              <w:rPr>
                <w:rFonts w:ascii="仿宋_GB2312" w:hAnsi="仿宋_GB2312" w:cs="仿宋_GB2312" w:eastAsia="仿宋_GB2312"/>
                <w:sz w:val="24"/>
              </w:rPr>
              <w:t>2、验收不合格的</w:t>
            </w:r>
            <w:r>
              <w:rPr>
                <w:rFonts w:ascii="仿宋_GB2312" w:hAnsi="仿宋_GB2312" w:cs="仿宋_GB2312" w:eastAsia="仿宋_GB2312"/>
                <w:sz w:val="24"/>
              </w:rPr>
              <w:t>货物</w:t>
            </w:r>
            <w:r>
              <w:rPr>
                <w:rFonts w:ascii="仿宋_GB2312" w:hAnsi="仿宋_GB2312" w:cs="仿宋_GB2312" w:eastAsia="仿宋_GB2312"/>
                <w:sz w:val="24"/>
              </w:rPr>
              <w:t>，必须在接到通知后</w:t>
            </w:r>
            <w:r>
              <w:rPr>
                <w:rFonts w:ascii="仿宋_GB2312" w:hAnsi="仿宋_GB2312" w:cs="仿宋_GB2312" w:eastAsia="仿宋_GB2312"/>
                <w:sz w:val="24"/>
              </w:rPr>
              <w:t>7个日历日内确保货物通过验收。如接到通知后7个日历日内验收仍不合格，采购方可提出索赔或取消其供货合同。</w:t>
            </w:r>
          </w:p>
          <w:p>
            <w:pPr>
              <w:pStyle w:val="null3"/>
              <w:jc w:val="both"/>
            </w:pPr>
            <w:r>
              <w:rPr>
                <w:rFonts w:ascii="仿宋_GB2312" w:hAnsi="仿宋_GB2312" w:cs="仿宋_GB2312" w:eastAsia="仿宋_GB2312"/>
                <w:sz w:val="24"/>
              </w:rPr>
              <w:t>3、验收依据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1）合同文本及合同补充文件（条款）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2）产品的合法来源渠道证明文件、响应功能证明材料；</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3）招标文件；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4）中标单位的投标文件；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5）货物清单；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6）生产厂家的企业资质、货物的执行标准。</w:t>
            </w:r>
          </w:p>
          <w:p>
            <w:pPr>
              <w:pStyle w:val="null3"/>
              <w:jc w:val="both"/>
            </w:pPr>
            <w:r>
              <w:rPr>
                <w:rFonts w:ascii="仿宋_GB2312" w:hAnsi="仿宋_GB2312" w:cs="仿宋_GB2312" w:eastAsia="仿宋_GB2312"/>
                <w:sz w:val="24"/>
              </w:rPr>
              <w:t>4、验收所产生的费用由中标单位支付。</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五</w:t>
            </w:r>
            <w:r>
              <w:rPr>
                <w:rFonts w:ascii="仿宋_GB2312" w:hAnsi="仿宋_GB2312" w:cs="仿宋_GB2312" w:eastAsia="仿宋_GB2312"/>
                <w:sz w:val="24"/>
                <w:b/>
              </w:rPr>
              <w:t>）</w:t>
            </w:r>
            <w:r>
              <w:rPr>
                <w:rFonts w:ascii="仿宋_GB2312" w:hAnsi="仿宋_GB2312" w:cs="仿宋_GB2312" w:eastAsia="仿宋_GB2312"/>
                <w:sz w:val="24"/>
                <w:b/>
              </w:rPr>
              <w:t>质量保证</w:t>
            </w:r>
          </w:p>
          <w:p>
            <w:pPr>
              <w:pStyle w:val="null3"/>
              <w:jc w:val="both"/>
            </w:pPr>
            <w:r>
              <w:rPr>
                <w:rFonts w:ascii="仿宋_GB2312" w:hAnsi="仿宋_GB2312" w:cs="仿宋_GB2312" w:eastAsia="仿宋_GB2312"/>
                <w:sz w:val="24"/>
                <w:b/>
              </w:rPr>
              <w:t>1、质保期为</w:t>
            </w:r>
            <w:r>
              <w:rPr>
                <w:rFonts w:ascii="仿宋_GB2312" w:hAnsi="仿宋_GB2312" w:cs="仿宋_GB2312" w:eastAsia="仿宋_GB2312"/>
                <w:sz w:val="24"/>
                <w:b/>
              </w:rPr>
              <w:t>：</w:t>
            </w:r>
            <w:r>
              <w:rPr>
                <w:rFonts w:ascii="仿宋_GB2312" w:hAnsi="仿宋_GB2312" w:cs="仿宋_GB2312" w:eastAsia="仿宋_GB2312"/>
                <w:sz w:val="24"/>
                <w:b/>
              </w:rPr>
              <w:t>终验合格后</w:t>
            </w:r>
            <w:r>
              <w:rPr>
                <w:rFonts w:ascii="仿宋_GB2312" w:hAnsi="仿宋_GB2312" w:cs="仿宋_GB2312" w:eastAsia="仿宋_GB2312"/>
                <w:sz w:val="24"/>
                <w:b/>
                <w:u w:val="single"/>
              </w:rPr>
              <w:t>3年</w:t>
            </w:r>
            <w:r>
              <w:rPr>
                <w:rFonts w:ascii="仿宋_GB2312" w:hAnsi="仿宋_GB2312" w:cs="仿宋_GB2312" w:eastAsia="仿宋_GB2312"/>
                <w:sz w:val="24"/>
                <w:b/>
              </w:rPr>
              <w:t>，</w:t>
            </w:r>
            <w:r>
              <w:rPr>
                <w:rFonts w:ascii="仿宋_GB2312" w:hAnsi="仿宋_GB2312" w:cs="仿宋_GB2312" w:eastAsia="仿宋_GB2312"/>
                <w:sz w:val="24"/>
              </w:rPr>
              <w:t>中标单位承诺的质保时间超过招标文件要求的，按其承诺时间质保。</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招标文件</w:t>
            </w:r>
            <w:r>
              <w:rPr>
                <w:rFonts w:ascii="仿宋_GB2312" w:hAnsi="仿宋_GB2312" w:cs="仿宋_GB2312" w:eastAsia="仿宋_GB2312"/>
                <w:sz w:val="24"/>
              </w:rPr>
              <w:t>采购内容及技术要求</w:t>
            </w:r>
            <w:r>
              <w:rPr>
                <w:rFonts w:ascii="仿宋_GB2312" w:hAnsi="仿宋_GB2312" w:cs="仿宋_GB2312" w:eastAsia="仿宋_GB2312"/>
                <w:sz w:val="24"/>
              </w:rPr>
              <w:t>中有单独要求升级、维保等服务的按照招标文件要求执行。</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、中标单位承诺的质保期起始时间为终验合格之日。</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、所有产品质量必须符合</w:t>
            </w:r>
            <w:r>
              <w:rPr>
                <w:rFonts w:ascii="仿宋_GB2312" w:hAnsi="仿宋_GB2312" w:cs="仿宋_GB2312" w:eastAsia="仿宋_GB2312"/>
                <w:sz w:val="24"/>
              </w:rPr>
              <w:t>国家</w:t>
            </w:r>
            <w:r>
              <w:rPr>
                <w:rFonts w:ascii="仿宋_GB2312" w:hAnsi="仿宋_GB2312" w:cs="仿宋_GB2312" w:eastAsia="仿宋_GB2312"/>
                <w:sz w:val="24"/>
              </w:rPr>
              <w:t>有关规范和相关政策。所有设备及辅材必须是未使用过的新产品，质量优良、渠道正当，配置合理。</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、质保期出现的质量问题由中标单位负责解决并承担所有费用。质保期后如需更换零部件，中标单位应以优惠价提供。</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六</w:t>
            </w:r>
            <w:r>
              <w:rPr>
                <w:rFonts w:ascii="仿宋_GB2312" w:hAnsi="仿宋_GB2312" w:cs="仿宋_GB2312" w:eastAsia="仿宋_GB2312"/>
                <w:sz w:val="24"/>
                <w:b/>
              </w:rPr>
              <w:t>）</w:t>
            </w:r>
            <w:r>
              <w:rPr>
                <w:rFonts w:ascii="仿宋_GB2312" w:hAnsi="仿宋_GB2312" w:cs="仿宋_GB2312" w:eastAsia="仿宋_GB2312"/>
                <w:sz w:val="24"/>
                <w:b/>
              </w:rPr>
              <w:t>合同实施：</w:t>
            </w:r>
          </w:p>
          <w:p>
            <w:pPr>
              <w:pStyle w:val="null3"/>
              <w:jc w:val="both"/>
            </w:pPr>
            <w:r>
              <w:rPr>
                <w:rFonts w:ascii="仿宋_GB2312" w:hAnsi="仿宋_GB2312" w:cs="仿宋_GB2312" w:eastAsia="仿宋_GB2312"/>
                <w:sz w:val="24"/>
              </w:rPr>
              <w:t xml:space="preserve">1 </w:t>
            </w:r>
            <w:r>
              <w:rPr>
                <w:rFonts w:ascii="仿宋_GB2312" w:hAnsi="仿宋_GB2312" w:cs="仿宋_GB2312" w:eastAsia="仿宋_GB2312"/>
                <w:sz w:val="24"/>
              </w:rPr>
              <w:t>、中标单位应在合同签订后</w:t>
            </w:r>
            <w:r>
              <w:rPr>
                <w:rFonts w:ascii="仿宋_GB2312" w:hAnsi="仿宋_GB2312" w:cs="仿宋_GB2312" w:eastAsia="仿宋_GB2312"/>
                <w:sz w:val="24"/>
              </w:rPr>
              <w:t>7个日历日内安排人员（项目组成人员简历表所列）与</w:t>
            </w:r>
            <w:r>
              <w:rPr>
                <w:rFonts w:ascii="仿宋_GB2312" w:hAnsi="仿宋_GB2312" w:cs="仿宋_GB2312" w:eastAsia="仿宋_GB2312"/>
                <w:sz w:val="24"/>
              </w:rPr>
              <w:t>采购人</w:t>
            </w:r>
            <w:r>
              <w:rPr>
                <w:rFonts w:ascii="仿宋_GB2312" w:hAnsi="仿宋_GB2312" w:cs="仿宋_GB2312" w:eastAsia="仿宋_GB2312"/>
                <w:sz w:val="24"/>
              </w:rPr>
              <w:t>就送货、安装、调试、培训等工作进行安排、部署。</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、若未能在交货期内完成合同规定的义务，由此对采购方造成的延误和一切损失，由中标单位承担和赔偿。</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七</w:t>
            </w:r>
            <w:r>
              <w:rPr>
                <w:rFonts w:ascii="仿宋_GB2312" w:hAnsi="仿宋_GB2312" w:cs="仿宋_GB2312" w:eastAsia="仿宋_GB2312"/>
                <w:sz w:val="24"/>
                <w:b/>
              </w:rPr>
              <w:t>）</w:t>
            </w:r>
            <w:r>
              <w:rPr>
                <w:rFonts w:ascii="仿宋_GB2312" w:hAnsi="仿宋_GB2312" w:cs="仿宋_GB2312" w:eastAsia="仿宋_GB2312"/>
                <w:sz w:val="24"/>
                <w:b/>
              </w:rPr>
              <w:t>违约责任：</w:t>
            </w:r>
          </w:p>
          <w:p>
            <w:pPr>
              <w:pStyle w:val="null3"/>
              <w:jc w:val="both"/>
            </w:pPr>
            <w:r>
              <w:rPr>
                <w:rFonts w:ascii="仿宋_GB2312" w:hAnsi="仿宋_GB2312" w:cs="仿宋_GB2312" w:eastAsia="仿宋_GB2312"/>
                <w:sz w:val="24"/>
              </w:rPr>
              <w:t>1、按《中华人民共和国民法典》中的相关条款执行</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乙方未能按期履行合同或乙方未按合同要求提供设备或设备质量不能满足甲方要求，甲方有权单方面解除合同，乙方除应返还甲方已支付的款项外，还应承担本合同总金额20%的违约金，违约金不足以弥补损失的，乙方应予补足；</w:t>
            </w:r>
          </w:p>
          <w:p>
            <w:pPr>
              <w:pStyle w:val="null3"/>
              <w:jc w:val="both"/>
            </w:pPr>
            <w:r>
              <w:rPr>
                <w:rFonts w:ascii="仿宋_GB2312" w:hAnsi="仿宋_GB2312" w:cs="仿宋_GB2312" w:eastAsia="仿宋_GB2312"/>
                <w:sz w:val="24"/>
              </w:rPr>
              <w:t>3、交货期每逾期一天，乙方应向甲方支付合同总价款的5‰违约金。逾期超过15日的，甲方有单方面解除本合同，乙方除退还甲方已支付全部费用外还应按照合同总价的20%向甲方支付违约金。违约金不足以弥补损失的，乙方应予以补足。</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未按合同要求提供产品或设备质量不能满足技术要求，采购方有权终止合同，并对</w:t>
            </w:r>
            <w:r>
              <w:rPr>
                <w:rFonts w:ascii="仿宋_GB2312" w:hAnsi="仿宋_GB2312" w:cs="仿宋_GB2312" w:eastAsia="仿宋_GB2312"/>
                <w:sz w:val="24"/>
              </w:rPr>
              <w:t>中标单位</w:t>
            </w:r>
            <w:r>
              <w:rPr>
                <w:rFonts w:ascii="仿宋_GB2312" w:hAnsi="仿宋_GB2312" w:cs="仿宋_GB2312" w:eastAsia="仿宋_GB2312"/>
                <w:sz w:val="24"/>
              </w:rPr>
              <w:t>违约行为进行追究，同时按《政府采购法》的有关规定进行处罚。</w:t>
            </w:r>
          </w:p>
          <w:p>
            <w:pPr>
              <w:pStyle w:val="null3"/>
              <w:jc w:val="both"/>
            </w:pPr>
            <w:r>
              <w:rPr>
                <w:rFonts w:ascii="仿宋_GB2312" w:hAnsi="仿宋_GB2312" w:cs="仿宋_GB2312" w:eastAsia="仿宋_GB2312"/>
                <w:sz w:val="24"/>
                <w:b/>
              </w:rPr>
              <w:t>注：商务要求为实质性要求，不得负偏离。</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合同签订后15天内安装调试完毕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富平县，采购人指定地点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合同签订后，待设备安装调试完毕，经终验合格后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初验：货物到达交货地点后，由使用单位根据合同对货物（设备）的名称、品牌、规格、型号、产地、数量进行检查，所有货物(设备)安装、调试完毕，可以正常使用；由采购方进行终验（最终验收），合格后签发《终验合格单》。 2、验收不合格的货物，必须在接到通知后7个日历日内确保货物通过验收。如接到通知后7个日历日内验收仍不合格，采购方可提出索赔或取消其供货合同。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独立承担民事责任的能力</w:t>
            </w:r>
          </w:p>
        </w:tc>
        <w:tc>
          <w:tcPr>
            <w:tcW w:type="dxa" w:w="3322"/>
          </w:tcPr>
          <w:p>
            <w:pPr>
              <w:pStyle w:val="null3"/>
            </w:pPr>
            <w:r>
              <w:rPr>
                <w:rFonts w:ascii="仿宋_GB2312" w:hAnsi="仿宋_GB2312" w:cs="仿宋_GB2312" w:eastAsia="仿宋_GB2312"/>
              </w:rPr>
              <w:t>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良好的商业信誉和健全的财务会计制度</w:t>
            </w:r>
          </w:p>
        </w:tc>
        <w:tc>
          <w:tcPr>
            <w:tcW w:type="dxa" w:w="3322"/>
          </w:tcPr>
          <w:p>
            <w:pPr>
              <w:pStyle w:val="null3"/>
            </w:pPr>
            <w:r>
              <w:rPr>
                <w:rFonts w:ascii="仿宋_GB2312" w:hAnsi="仿宋_GB2312" w:cs="仿宋_GB2312" w:eastAsia="仿宋_GB2312"/>
              </w:rPr>
              <w:t>良好的商业信誉和健全的财务会计制度：供应商提供2024年度经审计的财务报告或在投标截止时间前六个月（2025年2月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有依法缴纳税收和社会保障资金的良好记录：供应商提供投标截止时间前六个月（2025年2月至今）内任意时段的缴纳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书面声明：①参加政府采购活动前三年内，在经营活动中没有重大违法记录的书面声明；②提供具有履行本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法律、行政法规规定的其他条件：法定代表人直接参加投标的，须提供法定代表人身份证明；法定代表人授权代表参加投标的，须提供法定代表人授权委托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供应商企业关系关联及联合体说明：本项目不接受联合体投标，单位负责人为同一人或者存在直接控股、管理关系的不同供应商，不得参加同一合同项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开标一览表.docx 开标一览表 投标分项报价表.docx 投标函 投标函.docx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投标文件语言及有效期是否符合招标文件要求。</w:t>
            </w:r>
          </w:p>
        </w:tc>
        <w:tc>
          <w:tcPr>
            <w:tcW w:type="dxa" w:w="1661"/>
          </w:tcPr>
          <w:p>
            <w:pPr>
              <w:pStyle w:val="null3"/>
            </w:pPr>
            <w:r>
              <w:rPr>
                <w:rFonts w:ascii="仿宋_GB2312" w:hAnsi="仿宋_GB2312" w:cs="仿宋_GB2312" w:eastAsia="仿宋_GB2312"/>
              </w:rPr>
              <w:t>开标一览表.docx 开标一览表 投标方案.docx 中小企业声明函 商务条款响应偏离表.docx 资格证明文件.docx 技术规格响应偏离表.docx 投标分项报价表.docx 投标函 投标函.docx 残疾人福利性单位声明函 拒绝政府采购领域商业贿赂承诺书.docx 标的清单 投标文件封面 供应商认为有必要补充说明的事宜.docx 监狱企业的证明文件 货物说明一览表.docx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供应商名称是否与购买招标文件的单位名称一致</w:t>
            </w:r>
          </w:p>
        </w:tc>
        <w:tc>
          <w:tcPr>
            <w:tcW w:type="dxa" w:w="1661"/>
          </w:tcPr>
          <w:p>
            <w:pPr>
              <w:pStyle w:val="null3"/>
            </w:pPr>
            <w:r>
              <w:rPr>
                <w:rFonts w:ascii="仿宋_GB2312" w:hAnsi="仿宋_GB2312" w:cs="仿宋_GB2312" w:eastAsia="仿宋_GB2312"/>
              </w:rPr>
              <w:t>开标一览表.docx 开标一览表 投标方案.docx 中小企业声明函 商务条款响应偏离表.docx 资格证明文件.docx 技术规格响应偏离表.docx 投标分项报价表.docx 投标函 投标函.docx 残疾人福利性单位声明函 拒绝政府采购领域商业贿赂承诺书.docx 标的清单 投标文件封面 供应商认为有必要补充说明的事宜.docx 监狱企业的证明文件 货物说明一览表.docx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是否符合招标文件签字、盖章要求</w:t>
            </w:r>
          </w:p>
        </w:tc>
        <w:tc>
          <w:tcPr>
            <w:tcW w:type="dxa" w:w="1661"/>
          </w:tcPr>
          <w:p>
            <w:pPr>
              <w:pStyle w:val="null3"/>
            </w:pPr>
            <w:r>
              <w:rPr>
                <w:rFonts w:ascii="仿宋_GB2312" w:hAnsi="仿宋_GB2312" w:cs="仿宋_GB2312" w:eastAsia="仿宋_GB2312"/>
              </w:rPr>
              <w:t>开标一览表.docx 开标一览表 投标方案.docx 中小企业声明函 商务条款响应偏离表.docx 资格证明文件.docx 技术规格响应偏离表.docx 投标分项报价表.docx 投标函 投标函.docx 残疾人福利性单位声明函 拒绝政府采购领域商业贿赂承诺书.docx 标的清单 投标文件封面 供应商认为有必要补充说明的事宜.docx 监狱企业的证明文件 货物说明一览表.docx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（1）投标报价是否符合唯一性要求： （2）开标一览表填写是否符合要求； （3）计量单位、报价货币是否均符合招标文件要求；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开标一览表.docx 开标一览表 投标方案.docx 中小企业声明函 商务条款响应偏离表.docx 资格证明文件.docx 技术规格响应偏离表.docx 投标分项报价表.docx 投标函 投标函.docx 残疾人福利性单位声明函 拒绝政府采购领域商业贿赂承诺书.docx 标的清单 投标文件封面 供应商认为有必要补充说明的事宜.docx 监狱企业的证明文件 货物说明一览表.docx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保证金缴纳凭证</w:t>
            </w:r>
          </w:p>
        </w:tc>
        <w:tc>
          <w:tcPr>
            <w:tcW w:type="dxa" w:w="3322"/>
          </w:tcPr>
          <w:p>
            <w:pPr>
              <w:pStyle w:val="null3"/>
            </w:pPr>
            <w:r>
              <w:rPr>
                <w:rFonts w:ascii="仿宋_GB2312" w:hAnsi="仿宋_GB2312" w:cs="仿宋_GB2312" w:eastAsia="仿宋_GB2312"/>
              </w:rPr>
              <w:t>提供保证金转账凭证或担保机构出具的保函是否符合招标文件要求</w:t>
            </w:r>
          </w:p>
        </w:tc>
        <w:tc>
          <w:tcPr>
            <w:tcW w:type="dxa" w:w="1661"/>
          </w:tcPr>
          <w:p>
            <w:pPr>
              <w:pStyle w:val="null3"/>
            </w:pPr>
            <w:r>
              <w:rPr>
                <w:rFonts w:ascii="仿宋_GB2312" w:hAnsi="仿宋_GB2312" w:cs="仿宋_GB2312" w:eastAsia="仿宋_GB2312"/>
              </w:rPr>
              <w:t>开标一览表.docx 开标一览表 投标方案.docx 中小企业声明函 商务条款响应偏离表.docx 资格证明文件.docx 技术规格响应偏离表.docx 投标分项报价表.docx 投标函 投标函.docx 残疾人福利性单位声明函 拒绝政府采购领域商业贿赂承诺书.docx 标的清单 投标文件封面 供应商认为有必要补充说明的事宜.docx 监狱企业的证明文件 货物说明一览表.docx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完全理解并接受法律法规和招标文件对投标人的各项须知、规约要求和责任义务，没有出现法律法规或招标文件明确规定的其他被视为“无效投标”的情形。</w:t>
            </w:r>
          </w:p>
        </w:tc>
        <w:tc>
          <w:tcPr>
            <w:tcW w:type="dxa" w:w="1661"/>
          </w:tcPr>
          <w:p>
            <w:pPr>
              <w:pStyle w:val="null3"/>
            </w:pPr>
            <w:r>
              <w:rPr>
                <w:rFonts w:ascii="仿宋_GB2312" w:hAnsi="仿宋_GB2312" w:cs="仿宋_GB2312" w:eastAsia="仿宋_GB2312"/>
              </w:rPr>
              <w:t>开标一览表.docx 开标一览表 投标方案.docx 中小企业声明函 商务条款响应偏离表.docx 资格证明文件.docx 技术规格响应偏离表.docx 投标分项报价表.docx 投标函 投标函.docx 残疾人福利性单位声明函 拒绝政府采购领域商业贿赂承诺书.docx 标的清单 投标文件封面 供应商认为有必要补充说明的事宜.docx 监狱企业的证明文件 货物说明一览表.docx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技术参数明确配置齐全、功能满足招标文件要求，对产品逐项进行明确响应，其中：技术指标响应全部满足得基础分25分，▲项每出现一项负偏离扣1.5分，未标▲项需逐项应答，每有1项不满足扣0.5分，扣完为止； 备注：▲项证明材料明确提供对应证明材料形式的，按要求提供证明材料，未明确提供证明材料形式的，其证明材料包括不限于：第三方检测报告、原厂证明、功能截图、官方宣传材料等。</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技术规格响应偏离表.docx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货物来源渠道证明</w:t>
            </w:r>
          </w:p>
        </w:tc>
        <w:tc>
          <w:tcPr>
            <w:tcW w:type="dxa" w:w="2492"/>
          </w:tcPr>
          <w:p>
            <w:pPr>
              <w:pStyle w:val="null3"/>
            </w:pPr>
            <w:r>
              <w:rPr>
                <w:rFonts w:ascii="仿宋_GB2312" w:hAnsi="仿宋_GB2312" w:cs="仿宋_GB2312" w:eastAsia="仿宋_GB2312"/>
              </w:rPr>
              <w:t>产品进货渠道正常，软件及硬件产品须提供拟投产品来源渠道合法的证明文件（包括但不限于销售协议、代理协议、原厂授权等），所提供的产品来源渠道证明文件齐全完整，每提供一个产品完整的来源渠道证明文件得1分，未提供或提供不完整不得分，满分2分。供应商若为生产厂家本项得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1.拟派安全服务人员为原厂工程师并具备信息安全工程师中级证书的得1分（须提供社保），未提供或提供不全不得分。 2.供应商或制造厂商具备 CS-CMMI云安全能力成熟度模型集成评估(五级）、中国信息安全测评中心颁发的信息安全服务资质证书(安全工程类三级）以上资质证书，每提供一项得1分，满分2分。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质量保证方案和措施</w:t>
            </w:r>
          </w:p>
        </w:tc>
        <w:tc>
          <w:tcPr>
            <w:tcW w:type="dxa" w:w="2492"/>
          </w:tcPr>
          <w:p>
            <w:pPr>
              <w:pStyle w:val="null3"/>
            </w:pPr>
            <w:r>
              <w:rPr>
                <w:rFonts w:ascii="仿宋_GB2312" w:hAnsi="仿宋_GB2312" w:cs="仿宋_GB2312" w:eastAsia="仿宋_GB2312"/>
              </w:rPr>
              <w:t>一、评审内容 供应商提供针对本项目的质量保证方案和措施，内容包括但不限于①质量管理措施、②质量控制方案、③质量管理体系方案、④产品质量保证措施、⑤安装、调试质量保证措施。 二、评审标准 1.可实施性：切合本项目实际情况，提出步骤清晰、满足需求的方案和措施。 2.针对性：方案和措施能够紧扣项目实际情况，内容科学合理。 三、赋分标准（满分10分） ①质量管理措施：每完全满足一个评审标准得1分，满分2分。 ②质量控制方案：每完全满足一个评审标准得1分，满分2分。 ③质量管理体系方案：每完全满足一个评审标准得1分，满分2分。 ④产品质量保证措施：每完全满足一个评审标准得1分，满分2分。 ⑤安装、调试质量保证措施：每完全满足一个评审标准得1分，满分2分。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供应商提供针对本项目的实施方案，内容包括但不限于①产品运输方案、②实施节点把控方案、③安装调试验收等。 二、评审标准 1.完整性：方案必须全面，对评审内容中的各项要求有详细描述； 2.可实施性：切合本项目实际情况，提出步骤清晰、满足需求的方案。 3.针对性：方案能够紧扣项目实际情况，内容科学合理。 三、赋分标准（满分9分） ①产品运输方案：每完全满足一个评审标准得1分，满分3分。 ②实施节点把控方案：每完全满足一个评审标准得1分，满分3分。 ③安装调试验收等：每完全满足一个评审标准得1分，满分3分。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人员配置及责任制度</w:t>
            </w:r>
          </w:p>
        </w:tc>
        <w:tc>
          <w:tcPr>
            <w:tcW w:type="dxa" w:w="2492"/>
          </w:tcPr>
          <w:p>
            <w:pPr>
              <w:pStyle w:val="null3"/>
            </w:pPr>
            <w:r>
              <w:rPr>
                <w:rFonts w:ascii="仿宋_GB2312" w:hAnsi="仿宋_GB2312" w:cs="仿宋_GB2312" w:eastAsia="仿宋_GB2312"/>
              </w:rPr>
              <w:t>针对该项目人员配备齐全（例如运输、安装调试、培训、售后等人员）、专业性强、责任制度清晰、岗位职责明确，计1-3分；内容不够具体、专业性差、责任制度不够清晰、岗位职责不够明确，计0-1分；内容未进行阐述的，则此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供应商提供针对本项目的售后服务方案，内容包括但不限于①售后服务内容、②售后服务机构信息、③售后应急响应方案等。 二、评审标准 1.可实施性：切合本项目实际情况，提出步骤清晰、满足需求的方案和措施。 2.针对性：方案和措施能够紧扣项目实际情况，内容科学合理。 三、赋分标准（满分6分） ①售后服务内容：每完全满足一个评审标准得1分，满分2分。 ②售后服务机构信息：每完全满足一个评审标准得1分，满分2分。 ③售后应急响应方案等：每完全满足一个评审标准得1分，满分2分。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供应商提供针对本项目的技术培训方案，内容包括但不限于①日常使用操作、保养与管理、常见故障的排除，保证最终用户能够熟练操作、②紧急情况的处理方案。 二、评审标准 1.完整性：方案必须全面，对评审内容中的各项要求有详细描述； 2.可实施性：切合本项目实际情况，方案规范、可行性强。 3.针对性：方案能够紧扣项目实际情况，内容科学合理。 三、赋分标准（满分6分） ①日常使用操作、保养与管理、常见故障的排除，保证最终用户能够熟练操作：每完全满足一个评审标准得1分，满分3分。 ②紧急情况的处理方案：每完全满足一个评审标准得1分，满分3分。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供应商需提供2022年1月至今类似项目业绩（以合同签订日期为准，供应商所提供合同必须有签订日期），每提供一个计2分，满分6分。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满足招标文件要求且评审报价最低的报价为评标基准价，其价格分为满分。其他供应商的价格分统一按照下列公式计算： 投标报价得分=（评标基准价/投标报价）×价格权值。 符合招标文件规定的小微企业、监狱企业、残疾人福利企业优惠条件的供应商，价格给予10%的扣除，用扣除后的价格参与评审。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开标一览表.docx</w:t>
            </w:r>
          </w:p>
          <w:p>
            <w:pPr>
              <w:pStyle w:val="null3"/>
            </w:pPr>
            <w:r>
              <w:rPr>
                <w:rFonts w:ascii="仿宋_GB2312" w:hAnsi="仿宋_GB2312" w:cs="仿宋_GB2312" w:eastAsia="仿宋_GB2312"/>
              </w:rPr>
              <w:t>投标分项报价表.docx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开标一览表.docx 投标分项报价表.docx 开标一览表 投标函.docx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详见附件：投标函.docx</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详见附件：货物说明一览表.docx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详见附件：供应商认为有必要补充说明的事宜.docx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