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E64B9">
      <w:pPr>
        <w:pageBreakBefore w:val="0"/>
        <w:wordWrap/>
        <w:topLinePunct w:val="0"/>
        <w:bidi w:val="0"/>
        <w:spacing w:line="360" w:lineRule="auto"/>
        <w:jc w:val="center"/>
        <w:rPr>
          <w:rFonts w:hint="eastAsia" w:ascii="宋体" w:hAnsi="宋体" w:cs="宋体"/>
          <w:b/>
          <w:bCs/>
          <w:sz w:val="32"/>
          <w:szCs w:val="32"/>
          <w:highlight w:val="none"/>
          <w:lang w:val="en-US" w:eastAsia="zh-CN"/>
        </w:rPr>
      </w:pPr>
      <w:bookmarkStart w:id="0" w:name="_Toc20230"/>
      <w:bookmarkStart w:id="1" w:name="_Toc8333"/>
      <w:bookmarkStart w:id="2" w:name="_Toc389582037"/>
      <w:bookmarkStart w:id="3" w:name="_Toc426457696"/>
      <w:bookmarkStart w:id="4" w:name="_Toc19246"/>
      <w:bookmarkStart w:id="5" w:name="_Toc31683"/>
      <w:bookmarkStart w:id="6" w:name="_Toc8954"/>
      <w:bookmarkStart w:id="7" w:name="_Toc29888"/>
      <w:bookmarkStart w:id="8" w:name="_Toc19199"/>
      <w:bookmarkStart w:id="9" w:name="_Toc9053"/>
      <w:bookmarkStart w:id="10" w:name="_Toc26595"/>
      <w:bookmarkStart w:id="11" w:name="_Toc31520"/>
      <w:r>
        <w:rPr>
          <w:rFonts w:hint="eastAsia" w:ascii="宋体" w:hAnsi="宋体" w:cs="宋体"/>
          <w:b/>
          <w:bCs/>
          <w:sz w:val="32"/>
          <w:szCs w:val="32"/>
          <w:highlight w:val="none"/>
          <w:lang w:val="en-US" w:eastAsia="zh-CN"/>
        </w:rPr>
        <w:t>拟签订合同条款及格式</w:t>
      </w:r>
    </w:p>
    <w:p w14:paraId="442C315D">
      <w:pPr>
        <w:pageBreakBefore w:val="0"/>
        <w:wordWrap/>
        <w:topLinePunct w:val="0"/>
        <w:bidi w:val="0"/>
        <w:spacing w:line="360" w:lineRule="auto"/>
        <w:jc w:val="center"/>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val="en-US" w:eastAsia="zh-CN"/>
        </w:rPr>
        <w:t>（以下合同为参考格式，最终以签订合同为准）</w:t>
      </w:r>
    </w:p>
    <w:p w14:paraId="68057A1F">
      <w:pPr>
        <w:pageBreakBefore w:val="0"/>
        <w:wordWrap/>
        <w:topLinePunct w:val="0"/>
        <w:bidi w:val="0"/>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                            </w:t>
      </w:r>
      <w:bookmarkStart w:id="12" w:name="_GoBack"/>
      <w:bookmarkEnd w:id="12"/>
      <w:r>
        <w:rPr>
          <w:rFonts w:hint="eastAsia" w:ascii="宋体" w:hAnsi="宋体" w:eastAsia="宋体" w:cs="宋体"/>
          <w:sz w:val="28"/>
          <w:szCs w:val="28"/>
          <w:highlight w:val="none"/>
        </w:rPr>
        <w:t xml:space="preserve">合同编号：         </w:t>
      </w:r>
    </w:p>
    <w:p w14:paraId="35E42DC4">
      <w:pPr>
        <w:pageBreakBefore w:val="0"/>
        <w:wordWrap/>
        <w:topLinePunct w:val="0"/>
        <w:bidi w:val="0"/>
        <w:spacing w:line="360" w:lineRule="auto"/>
        <w:rPr>
          <w:rFonts w:hint="eastAsia" w:ascii="宋体" w:hAnsi="宋体" w:eastAsia="宋体" w:cs="宋体"/>
          <w:highlight w:val="none"/>
        </w:rPr>
      </w:pPr>
    </w:p>
    <w:p w14:paraId="73E4AD40">
      <w:pPr>
        <w:pageBreakBefore w:val="0"/>
        <w:wordWrap/>
        <w:topLinePunct w:val="0"/>
        <w:bidi w:val="0"/>
        <w:spacing w:after="120" w:line="360" w:lineRule="auto"/>
        <w:jc w:val="center"/>
        <w:rPr>
          <w:rFonts w:hint="eastAsia" w:ascii="宋体" w:hAnsi="宋体" w:eastAsia="宋体" w:cs="宋体"/>
          <w:b/>
          <w:bCs/>
          <w:sz w:val="44"/>
          <w:szCs w:val="44"/>
          <w:highlight w:val="none"/>
          <w:u w:val="none"/>
        </w:rPr>
      </w:pPr>
      <w:r>
        <w:rPr>
          <w:rFonts w:hint="eastAsia" w:ascii="宋体" w:hAnsi="宋体" w:cs="宋体"/>
          <w:b/>
          <w:bCs/>
          <w:sz w:val="44"/>
          <w:szCs w:val="44"/>
          <w:highlight w:val="none"/>
          <w:u w:val="none"/>
          <w:lang w:eastAsia="zh-CN"/>
        </w:rPr>
        <w:t>富平县人民法院2025年中省政法转移支付自定装备采购项目</w:t>
      </w:r>
    </w:p>
    <w:p w14:paraId="1AD3A4EC">
      <w:pPr>
        <w:pStyle w:val="3"/>
        <w:rPr>
          <w:rFonts w:hint="eastAsia" w:ascii="宋体" w:hAnsi="宋体" w:eastAsia="宋体" w:cs="宋体"/>
          <w:highlight w:val="none"/>
        </w:rPr>
      </w:pPr>
    </w:p>
    <w:p w14:paraId="60C20B8C">
      <w:pPr>
        <w:pageBreakBefore w:val="0"/>
        <w:wordWrap/>
        <w:topLinePunct w:val="0"/>
        <w:bidi w:val="0"/>
        <w:spacing w:line="360" w:lineRule="auto"/>
        <w:jc w:val="center"/>
        <w:rPr>
          <w:rFonts w:hint="eastAsia" w:ascii="宋体" w:hAnsi="宋体" w:eastAsia="宋体" w:cs="宋体"/>
          <w:b/>
          <w:sz w:val="44"/>
          <w:szCs w:val="44"/>
          <w:highlight w:val="none"/>
        </w:rPr>
      </w:pPr>
    </w:p>
    <w:p w14:paraId="3E038114">
      <w:pPr>
        <w:pageBreakBefore w:val="0"/>
        <w:wordWrap/>
        <w:topLinePunct w:val="0"/>
        <w:bidi w:val="0"/>
        <w:spacing w:line="360" w:lineRule="auto"/>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供 货 合 同</w:t>
      </w:r>
    </w:p>
    <w:p w14:paraId="3337D097">
      <w:pPr>
        <w:pageBreakBefore w:val="0"/>
        <w:wordWrap/>
        <w:topLinePunct w:val="0"/>
        <w:bidi w:val="0"/>
        <w:spacing w:line="360" w:lineRule="auto"/>
        <w:jc w:val="center"/>
        <w:rPr>
          <w:rFonts w:hint="eastAsia" w:ascii="宋体" w:hAnsi="宋体" w:eastAsia="宋体" w:cs="宋体"/>
          <w:sz w:val="32"/>
          <w:szCs w:val="32"/>
          <w:highlight w:val="none"/>
        </w:rPr>
      </w:pPr>
    </w:p>
    <w:p w14:paraId="29CB4512">
      <w:pPr>
        <w:rPr>
          <w:rFonts w:hint="eastAsia" w:ascii="宋体" w:hAnsi="宋体" w:eastAsia="宋体" w:cs="宋体"/>
          <w:sz w:val="28"/>
          <w:szCs w:val="28"/>
          <w:highlight w:val="none"/>
        </w:rPr>
      </w:pPr>
    </w:p>
    <w:p w14:paraId="3D80CD16">
      <w:pPr>
        <w:pStyle w:val="3"/>
        <w:rPr>
          <w:rFonts w:hint="eastAsia" w:ascii="宋体" w:hAnsi="宋体" w:eastAsia="宋体" w:cs="宋体"/>
          <w:sz w:val="28"/>
          <w:szCs w:val="28"/>
          <w:highlight w:val="none"/>
        </w:rPr>
      </w:pPr>
    </w:p>
    <w:p w14:paraId="583C7CC2">
      <w:pPr>
        <w:rPr>
          <w:rFonts w:hint="eastAsia" w:ascii="宋体" w:hAnsi="宋体" w:eastAsia="宋体" w:cs="宋体"/>
          <w:highlight w:val="none"/>
        </w:rPr>
      </w:pPr>
    </w:p>
    <w:p w14:paraId="60727CE6">
      <w:pPr>
        <w:pageBreakBefore w:val="0"/>
        <w:wordWrap/>
        <w:topLinePunct w:val="0"/>
        <w:bidi w:val="0"/>
        <w:spacing w:line="360" w:lineRule="auto"/>
        <w:rPr>
          <w:rFonts w:hint="eastAsia" w:ascii="宋体" w:hAnsi="宋体" w:eastAsia="宋体" w:cs="宋体"/>
          <w:szCs w:val="24"/>
          <w:highlight w:val="none"/>
        </w:rPr>
      </w:pPr>
    </w:p>
    <w:p w14:paraId="53EA44BA">
      <w:pPr>
        <w:pageBreakBefore w:val="0"/>
        <w:wordWrap/>
        <w:topLinePunct w:val="0"/>
        <w:bidi w:val="0"/>
        <w:spacing w:line="360" w:lineRule="auto"/>
        <w:rPr>
          <w:rFonts w:hint="eastAsia" w:ascii="宋体" w:hAnsi="宋体" w:eastAsia="宋体" w:cs="宋体"/>
          <w:b/>
          <w:szCs w:val="24"/>
          <w:highlight w:val="none"/>
        </w:rPr>
      </w:pPr>
    </w:p>
    <w:p w14:paraId="19545F04">
      <w:pPr>
        <w:pageBreakBefore w:val="0"/>
        <w:wordWrap/>
        <w:topLinePunct w:val="0"/>
        <w:bidi w:val="0"/>
        <w:spacing w:line="360" w:lineRule="auto"/>
        <w:jc w:val="center"/>
        <w:rPr>
          <w:rFonts w:hint="eastAsia" w:ascii="宋体" w:hAnsi="宋体" w:eastAsia="宋体" w:cs="宋体"/>
          <w:b/>
          <w:color w:val="000000"/>
          <w:szCs w:val="24"/>
          <w:highlight w:val="none"/>
        </w:rPr>
      </w:pPr>
    </w:p>
    <w:p w14:paraId="1BABEF55">
      <w:pPr>
        <w:pageBreakBefore w:val="0"/>
        <w:wordWrap/>
        <w:topLinePunct w:val="0"/>
        <w:bidi w:val="0"/>
        <w:spacing w:line="360" w:lineRule="auto"/>
        <w:ind w:firstLine="964" w:firstLineChars="400"/>
        <w:rPr>
          <w:rFonts w:hint="eastAsia" w:ascii="宋体" w:hAnsi="宋体" w:eastAsia="宋体" w:cs="宋体"/>
          <w:b/>
          <w:color w:val="000000"/>
          <w:szCs w:val="24"/>
          <w:highlight w:val="none"/>
          <w:lang w:eastAsia="zh-CN"/>
        </w:rPr>
      </w:pPr>
      <w:r>
        <w:rPr>
          <w:rFonts w:hint="eastAsia" w:ascii="宋体" w:hAnsi="宋体" w:eastAsia="宋体" w:cs="宋体"/>
          <w:b/>
          <w:color w:val="000000"/>
          <w:szCs w:val="24"/>
          <w:highlight w:val="none"/>
        </w:rPr>
        <w:t>甲  方：</w:t>
      </w:r>
      <w:r>
        <w:rPr>
          <w:rFonts w:hint="eastAsia" w:ascii="宋体" w:hAnsi="宋体" w:eastAsia="宋体" w:cs="宋体"/>
          <w:b/>
          <w:color w:val="000000"/>
          <w:szCs w:val="24"/>
          <w:highlight w:val="none"/>
          <w:lang w:val="en-US" w:eastAsia="zh-CN"/>
        </w:rPr>
        <w:t xml:space="preserve"> </w:t>
      </w:r>
    </w:p>
    <w:p w14:paraId="1240BEC0">
      <w:pPr>
        <w:pageBreakBefore w:val="0"/>
        <w:wordWrap/>
        <w:topLinePunct w:val="0"/>
        <w:bidi w:val="0"/>
        <w:spacing w:line="360" w:lineRule="auto"/>
        <w:ind w:firstLine="964" w:firstLineChars="400"/>
        <w:rPr>
          <w:rFonts w:hint="eastAsia" w:ascii="宋体" w:hAnsi="宋体" w:eastAsia="宋体" w:cs="宋体"/>
          <w:b/>
          <w:color w:val="000000"/>
          <w:szCs w:val="24"/>
          <w:highlight w:val="none"/>
        </w:rPr>
      </w:pPr>
    </w:p>
    <w:p w14:paraId="340F7A3A">
      <w:pPr>
        <w:pageBreakBefore w:val="0"/>
        <w:wordWrap/>
        <w:topLinePunct w:val="0"/>
        <w:bidi w:val="0"/>
        <w:spacing w:line="360" w:lineRule="auto"/>
        <w:ind w:firstLine="964" w:firstLineChars="400"/>
        <w:rPr>
          <w:rFonts w:hint="eastAsia" w:ascii="宋体" w:hAnsi="宋体" w:eastAsia="宋体" w:cs="宋体"/>
          <w:b/>
          <w:color w:val="000000"/>
          <w:szCs w:val="24"/>
          <w:highlight w:val="none"/>
          <w:lang w:eastAsia="zh-CN"/>
        </w:rPr>
      </w:pPr>
      <w:r>
        <w:rPr>
          <w:rFonts w:hint="eastAsia" w:ascii="宋体" w:hAnsi="宋体" w:eastAsia="宋体" w:cs="宋体"/>
          <w:b/>
          <w:color w:val="000000"/>
          <w:szCs w:val="24"/>
          <w:highlight w:val="none"/>
        </w:rPr>
        <w:t>乙  方：</w:t>
      </w:r>
      <w:r>
        <w:rPr>
          <w:rFonts w:hint="eastAsia" w:ascii="宋体" w:hAnsi="宋体" w:eastAsia="宋体" w:cs="宋体"/>
          <w:b/>
          <w:color w:val="000000"/>
          <w:szCs w:val="24"/>
          <w:highlight w:val="none"/>
          <w:lang w:val="en-US" w:eastAsia="zh-CN"/>
        </w:rPr>
        <w:t xml:space="preserve"> </w:t>
      </w:r>
    </w:p>
    <w:p w14:paraId="5F469A13">
      <w:pPr>
        <w:pageBreakBefore w:val="0"/>
        <w:wordWrap/>
        <w:topLinePunct w:val="0"/>
        <w:bidi w:val="0"/>
        <w:spacing w:line="360" w:lineRule="auto"/>
        <w:rPr>
          <w:rFonts w:hint="eastAsia" w:ascii="宋体" w:hAnsi="宋体" w:eastAsia="宋体" w:cs="宋体"/>
          <w:szCs w:val="24"/>
          <w:highlight w:val="none"/>
        </w:rPr>
      </w:pPr>
    </w:p>
    <w:p w14:paraId="567E6B77">
      <w:pPr>
        <w:pStyle w:val="6"/>
        <w:rPr>
          <w:rFonts w:hint="eastAsia" w:ascii="宋体" w:hAnsi="宋体" w:eastAsia="宋体" w:cs="宋体"/>
          <w:szCs w:val="24"/>
          <w:highlight w:val="none"/>
          <w:lang w:eastAsia="zh-CN"/>
        </w:rPr>
      </w:pPr>
    </w:p>
    <w:p w14:paraId="1298BCE6">
      <w:pPr>
        <w:pStyle w:val="6"/>
        <w:rPr>
          <w:rFonts w:hint="eastAsia" w:ascii="宋体" w:hAnsi="宋体" w:eastAsia="宋体" w:cs="宋体"/>
          <w:szCs w:val="24"/>
          <w:highlight w:val="none"/>
          <w:lang w:eastAsia="zh-CN"/>
        </w:rPr>
      </w:pPr>
    </w:p>
    <w:p w14:paraId="01ADBC92">
      <w:pPr>
        <w:pStyle w:val="6"/>
        <w:rPr>
          <w:rFonts w:hint="eastAsia" w:ascii="宋体" w:hAnsi="宋体" w:eastAsia="宋体" w:cs="宋体"/>
          <w:szCs w:val="24"/>
          <w:highlight w:val="none"/>
          <w:lang w:eastAsia="zh-CN"/>
        </w:rPr>
      </w:pPr>
    </w:p>
    <w:p w14:paraId="1A729D16">
      <w:pPr>
        <w:pStyle w:val="6"/>
        <w:rPr>
          <w:rFonts w:hint="eastAsia" w:ascii="宋体" w:hAnsi="宋体" w:eastAsia="宋体" w:cs="宋体"/>
          <w:sz w:val="28"/>
          <w:szCs w:val="28"/>
          <w:highlight w:val="none"/>
          <w:lang w:eastAsia="zh-CN"/>
        </w:rPr>
      </w:pPr>
    </w:p>
    <w:p w14:paraId="5C35A970">
      <w:pPr>
        <w:pageBreakBefore w:val="0"/>
        <w:wordWrap/>
        <w:topLinePunct w:val="0"/>
        <w:bidi w:val="0"/>
        <w:spacing w:line="360" w:lineRule="auto"/>
        <w:jc w:val="center"/>
        <w:rPr>
          <w:rFonts w:hint="eastAsia" w:ascii="宋体" w:hAnsi="宋体" w:eastAsia="宋体" w:cs="宋体"/>
          <w:b/>
          <w:sz w:val="28"/>
          <w:szCs w:val="28"/>
          <w:highlight w:val="none"/>
        </w:rPr>
      </w:pPr>
      <w:r>
        <w:rPr>
          <w:rFonts w:hint="eastAsia" w:ascii="宋体" w:hAnsi="宋体" w:eastAsia="宋体" w:cs="宋体"/>
          <w:sz w:val="28"/>
          <w:szCs w:val="28"/>
          <w:highlight w:val="none"/>
        </w:rPr>
        <w:t>二〇二</w:t>
      </w:r>
      <w:r>
        <w:rPr>
          <w:rFonts w:hint="eastAsia" w:ascii="宋体" w:hAnsi="宋体" w:cs="宋体"/>
          <w:sz w:val="28"/>
          <w:szCs w:val="28"/>
          <w:highlight w:val="none"/>
          <w:lang w:val="en-US" w:eastAsia="zh-CN"/>
        </w:rPr>
        <w:t>五</w:t>
      </w:r>
      <w:r>
        <w:rPr>
          <w:rFonts w:hint="eastAsia" w:ascii="宋体" w:hAnsi="宋体" w:eastAsia="宋体" w:cs="宋体"/>
          <w:sz w:val="28"/>
          <w:szCs w:val="28"/>
          <w:highlight w:val="none"/>
        </w:rPr>
        <w:t>年</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月</w:t>
      </w:r>
    </w:p>
    <w:p w14:paraId="4B2B3022">
      <w:pPr>
        <w:pageBreakBefore w:val="0"/>
        <w:wordWrap/>
        <w:topLinePunct w:val="0"/>
        <w:bidi w:val="0"/>
        <w:spacing w:line="360" w:lineRule="auto"/>
        <w:rPr>
          <w:rFonts w:hint="eastAsia" w:ascii="宋体" w:hAnsi="宋体" w:eastAsia="宋体" w:cs="宋体"/>
          <w:b/>
          <w:sz w:val="32"/>
          <w:szCs w:val="32"/>
          <w:highlight w:val="none"/>
        </w:rPr>
      </w:pPr>
      <w:r>
        <w:rPr>
          <w:rFonts w:hint="eastAsia" w:ascii="宋体" w:hAnsi="宋体" w:eastAsia="宋体" w:cs="宋体"/>
          <w:b/>
          <w:sz w:val="32"/>
          <w:szCs w:val="32"/>
          <w:highlight w:val="none"/>
        </w:rPr>
        <w:br w:type="page"/>
      </w:r>
    </w:p>
    <w:p w14:paraId="1F978A31">
      <w:pPr>
        <w:pageBreakBefore w:val="0"/>
        <w:wordWrap/>
        <w:topLinePunct w:val="0"/>
        <w:bidi w:val="0"/>
        <w:spacing w:line="360" w:lineRule="auto"/>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供 货 合 同</w:t>
      </w:r>
    </w:p>
    <w:p w14:paraId="76B2DA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color w:val="333333"/>
          <w:sz w:val="24"/>
          <w:szCs w:val="24"/>
          <w:highlight w:val="none"/>
          <w:lang w:eastAsia="zh-CN"/>
        </w:rPr>
        <w:t>富平县人民法院2025年中省政法转移支付自定装备采购项目</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富平县财政局</w:t>
      </w:r>
      <w:r>
        <w:rPr>
          <w:rFonts w:hint="eastAsia" w:ascii="宋体" w:hAnsi="宋体" w:eastAsia="宋体" w:cs="宋体"/>
          <w:sz w:val="24"/>
          <w:szCs w:val="24"/>
          <w:highlight w:val="none"/>
        </w:rPr>
        <w:t>监督下，由</w:t>
      </w:r>
      <w:r>
        <w:rPr>
          <w:rFonts w:hint="eastAsia" w:ascii="宋体" w:hAnsi="宋体" w:cs="宋体"/>
          <w:sz w:val="24"/>
          <w:szCs w:val="24"/>
          <w:highlight w:val="none"/>
          <w:lang w:val="en-US" w:eastAsia="zh-CN"/>
        </w:rPr>
        <w:t>陕西晶鸣瑞项目管理有限公司</w:t>
      </w:r>
      <w:r>
        <w:rPr>
          <w:rFonts w:hint="eastAsia" w:ascii="宋体" w:hAnsi="宋体" w:eastAsia="宋体" w:cs="宋体"/>
          <w:sz w:val="24"/>
          <w:szCs w:val="24"/>
          <w:highlight w:val="none"/>
        </w:rPr>
        <w:t>组织公开招标，选定为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的中标单位。经甲、乙双方共同协商，达成如下合同条款。</w:t>
      </w:r>
    </w:p>
    <w:p w14:paraId="353AB95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14:paraId="05B309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45221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2、招标文件、乙方的投标文件及评标过程中的澄清、承诺内容均作为本合同的组成部分，具有同等法律效力。</w:t>
      </w:r>
    </w:p>
    <w:p w14:paraId="27DD15B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二、合同价款及质保期</w:t>
      </w:r>
    </w:p>
    <w:p w14:paraId="2F0892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rPr>
      </w:pPr>
      <w:r>
        <w:rPr>
          <w:rFonts w:hint="eastAsia" w:ascii="宋体" w:hAnsi="宋体" w:eastAsia="宋体" w:cs="宋体"/>
          <w:highlight w:val="none"/>
        </w:rPr>
        <w:t>1、中标产品品牌、规格、产地、数量、单价及合同总价：     单位：元</w:t>
      </w:r>
    </w:p>
    <w:tbl>
      <w:tblPr>
        <w:tblStyle w:val="7"/>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14:paraId="06234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1A73A98B">
            <w:pPr>
              <w:pageBreakBefore w:val="0"/>
              <w:wordWrap/>
              <w:topLinePunct w:val="0"/>
              <w:bidi w:val="0"/>
              <w:spacing w:line="360" w:lineRule="auto"/>
              <w:jc w:val="center"/>
              <w:rPr>
                <w:rFonts w:hint="eastAsia" w:ascii="宋体" w:hAnsi="宋体" w:eastAsia="宋体" w:cs="宋体"/>
                <w:highlight w:val="none"/>
                <w:lang w:eastAsia="zh-CN"/>
              </w:rPr>
            </w:pPr>
            <w:r>
              <w:rPr>
                <w:rFonts w:hint="eastAsia" w:ascii="宋体" w:hAnsi="宋体" w:eastAsia="宋体" w:cs="宋体"/>
                <w:highlight w:val="none"/>
              </w:rPr>
              <w:t>设备</w:t>
            </w:r>
            <w:r>
              <w:rPr>
                <w:rFonts w:hint="eastAsia" w:ascii="宋体" w:hAnsi="宋体" w:eastAsia="宋体" w:cs="宋体"/>
                <w:highlight w:val="none"/>
                <w:lang w:val="en-US" w:eastAsia="zh-CN"/>
              </w:rPr>
              <w:t>名称</w:t>
            </w: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66987AA7">
            <w:pPr>
              <w:pageBreakBefore w:val="0"/>
              <w:wordWrap/>
              <w:topLinePunct w:val="0"/>
              <w:bidi w:val="0"/>
              <w:spacing w:line="360" w:lineRule="auto"/>
              <w:jc w:val="center"/>
              <w:rPr>
                <w:rFonts w:hint="eastAsia" w:ascii="宋体" w:hAnsi="宋体" w:eastAsia="宋体" w:cs="宋体"/>
                <w:highlight w:val="none"/>
              </w:rPr>
            </w:pPr>
            <w:r>
              <w:rPr>
                <w:rFonts w:hint="eastAsia" w:ascii="宋体" w:hAnsi="宋体" w:eastAsia="宋体" w:cs="宋体"/>
                <w:highlight w:val="none"/>
                <w:lang w:val="en-US" w:eastAsia="zh-CN"/>
              </w:rPr>
              <w:t>设备品牌</w:t>
            </w:r>
          </w:p>
        </w:tc>
        <w:tc>
          <w:tcPr>
            <w:tcW w:w="1035" w:type="dxa"/>
            <w:tcBorders>
              <w:top w:val="single" w:color="auto" w:sz="4" w:space="0"/>
              <w:left w:val="single" w:color="auto" w:sz="4" w:space="0"/>
              <w:bottom w:val="single" w:color="auto" w:sz="4" w:space="0"/>
              <w:right w:val="single" w:color="auto" w:sz="4" w:space="0"/>
            </w:tcBorders>
            <w:noWrap/>
            <w:vAlign w:val="center"/>
          </w:tcPr>
          <w:p w14:paraId="16E25A0F">
            <w:pPr>
              <w:pageBreakBefore w:val="0"/>
              <w:wordWrap/>
              <w:topLinePunct w:val="0"/>
              <w:bidi w:val="0"/>
              <w:spacing w:line="360" w:lineRule="auto"/>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制造商</w:t>
            </w:r>
          </w:p>
        </w:tc>
        <w:tc>
          <w:tcPr>
            <w:tcW w:w="1235" w:type="dxa"/>
            <w:tcBorders>
              <w:top w:val="single" w:color="auto" w:sz="4" w:space="0"/>
              <w:left w:val="single" w:color="auto" w:sz="4" w:space="0"/>
              <w:bottom w:val="single" w:color="auto" w:sz="4" w:space="0"/>
              <w:right w:val="single" w:color="auto" w:sz="4" w:space="0"/>
            </w:tcBorders>
            <w:noWrap/>
            <w:vAlign w:val="center"/>
          </w:tcPr>
          <w:p w14:paraId="551022E2">
            <w:pPr>
              <w:pageBreakBefore w:val="0"/>
              <w:wordWrap/>
              <w:topLinePunct w:val="0"/>
              <w:bidi w:val="0"/>
              <w:spacing w:line="360" w:lineRule="auto"/>
              <w:jc w:val="left"/>
              <w:rPr>
                <w:rFonts w:hint="eastAsia" w:ascii="宋体" w:hAnsi="宋体" w:eastAsia="宋体" w:cs="宋体"/>
                <w:highlight w:val="none"/>
                <w:lang w:val="en-US" w:eastAsia="zh-CN"/>
              </w:rPr>
            </w:pPr>
            <w:r>
              <w:rPr>
                <w:rFonts w:hint="eastAsia" w:ascii="宋体" w:hAnsi="宋体" w:eastAsia="宋体" w:cs="宋体"/>
                <w:highlight w:val="none"/>
              </w:rPr>
              <w:t>规格型</w:t>
            </w:r>
            <w:r>
              <w:rPr>
                <w:rFonts w:hint="eastAsia" w:ascii="宋体" w:hAnsi="宋体" w:eastAsia="宋体" w:cs="宋体"/>
                <w:highlight w:val="none"/>
                <w:lang w:val="en-US" w:eastAsia="zh-CN"/>
              </w:rPr>
              <w:t>号</w:t>
            </w:r>
          </w:p>
        </w:tc>
        <w:tc>
          <w:tcPr>
            <w:tcW w:w="730" w:type="dxa"/>
            <w:tcBorders>
              <w:top w:val="single" w:color="auto" w:sz="4" w:space="0"/>
              <w:left w:val="single" w:color="auto" w:sz="4" w:space="0"/>
              <w:bottom w:val="single" w:color="auto" w:sz="4" w:space="0"/>
              <w:right w:val="single" w:color="auto" w:sz="4" w:space="0"/>
            </w:tcBorders>
            <w:noWrap/>
            <w:vAlign w:val="center"/>
          </w:tcPr>
          <w:p w14:paraId="07C19977">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单位</w:t>
            </w:r>
          </w:p>
        </w:tc>
        <w:tc>
          <w:tcPr>
            <w:tcW w:w="855" w:type="dxa"/>
            <w:tcBorders>
              <w:top w:val="single" w:color="auto" w:sz="4" w:space="0"/>
              <w:left w:val="single" w:color="auto" w:sz="4" w:space="0"/>
              <w:bottom w:val="single" w:color="auto" w:sz="4" w:space="0"/>
              <w:right w:val="single" w:color="auto" w:sz="4" w:space="0"/>
            </w:tcBorders>
            <w:noWrap/>
            <w:vAlign w:val="center"/>
          </w:tcPr>
          <w:p w14:paraId="3DA45823">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数量</w:t>
            </w:r>
          </w:p>
        </w:tc>
        <w:tc>
          <w:tcPr>
            <w:tcW w:w="637" w:type="dxa"/>
            <w:tcBorders>
              <w:top w:val="single" w:color="auto" w:sz="4" w:space="0"/>
              <w:left w:val="single" w:color="auto" w:sz="4" w:space="0"/>
              <w:bottom w:val="single" w:color="auto" w:sz="4" w:space="0"/>
              <w:right w:val="single" w:color="auto" w:sz="4" w:space="0"/>
            </w:tcBorders>
            <w:noWrap/>
            <w:vAlign w:val="center"/>
          </w:tcPr>
          <w:p w14:paraId="01090D59">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单价</w:t>
            </w:r>
          </w:p>
        </w:tc>
        <w:tc>
          <w:tcPr>
            <w:tcW w:w="848" w:type="dxa"/>
            <w:tcBorders>
              <w:top w:val="single" w:color="auto" w:sz="4" w:space="0"/>
              <w:left w:val="single" w:color="auto" w:sz="4" w:space="0"/>
              <w:bottom w:val="single" w:color="auto" w:sz="4" w:space="0"/>
              <w:right w:val="single" w:color="auto" w:sz="4" w:space="0"/>
            </w:tcBorders>
            <w:noWrap/>
            <w:vAlign w:val="center"/>
          </w:tcPr>
          <w:p w14:paraId="58E9A1CB">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合计</w:t>
            </w:r>
          </w:p>
        </w:tc>
        <w:tc>
          <w:tcPr>
            <w:tcW w:w="845" w:type="dxa"/>
            <w:tcBorders>
              <w:top w:val="single" w:color="auto" w:sz="4" w:space="0"/>
              <w:left w:val="single" w:color="auto" w:sz="4" w:space="0"/>
              <w:bottom w:val="single" w:color="auto" w:sz="4" w:space="0"/>
              <w:right w:val="single" w:color="auto" w:sz="4" w:space="0"/>
            </w:tcBorders>
            <w:noWrap/>
            <w:vAlign w:val="center"/>
          </w:tcPr>
          <w:p w14:paraId="30ECE971">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质保期</w:t>
            </w:r>
          </w:p>
        </w:tc>
      </w:tr>
      <w:tr w14:paraId="6FA3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746523E5">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238CF5EC">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2BE10144">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0231A9C6">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739054B7">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0547E96C">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5690576B">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00C17151">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2C1CAB66">
            <w:pPr>
              <w:pageBreakBefore w:val="0"/>
              <w:wordWrap/>
              <w:topLinePunct w:val="0"/>
              <w:bidi w:val="0"/>
              <w:spacing w:line="360" w:lineRule="auto"/>
              <w:rPr>
                <w:rFonts w:hint="eastAsia" w:ascii="宋体" w:hAnsi="宋体" w:eastAsia="宋体" w:cs="宋体"/>
                <w:highlight w:val="none"/>
              </w:rPr>
            </w:pPr>
          </w:p>
        </w:tc>
      </w:tr>
      <w:tr w14:paraId="603A9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5F9817F9">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6BB197B4">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4E875CEF">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05543990">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1994751A">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0D85B7F8">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604B1495">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389E638B">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21BC052E">
            <w:pPr>
              <w:pageBreakBefore w:val="0"/>
              <w:wordWrap/>
              <w:topLinePunct w:val="0"/>
              <w:bidi w:val="0"/>
              <w:spacing w:line="360" w:lineRule="auto"/>
              <w:rPr>
                <w:rFonts w:hint="eastAsia" w:ascii="宋体" w:hAnsi="宋体" w:eastAsia="宋体" w:cs="宋体"/>
                <w:highlight w:val="none"/>
              </w:rPr>
            </w:pPr>
          </w:p>
        </w:tc>
      </w:tr>
      <w:tr w14:paraId="17A2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3AFC6BF1">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66FAA6FA">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52E22757">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51023412">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6EBDDCED">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70607FFE">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45A399B5">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50126D09">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28E4DF7E">
            <w:pPr>
              <w:pageBreakBefore w:val="0"/>
              <w:wordWrap/>
              <w:topLinePunct w:val="0"/>
              <w:bidi w:val="0"/>
              <w:spacing w:line="360" w:lineRule="auto"/>
              <w:rPr>
                <w:rFonts w:hint="eastAsia" w:ascii="宋体" w:hAnsi="宋体" w:eastAsia="宋体" w:cs="宋体"/>
                <w:highlight w:val="none"/>
              </w:rPr>
            </w:pPr>
          </w:p>
        </w:tc>
      </w:tr>
      <w:tr w14:paraId="3A76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3602785B">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0851F49D">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50549765">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0EFA4AD7">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52D4E4BA">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77576D4B">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2233843D">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085F8D83">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1C99391A">
            <w:pPr>
              <w:pageBreakBefore w:val="0"/>
              <w:wordWrap/>
              <w:topLinePunct w:val="0"/>
              <w:bidi w:val="0"/>
              <w:spacing w:line="360" w:lineRule="auto"/>
              <w:rPr>
                <w:rFonts w:hint="eastAsia" w:ascii="宋体" w:hAnsi="宋体" w:eastAsia="宋体" w:cs="宋体"/>
                <w:highlight w:val="none"/>
              </w:rPr>
            </w:pPr>
          </w:p>
        </w:tc>
      </w:tr>
      <w:tr w14:paraId="1FB0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ign w:val="center"/>
          </w:tcPr>
          <w:p w14:paraId="558A0FF3">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ign w:val="center"/>
          </w:tcPr>
          <w:p w14:paraId="28199628">
            <w:pPr>
              <w:pageBreakBefore w:val="0"/>
              <w:wordWrap/>
              <w:topLinePunct w:val="0"/>
              <w:bidi w:val="0"/>
              <w:spacing w:line="360" w:lineRule="auto"/>
              <w:jc w:val="left"/>
              <w:rPr>
                <w:rFonts w:hint="eastAsia" w:ascii="宋体" w:hAnsi="宋体" w:eastAsia="宋体" w:cs="宋体"/>
                <w:highlight w:val="none"/>
              </w:rPr>
            </w:pPr>
            <w:r>
              <w:rPr>
                <w:rFonts w:hint="eastAsia" w:ascii="宋体" w:hAnsi="宋体" w:eastAsia="宋体" w:cs="宋体"/>
                <w:highlight w:val="none"/>
              </w:rPr>
              <w:t xml:space="preserve">大写：                              </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小写</w:t>
            </w:r>
            <w:r>
              <w:rPr>
                <w:rFonts w:hint="eastAsia" w:ascii="宋体" w:hAnsi="宋体" w:eastAsia="宋体" w:cs="宋体"/>
                <w:highlight w:val="none"/>
                <w:lang w:eastAsia="zh-CN"/>
              </w:rPr>
              <w:t>：</w:t>
            </w:r>
            <w:r>
              <w:rPr>
                <w:rFonts w:hint="eastAsia" w:ascii="宋体" w:hAnsi="宋体" w:eastAsia="宋体" w:cs="宋体"/>
                <w:highlight w:val="none"/>
              </w:rPr>
              <w:t xml:space="preserve">¥                   </w:t>
            </w:r>
          </w:p>
        </w:tc>
        <w:tc>
          <w:tcPr>
            <w:tcW w:w="845" w:type="dxa"/>
            <w:tcBorders>
              <w:top w:val="single" w:color="auto" w:sz="4" w:space="0"/>
              <w:left w:val="single" w:color="auto" w:sz="4" w:space="0"/>
              <w:bottom w:val="single" w:color="auto" w:sz="4" w:space="0"/>
              <w:right w:val="single" w:color="auto" w:sz="4" w:space="0"/>
            </w:tcBorders>
            <w:noWrap/>
            <w:vAlign w:val="center"/>
          </w:tcPr>
          <w:p w14:paraId="7A25BDB6">
            <w:pPr>
              <w:pageBreakBefore w:val="0"/>
              <w:wordWrap/>
              <w:topLinePunct w:val="0"/>
              <w:bidi w:val="0"/>
              <w:spacing w:line="360" w:lineRule="auto"/>
              <w:rPr>
                <w:rFonts w:hint="eastAsia" w:ascii="宋体" w:hAnsi="宋体" w:eastAsia="宋体" w:cs="宋体"/>
                <w:highlight w:val="none"/>
              </w:rPr>
            </w:pPr>
          </w:p>
        </w:tc>
      </w:tr>
    </w:tbl>
    <w:p w14:paraId="5651AA05">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w:t>
      </w:r>
      <w:r>
        <w:rPr>
          <w:rFonts w:hint="eastAsia" w:ascii="宋体" w:hAnsi="宋体" w:eastAsia="宋体" w:cs="宋体"/>
          <w:color w:val="auto"/>
          <w:kern w:val="2"/>
          <w:sz w:val="24"/>
          <w:szCs w:val="24"/>
          <w:highlight w:val="none"/>
        </w:rPr>
        <w:t>设备</w:t>
      </w:r>
      <w:r>
        <w:rPr>
          <w:rFonts w:hint="eastAsia" w:ascii="宋体" w:hAnsi="宋体" w:eastAsia="宋体" w:cs="宋体"/>
          <w:color w:val="auto"/>
          <w:kern w:val="2"/>
          <w:sz w:val="24"/>
          <w:szCs w:val="24"/>
          <w:highlight w:val="none"/>
          <w:lang w:val="en-US" w:eastAsia="zh-CN"/>
        </w:rPr>
        <w:t>及物料</w:t>
      </w:r>
      <w:r>
        <w:rPr>
          <w:rFonts w:hint="eastAsia" w:ascii="宋体" w:hAnsi="宋体" w:eastAsia="宋体" w:cs="宋体"/>
          <w:color w:val="auto"/>
          <w:kern w:val="2"/>
          <w:sz w:val="24"/>
          <w:szCs w:val="24"/>
          <w:highlight w:val="none"/>
        </w:rPr>
        <w:t>价（含税）＋运输费+安装费+调试费+培训费+产品辅材费+售后服务费+保险费+</w:t>
      </w:r>
      <w:r>
        <w:rPr>
          <w:rFonts w:hint="eastAsia" w:ascii="宋体" w:hAnsi="宋体" w:cs="宋体"/>
          <w:color w:val="auto"/>
          <w:kern w:val="2"/>
          <w:sz w:val="24"/>
          <w:szCs w:val="24"/>
          <w:highlight w:val="none"/>
          <w:lang w:val="en-US" w:eastAsia="zh-CN"/>
        </w:rPr>
        <w:t>利润+税金+</w:t>
      </w:r>
      <w:r>
        <w:rPr>
          <w:rFonts w:hint="eastAsia" w:ascii="宋体" w:hAnsi="宋体" w:eastAsia="宋体" w:cs="宋体"/>
          <w:color w:val="auto"/>
          <w:kern w:val="2"/>
          <w:sz w:val="24"/>
          <w:szCs w:val="24"/>
          <w:highlight w:val="none"/>
        </w:rPr>
        <w:t>相关伴随费用等。</w:t>
      </w:r>
    </w:p>
    <w:p w14:paraId="00FEE069">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szCs w:val="24"/>
          <w:highlight w:val="none"/>
        </w:rPr>
        <w:t>3、合同总价一次性包死，不受市场价格变化因素的影响。</w:t>
      </w:r>
      <w:r>
        <w:rPr>
          <w:rFonts w:hint="eastAsia" w:ascii="宋体" w:hAnsi="宋体" w:eastAsia="宋体" w:cs="宋体"/>
          <w:bCs/>
          <w:sz w:val="24"/>
          <w:szCs w:val="24"/>
          <w:highlight w:val="none"/>
        </w:rPr>
        <w:t>在项目实施中产生的其它费用，均由</w:t>
      </w:r>
      <w:r>
        <w:rPr>
          <w:rFonts w:hint="eastAsia" w:ascii="宋体" w:hAnsi="宋体" w:eastAsia="宋体" w:cs="宋体"/>
          <w:sz w:val="24"/>
          <w:szCs w:val="24"/>
          <w:highlight w:val="none"/>
        </w:rPr>
        <w:t>乙方</w:t>
      </w:r>
      <w:r>
        <w:rPr>
          <w:rFonts w:hint="eastAsia" w:ascii="宋体" w:hAnsi="宋体" w:eastAsia="宋体" w:cs="宋体"/>
          <w:bCs/>
          <w:sz w:val="24"/>
          <w:szCs w:val="24"/>
          <w:highlight w:val="none"/>
        </w:rPr>
        <w:t>免费提供，甲方不再支付任何费用。</w:t>
      </w:r>
    </w:p>
    <w:p w14:paraId="0743D242">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4、关于所采购货物本身随同配备的备品备件及器材的价格已包含于合同总价，不再额外收取费用</w:t>
      </w:r>
      <w:r>
        <w:rPr>
          <w:rFonts w:hint="eastAsia" w:ascii="宋体" w:hAnsi="宋体" w:eastAsia="宋体" w:cs="宋体"/>
          <w:sz w:val="24"/>
          <w:szCs w:val="24"/>
          <w:highlight w:val="none"/>
          <w:lang w:eastAsia="zh-CN"/>
        </w:rPr>
        <w:t>。</w:t>
      </w:r>
    </w:p>
    <w:p w14:paraId="094B3E3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5、乙方需保证所能够提供使用的备品备件属于经过合法授权的，确保备品备件产权归乙方所有</w:t>
      </w:r>
      <w:r>
        <w:rPr>
          <w:rFonts w:hint="eastAsia" w:ascii="宋体" w:hAnsi="宋体" w:eastAsia="宋体" w:cs="宋体"/>
          <w:sz w:val="24"/>
          <w:szCs w:val="24"/>
          <w:highlight w:val="none"/>
          <w:lang w:eastAsia="zh-CN"/>
        </w:rPr>
        <w:t>。</w:t>
      </w:r>
    </w:p>
    <w:p w14:paraId="35CDC06B">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、乙方开户行：</w:t>
      </w:r>
    </w:p>
    <w:p w14:paraId="328D4D4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乙方公司名称</w:t>
      </w:r>
      <w:r>
        <w:rPr>
          <w:rFonts w:hint="eastAsia" w:ascii="宋体" w:hAnsi="宋体" w:eastAsia="宋体" w:cs="宋体"/>
          <w:sz w:val="24"/>
          <w:szCs w:val="24"/>
          <w:highlight w:val="none"/>
          <w:lang w:eastAsia="zh-CN"/>
        </w:rPr>
        <w:t>：</w:t>
      </w:r>
    </w:p>
    <w:p w14:paraId="7D882CD6">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乙方公司账号：</w:t>
      </w:r>
    </w:p>
    <w:p w14:paraId="419EEDD9">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48D0CA6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Cs w:val="24"/>
          <w:highlight w:val="none"/>
          <w:lang w:val="en-US" w:eastAsia="zh-CN"/>
        </w:rPr>
      </w:pPr>
      <w:r>
        <w:rPr>
          <w:rFonts w:hint="eastAsia" w:ascii="宋体" w:hAnsi="宋体" w:cs="宋体"/>
          <w:b w:val="0"/>
          <w:bCs/>
          <w:color w:val="auto"/>
          <w:szCs w:val="24"/>
          <w:highlight w:val="none"/>
          <w:lang w:val="en-US" w:eastAsia="zh-CN"/>
        </w:rPr>
        <w:t>合同签订后，待设备安装调试完毕，经终验合格后60天内一次付清合同款项。</w:t>
      </w:r>
    </w:p>
    <w:p w14:paraId="3664EE4D">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四、双方的权利和义务</w:t>
      </w:r>
    </w:p>
    <w:p w14:paraId="29F30BBB">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1、甲方责任</w:t>
      </w:r>
    </w:p>
    <w:p w14:paraId="0AFE6CA2">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523BDE15">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2、乙方责任</w:t>
      </w:r>
    </w:p>
    <w:p w14:paraId="33E5A43C">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5F9B7EEF">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五、交货条件：</w:t>
      </w:r>
    </w:p>
    <w:p w14:paraId="16F4A84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1、交货地点</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富平县、</w:t>
      </w:r>
      <w:r>
        <w:rPr>
          <w:rFonts w:hint="eastAsia" w:ascii="宋体" w:hAnsi="宋体" w:eastAsia="宋体" w:cs="宋体"/>
          <w:sz w:val="24"/>
          <w:szCs w:val="24"/>
          <w:highlight w:val="none"/>
        </w:rPr>
        <w:t xml:space="preserve">甲方指定地点。  </w:t>
      </w:r>
    </w:p>
    <w:p w14:paraId="61967143">
      <w:pPr>
        <w:pageBreakBefore w:val="0"/>
        <w:widowControl w:val="0"/>
        <w:wordWrap/>
        <w:overflowPunct/>
        <w:topLinePunct w:val="0"/>
        <w:autoSpaceDE/>
        <w:autoSpaceDN/>
        <w:bidi w:val="0"/>
        <w:adjustRightInd/>
        <w:snapToGrid/>
        <w:spacing w:line="360" w:lineRule="auto"/>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（1）乙方必须派人送货清点、移交、培训。不受理任何物流、邮寄供货业务。</w:t>
      </w:r>
    </w:p>
    <w:p w14:paraId="3AE90886">
      <w:pPr>
        <w:pageBreakBefore w:val="0"/>
        <w:widowControl w:val="0"/>
        <w:wordWrap/>
        <w:overflowPunct/>
        <w:topLinePunct w:val="0"/>
        <w:autoSpaceDE/>
        <w:autoSpaceDN/>
        <w:bidi w:val="0"/>
        <w:adjustRightInd/>
        <w:snapToGrid/>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（2）本合同所有产品单件必须标明厂商、商标、型号、生产时间并附有效期内的检测报告并盖章。</w:t>
      </w:r>
    </w:p>
    <w:p w14:paraId="3C99F74A">
      <w:pPr>
        <w:pageBreakBefore w:val="0"/>
        <w:widowControl w:val="0"/>
        <w:wordWrap/>
        <w:overflowPunct/>
        <w:topLinePunct w:val="0"/>
        <w:autoSpaceDE/>
        <w:autoSpaceDN/>
        <w:bidi w:val="0"/>
        <w:adjustRightInd/>
        <w:snapToGrid/>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2、交货期：</w:t>
      </w:r>
      <w:r>
        <w:rPr>
          <w:rFonts w:hint="eastAsia" w:ascii="宋体" w:hAnsi="宋体" w:cs="宋体"/>
          <w:sz w:val="24"/>
          <w:szCs w:val="24"/>
          <w:highlight w:val="none"/>
          <w:u w:val="single"/>
          <w:lang w:val="en-US" w:eastAsia="zh-CN"/>
        </w:rPr>
        <w:t xml:space="preserve">                                </w:t>
      </w:r>
    </w:p>
    <w:p w14:paraId="1AAD022D">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六、运输</w:t>
      </w:r>
    </w:p>
    <w:p w14:paraId="63F3BFC2">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1、运输由乙方负责，运杂费已包含在合同总价内，包括从产品供应地点所含的运输费、装卸费、仓储费、保险费等。</w:t>
      </w:r>
    </w:p>
    <w:p w14:paraId="4A0BB0F1">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2、乙方保证产品安全、按期运输到达甲方指定交货地点，在到达甲方地点并经甲方验收（安装）合格前发生的不可预见的风险均由乙方承担。</w:t>
      </w:r>
    </w:p>
    <w:p w14:paraId="22D83CAC">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七、乙方质量保证</w:t>
      </w:r>
    </w:p>
    <w:p w14:paraId="1206357E">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1、保修期（质保期）：乙方按照招标文件中各标段技术参数中的要求执行（与本合同第二款中质保期相符），自产品经甲方验收合格后之次日算起，确因质量问题不能使用的，应当免费换新。</w:t>
      </w:r>
    </w:p>
    <w:p w14:paraId="5FC71131">
      <w:pPr>
        <w:pageBreakBefore w:val="0"/>
        <w:widowControl w:val="0"/>
        <w:wordWrap/>
        <w:overflowPunct/>
        <w:topLinePunct w:val="0"/>
        <w:autoSpaceDE/>
        <w:autoSpaceDN/>
        <w:bidi w:val="0"/>
        <w:adjustRightInd/>
        <w:snapToGrid/>
        <w:spacing w:line="360" w:lineRule="auto"/>
        <w:ind w:firstLine="48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2、提供每周7*24小时的技术咨询服务。乙方接到甲方维修要求后，应保证2小时内给予明确答复，并在</w:t>
      </w:r>
      <w:r>
        <w:rPr>
          <w:rFonts w:hint="eastAsia" w:ascii="宋体" w:hAnsi="宋体" w:cs="宋体"/>
          <w:sz w:val="24"/>
          <w:szCs w:val="24"/>
          <w:highlight w:val="none"/>
          <w:u w:val="none"/>
          <w:lang w:val="en-US" w:eastAsia="zh-CN"/>
        </w:rPr>
        <w:t>24</w:t>
      </w:r>
      <w:r>
        <w:rPr>
          <w:rFonts w:hint="eastAsia" w:ascii="宋体" w:hAnsi="宋体" w:eastAsia="宋体" w:cs="宋体"/>
          <w:sz w:val="24"/>
          <w:szCs w:val="24"/>
          <w:highlight w:val="none"/>
        </w:rPr>
        <w:t>小时内解决甲方提出的维修要求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与投标文件一致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396E2E87">
      <w:pPr>
        <w:pageBreakBefore w:val="0"/>
        <w:widowControl w:val="0"/>
        <w:wordWrap/>
        <w:overflowPunct/>
        <w:topLinePunct w:val="0"/>
        <w:autoSpaceDE/>
        <w:autoSpaceDN/>
        <w:bidi w:val="0"/>
        <w:adjustRightInd/>
        <w:snapToGrid/>
        <w:spacing w:line="360" w:lineRule="auto"/>
        <w:jc w:val="left"/>
        <w:textAlignment w:val="top"/>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3、保修期（质保期），免费维修。保修期（质保期）外优惠供应配件，只收工本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头三个月，同一设备出现第二次质量问题，乙方必须在甲方指定期限内予以免费整体更换该设备。</w:t>
      </w:r>
    </w:p>
    <w:p w14:paraId="0126A49F">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八、乙方售后服务</w:t>
      </w:r>
    </w:p>
    <w:p w14:paraId="7ABB1427">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1.培训：为甲方提供涉及产品的使用范围、主要性能、技术指标、使用方法、注意事项和维护保养、贮存方法等方面的培训，并由乙方专业人员向客户提供技术支持。</w:t>
      </w:r>
    </w:p>
    <w:p w14:paraId="605EEA05">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2. 售后服务工作程序</w:t>
      </w:r>
    </w:p>
    <w:p w14:paraId="7EB92C7D">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售后服务电话：</w:t>
      </w:r>
      <w:r>
        <w:rPr>
          <w:rFonts w:hint="eastAsia" w:ascii="宋体" w:hAnsi="宋体" w:eastAsia="宋体" w:cs="宋体"/>
          <w:sz w:val="24"/>
          <w:szCs w:val="24"/>
          <w:highlight w:val="none"/>
          <w:u w:val="single"/>
          <w:lang w:val="en-US" w:eastAsia="zh-CN"/>
        </w:rPr>
        <w:t xml:space="preserve">       </w:t>
      </w:r>
    </w:p>
    <w:p w14:paraId="702472A6">
      <w:pPr>
        <w:pageBreakBefore w:val="0"/>
        <w:widowControl w:val="0"/>
        <w:wordWrap/>
        <w:overflowPunct/>
        <w:topLinePunct w:val="0"/>
        <w:autoSpaceDE/>
        <w:autoSpaceDN/>
        <w:bidi w:val="0"/>
        <w:adjustRightInd/>
        <w:snapToGrid/>
        <w:spacing w:line="360" w:lineRule="auto"/>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（1）受理甲方售后要求，详细弄清问题所在，并给予明确答复，做电话记录。</w:t>
      </w:r>
    </w:p>
    <w:p w14:paraId="4A4B3B2A">
      <w:pPr>
        <w:pageBreakBefore w:val="0"/>
        <w:widowControl w:val="0"/>
        <w:wordWrap/>
        <w:overflowPunct/>
        <w:topLinePunct w:val="0"/>
        <w:autoSpaceDE/>
        <w:autoSpaceDN/>
        <w:bidi w:val="0"/>
        <w:adjustRightInd/>
        <w:snapToGrid/>
        <w:spacing w:line="360" w:lineRule="auto"/>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（2）在接到电话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小时内，安排人员，制定服务计划</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与投标文件一致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2D3609C5">
      <w:pPr>
        <w:pageBreakBefore w:val="0"/>
        <w:widowControl w:val="0"/>
        <w:wordWrap/>
        <w:overflowPunct/>
        <w:topLinePunct w:val="0"/>
        <w:autoSpaceDE/>
        <w:autoSpaceDN/>
        <w:bidi w:val="0"/>
        <w:adjustRightInd/>
        <w:snapToGrid/>
        <w:spacing w:line="360" w:lineRule="auto"/>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（3）在接到电话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小时内赶到甲方位置，对故障原因内予以解决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与投标文件一致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4DFDF31C">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3. 保修期（质保期）内主要提供定期的客户查询，询问器材的使用情况、完好情况。一般每1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2个月一次。确有质量问题的，按第八条2款进行服务，服务免费。</w:t>
      </w:r>
    </w:p>
    <w:p w14:paraId="50006A43">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4. 保修期（质保期）外乙方应继续按第八条规定提供服务，安排销售人员对甲方进行走访，维修只收工本费。对临界使用寿命的或严重毁损的器材提醒及时报废。</w:t>
      </w:r>
    </w:p>
    <w:p w14:paraId="1E777EA5">
      <w:pPr>
        <w:pageBreakBefore w:val="0"/>
        <w:widowControl w:val="0"/>
        <w:wordWrap/>
        <w:overflowPunct/>
        <w:topLinePunct w:val="0"/>
        <w:autoSpaceDE/>
        <w:autoSpaceDN/>
        <w:bidi w:val="0"/>
        <w:adjustRightInd/>
        <w:snapToGrid/>
        <w:spacing w:after="12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乙方未能按照本条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14:paraId="2D558151">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九、乙方提供技术与服务</w:t>
      </w:r>
    </w:p>
    <w:p w14:paraId="673F3127">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1、随同货物提供相应的中文技术文件（包括产品合格证、装箱清单、操作手册、使用说明、检测报告、维护手册、服务指南等资料）；</w:t>
      </w:r>
    </w:p>
    <w:p w14:paraId="1A4940B4">
      <w:pPr>
        <w:pageBreakBefore w:val="0"/>
        <w:widowControl w:val="0"/>
        <w:wordWrap/>
        <w:overflowPunct/>
        <w:topLinePunct w:val="0"/>
        <w:autoSpaceDE/>
        <w:autoSpaceDN/>
        <w:bidi w:val="0"/>
        <w:adjustRightInd/>
        <w:snapToGrid/>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2、现场安装、调试、试运行技术保障服务； </w:t>
      </w:r>
    </w:p>
    <w:p w14:paraId="506C43E7">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十、违约责任</w:t>
      </w:r>
    </w:p>
    <w:p w14:paraId="6656466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1、按《中华人民共和国民法典》中的相关条款执行。</w:t>
      </w:r>
    </w:p>
    <w:p w14:paraId="3AF475CD">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4051C14E">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14:paraId="3C1E6CDB">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十一、验收</w:t>
      </w:r>
    </w:p>
    <w:p w14:paraId="26A6A7AD">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1、产品到达甲方指定地点后，甲方根据合同约定，对产品进行外观验收、确认产品的产地、规格、型号和数量。</w:t>
      </w:r>
      <w:r>
        <w:rPr>
          <w:rFonts w:hint="eastAsia" w:ascii="宋体" w:hAnsi="宋体" w:eastAsia="宋体" w:cs="宋体"/>
          <w:bCs/>
          <w:sz w:val="24"/>
          <w:szCs w:val="24"/>
          <w:highlight w:val="none"/>
        </w:rPr>
        <w:t>器材</w:t>
      </w:r>
      <w:r>
        <w:rPr>
          <w:rFonts w:hint="eastAsia" w:ascii="宋体" w:hAnsi="宋体" w:eastAsia="宋体" w:cs="宋体"/>
          <w:sz w:val="24"/>
          <w:szCs w:val="24"/>
          <w:highlight w:val="none"/>
        </w:rPr>
        <w:t>所有产品外包装箱、单个产品包装盒上必须印制或粘贴下列基本信息：产品生产厂家、生产日期、有效期、生产厂家联系人、联系电话；代理厂商联系人、联系电话、售后联系人、联系方式。</w:t>
      </w:r>
    </w:p>
    <w:p w14:paraId="2D8243DA">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2、产品安装、调试并正常运行后，由乙方进行自检合格后，准备验收文件，并书面通知甲方；</w:t>
      </w:r>
    </w:p>
    <w:p w14:paraId="656C00FD">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3、甲方确认乙方的自检内容后（必要时请有关专家）进行系统验收，填写项目验收单，作为对设备的最终认可；</w:t>
      </w:r>
    </w:p>
    <w:p w14:paraId="476B9A7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4、乙方向甲方提交设备实施过程中的所有资料，以便甲方日后管理和维护。</w:t>
      </w:r>
    </w:p>
    <w:p w14:paraId="7BDAEC41">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5、验收依据：</w:t>
      </w:r>
    </w:p>
    <w:p w14:paraId="0CAAC91E">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5-1、招标文件、投标文件、澄清表（函）；</w:t>
      </w:r>
    </w:p>
    <w:p w14:paraId="521B634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5-2、本合同及附件文本；</w:t>
      </w:r>
    </w:p>
    <w:p w14:paraId="50FF1774">
      <w:pPr>
        <w:pStyle w:val="3"/>
        <w:pageBreakBefore w:val="0"/>
        <w:wordWrap/>
        <w:topLinePunct w:val="0"/>
        <w:bidi w:val="0"/>
        <w:spacing w:line="360" w:lineRule="auto"/>
        <w:ind w:firstLine="354" w:firstLineChars="147"/>
        <w:rPr>
          <w:rFonts w:hint="eastAsia" w:ascii="宋体" w:hAnsi="宋体" w:eastAsia="宋体" w:cs="宋体"/>
          <w:b w:val="0"/>
          <w:bCs/>
          <w:color w:val="000000" w:themeColor="text1"/>
          <w:sz w:val="24"/>
          <w:highlight w:val="none"/>
          <w:lang w:val="en-US" w:eastAsia="zh-CN"/>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十二、技术成果</w:t>
      </w:r>
    </w:p>
    <w:p w14:paraId="1761C1CA">
      <w:pPr>
        <w:pageBreakBefore w:val="0"/>
        <w:tabs>
          <w:tab w:val="left" w:pos="480"/>
        </w:tabs>
        <w:wordWrap/>
        <w:topLinePunct w:val="0"/>
        <w:bidi w:val="0"/>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本项目采购形成的技术成果归</w:t>
      </w:r>
      <w:r>
        <w:rPr>
          <w:rFonts w:hint="eastAsia" w:ascii="宋体" w:hAnsi="宋体" w:eastAsia="宋体" w:cs="宋体"/>
          <w:color w:val="000000" w:themeColor="text1"/>
          <w:sz w:val="24"/>
          <w:highlight w:val="none"/>
          <w:lang w:val="en-US" w:eastAsia="zh-CN"/>
          <w14:textFill>
            <w14:solidFill>
              <w14:schemeClr w14:val="tx1"/>
            </w14:solidFill>
          </w14:textFill>
        </w:rPr>
        <w:t>采购</w:t>
      </w:r>
      <w:r>
        <w:rPr>
          <w:rFonts w:hint="eastAsia" w:ascii="宋体" w:hAnsi="宋体" w:eastAsia="宋体" w:cs="宋体"/>
          <w:color w:val="000000" w:themeColor="text1"/>
          <w:sz w:val="24"/>
          <w:highlight w:val="none"/>
          <w14:textFill>
            <w14:solidFill>
              <w14:schemeClr w14:val="tx1"/>
            </w14:solidFill>
          </w14:textFill>
        </w:rPr>
        <w:t>人所有</w:t>
      </w:r>
      <w:r>
        <w:rPr>
          <w:rFonts w:hint="eastAsia" w:ascii="宋体" w:hAnsi="宋体" w:eastAsia="宋体" w:cs="宋体"/>
          <w:color w:val="000000" w:themeColor="text1"/>
          <w:sz w:val="24"/>
          <w:highlight w:val="none"/>
          <w:lang w:eastAsia="zh-CN"/>
          <w14:textFill>
            <w14:solidFill>
              <w14:schemeClr w14:val="tx1"/>
            </w14:solidFill>
          </w14:textFill>
        </w:rPr>
        <w:t>。</w:t>
      </w:r>
    </w:p>
    <w:p w14:paraId="58EC3876">
      <w:pPr>
        <w:pStyle w:val="3"/>
        <w:pageBreakBefore w:val="0"/>
        <w:wordWrap/>
        <w:topLinePunct w:val="0"/>
        <w:bidi w:val="0"/>
        <w:spacing w:line="360" w:lineRule="auto"/>
        <w:ind w:firstLine="354" w:firstLineChars="147"/>
        <w:rPr>
          <w:rFonts w:hint="eastAsia" w:ascii="宋体" w:hAnsi="宋体" w:eastAsia="宋体" w:cs="宋体"/>
          <w:b/>
          <w:color w:val="000000" w:themeColor="text1"/>
          <w:sz w:val="24"/>
          <w:highlight w:val="none"/>
          <w:lang w:val="en-US" w:eastAsia="zh-CN"/>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十三、知识产权及专利权 </w:t>
      </w:r>
    </w:p>
    <w:p w14:paraId="1CDB437B">
      <w:pPr>
        <w:pageBreakBefore w:val="0"/>
        <w:tabs>
          <w:tab w:val="left" w:pos="480"/>
        </w:tabs>
        <w:wordWrap/>
        <w:topLinePunct w:val="0"/>
        <w:bidi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应当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04703EA2">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十四、保密责任</w:t>
      </w:r>
    </w:p>
    <w:p w14:paraId="334109AF">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14:paraId="132B6E04">
      <w:pPr>
        <w:pageBreakBefore w:val="0"/>
        <w:widowControl w:val="0"/>
        <w:numPr>
          <w:ilvl w:val="0"/>
          <w:numId w:val="0"/>
        </w:numPr>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十五、通知与送达</w:t>
      </w:r>
    </w:p>
    <w:p w14:paraId="06989E78">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1、甲乙双方应当在3天内将与合同有关的通知、批准、证明、证书、指示、指令、要求、请求、同意、意见、确定和决定等书面函件送达对方当事人。</w:t>
      </w:r>
    </w:p>
    <w:p w14:paraId="0C9832BC">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7848D407">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3、甲乙双方应当及时签收另一方送达至送达地点和指定接收人的来往信函。拒不签收的，由此增加的费用和（或）延误的交货期由拒绝接收一方承担。</w:t>
      </w:r>
    </w:p>
    <w:p w14:paraId="65186014">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、合同争议解决的方式</w:t>
      </w:r>
    </w:p>
    <w:p w14:paraId="69FC9B5B">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本合同在履行过程中发生的争议，由甲、乙方当事人协商解决；也可由当地工商行政管理部门调解；协商或调解不成的按以下第2种方式解决；</w:t>
      </w:r>
    </w:p>
    <w:p w14:paraId="039A8B9A">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1、提交西安仲裁委员会仲裁；</w:t>
      </w:r>
    </w:p>
    <w:p w14:paraId="0C638883">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2、依法向甲方所在地人民法院起诉。</w:t>
      </w:r>
    </w:p>
    <w:p w14:paraId="3CD69189">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、其他事项</w:t>
      </w:r>
    </w:p>
    <w:p w14:paraId="3D4FC3B2">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1、招标文件、投标文件、澄清表（函）、合同附件均成为合同不可分割的部分。</w:t>
      </w:r>
    </w:p>
    <w:p w14:paraId="2F2AF4A3">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2、合同未尽事宜，由甲、乙双方协商，另行签订补充合同，为本合同有效组成部分。</w:t>
      </w:r>
    </w:p>
    <w:p w14:paraId="2E8EDB54">
      <w:pPr>
        <w:pageBreakBefore w:val="0"/>
        <w:widowControl w:val="0"/>
        <w:wordWrap/>
        <w:overflowPunct/>
        <w:topLinePunct w:val="0"/>
        <w:autoSpaceDE/>
        <w:autoSpaceDN/>
        <w:bidi w:val="0"/>
        <w:adjustRightInd/>
        <w:snapToGrid/>
        <w:spacing w:line="360" w:lineRule="auto"/>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本合同一式肆份，甲方、乙方各执贰份。各方签字盖章后生效，合同执行完毕自动终止。（合同的服务承诺则长期有效）。</w:t>
      </w:r>
    </w:p>
    <w:p w14:paraId="6B659F91">
      <w:pPr>
        <w:pageBreakBefore w:val="0"/>
        <w:wordWrap/>
        <w:topLinePunct w:val="0"/>
        <w:bidi w:val="0"/>
        <w:spacing w:line="360" w:lineRule="auto"/>
        <w:rPr>
          <w:rFonts w:hint="eastAsia" w:ascii="宋体" w:hAnsi="宋体" w:eastAsia="宋体" w:cs="宋体"/>
          <w:szCs w:val="24"/>
          <w:highlight w:val="none"/>
        </w:rPr>
      </w:pPr>
    </w:p>
    <w:p w14:paraId="4D7C59BB">
      <w:pPr>
        <w:pageBreakBefore w:val="0"/>
        <w:wordWrap/>
        <w:topLinePunct w:val="0"/>
        <w:bidi w:val="0"/>
        <w:spacing w:line="360" w:lineRule="auto"/>
        <w:ind w:left="6528" w:leftChars="20" w:hanging="6480" w:hangingChars="2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      方：                         乙      方：                     </w:t>
      </w:r>
    </w:p>
    <w:p w14:paraId="63308D9A">
      <w:pPr>
        <w:pageBreakBefore w:val="0"/>
        <w:wordWrap/>
        <w:topLinePunct w:val="0"/>
        <w:bidi w:val="0"/>
        <w:spacing w:line="360" w:lineRule="auto"/>
        <w:ind w:left="5950" w:leftChars="29" w:hanging="5880" w:hangingChars="24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4421E19E">
      <w:pPr>
        <w:pageBreakBefore w:val="0"/>
        <w:wordWrap/>
        <w:topLinePunct w:val="0"/>
        <w:bidi w:val="0"/>
        <w:spacing w:line="360" w:lineRule="auto"/>
        <w:ind w:firstLine="1440" w:firstLineChars="600"/>
        <w:rPr>
          <w:rFonts w:hint="eastAsia" w:ascii="宋体" w:hAnsi="宋体" w:eastAsia="宋体" w:cs="宋体"/>
          <w:sz w:val="24"/>
          <w:szCs w:val="24"/>
          <w:highlight w:val="none"/>
        </w:rPr>
      </w:pPr>
    </w:p>
    <w:p w14:paraId="05D02AF9">
      <w:pPr>
        <w:pageBreakBefore w:val="0"/>
        <w:wordWrap/>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3BF7276F">
      <w:pPr>
        <w:pageBreakBefore w:val="0"/>
        <w:wordWrap/>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                           委托代理人：</w:t>
      </w:r>
    </w:p>
    <w:p w14:paraId="3735E430">
      <w:pPr>
        <w:pageBreakBefore w:val="0"/>
        <w:wordWrap/>
        <w:topLinePunct w:val="0"/>
        <w:bidi w:val="0"/>
        <w:spacing w:line="360" w:lineRule="auto"/>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联 系 电 话</w:t>
      </w:r>
      <w:r>
        <w:rPr>
          <w:rFonts w:hint="eastAsia" w:ascii="宋体" w:hAnsi="宋体" w:eastAsia="宋体" w:cs="宋体"/>
          <w:sz w:val="24"/>
          <w:szCs w:val="24"/>
          <w:highlight w:val="none"/>
        </w:rPr>
        <w:t xml:space="preserve">：                           </w:t>
      </w:r>
      <w:r>
        <w:rPr>
          <w:rFonts w:hint="eastAsia" w:ascii="宋体" w:hAnsi="宋体" w:eastAsia="宋体" w:cs="宋体"/>
          <w:spacing w:val="-10"/>
          <w:sz w:val="24"/>
          <w:szCs w:val="24"/>
          <w:highlight w:val="none"/>
        </w:rPr>
        <w:t>联 系 电 话</w:t>
      </w:r>
      <w:r>
        <w:rPr>
          <w:rFonts w:hint="eastAsia" w:ascii="宋体" w:hAnsi="宋体" w:eastAsia="宋体" w:cs="宋体"/>
          <w:sz w:val="24"/>
          <w:szCs w:val="24"/>
          <w:highlight w:val="none"/>
        </w:rPr>
        <w:t xml:space="preserve">：                    </w:t>
      </w:r>
    </w:p>
    <w:p w14:paraId="069213F1">
      <w:pPr>
        <w:pageBreakBefore w:val="0"/>
        <w:wordWrap/>
        <w:topLinePunct w:val="0"/>
        <w:bidi w:val="0"/>
        <w:spacing w:line="360" w:lineRule="auto"/>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签 订 日 期：                                 签 订 日 期：</w:t>
      </w:r>
      <w:bookmarkEnd w:id="0"/>
      <w:bookmarkEnd w:id="1"/>
      <w:bookmarkEnd w:id="2"/>
      <w:bookmarkEnd w:id="3"/>
      <w:bookmarkEnd w:id="4"/>
      <w:bookmarkEnd w:id="5"/>
      <w:bookmarkEnd w:id="6"/>
      <w:bookmarkEnd w:id="7"/>
      <w:bookmarkEnd w:id="8"/>
      <w:bookmarkEnd w:id="9"/>
      <w:bookmarkEnd w:id="10"/>
      <w:bookmarkEnd w:id="11"/>
    </w:p>
    <w:p w14:paraId="5B918B6D"/>
    <w:sectPr>
      <w:headerReference r:id="rId4" w:type="first"/>
      <w:footerReference r:id="rId6" w:type="first"/>
      <w:headerReference r:id="rId3" w:type="default"/>
      <w:footerReference r:id="rId5" w:type="default"/>
      <w:pgSz w:w="11905" w:h="16838"/>
      <w:pgMar w:top="1417" w:right="1287" w:bottom="1712" w:left="1054" w:header="935" w:footer="771" w:gutter="567"/>
      <w:pgNumType w:fmt="numberInDash"/>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DAA3E">
    <w:pPr>
      <w:pStyle w:val="5"/>
      <w:jc w:val="center"/>
      <w:rPr>
        <w:rFonts w:asci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04C5E2">
                          <w:pPr>
                            <w:pStyle w:val="5"/>
                          </w:pPr>
                          <w:r>
                            <w:fldChar w:fldCharType="begin"/>
                          </w:r>
                          <w:r>
                            <w:instrText xml:space="preserve"> PAGE  \* MERGEFORMAT </w:instrText>
                          </w:r>
                          <w:r>
                            <w:fldChar w:fldCharType="separate"/>
                          </w:r>
                          <w:r>
                            <w:t>- 74 -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B04C5E2">
                    <w:pPr>
                      <w:pStyle w:val="5"/>
                    </w:pPr>
                    <w:r>
                      <w:fldChar w:fldCharType="begin"/>
                    </w:r>
                    <w:r>
                      <w:instrText xml:space="preserve"> PAGE  \* MERGEFORMAT </w:instrText>
                    </w:r>
                    <w:r>
                      <w:fldChar w:fldCharType="separate"/>
                    </w:r>
                    <w:r>
                      <w:t>- 74 -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EEF65">
    <w:pPr>
      <w:pStyle w:val="5"/>
      <w:rPr>
        <w:rStyle w:val="9"/>
        <w:rFonts w:asci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1753E7">
                          <w:pPr>
                            <w:pStyle w:val="5"/>
                          </w:pPr>
                          <w:r>
                            <w:fldChar w:fldCharType="begin"/>
                          </w:r>
                          <w:r>
                            <w:instrText xml:space="preserve"> PAGE  \* MERGEFORMAT </w:instrText>
                          </w:r>
                          <w:r>
                            <w:fldChar w:fldCharType="separate"/>
                          </w:r>
                          <w:r>
                            <w:t>- 73 -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C1753E7">
                    <w:pPr>
                      <w:pStyle w:val="5"/>
                    </w:pPr>
                    <w:r>
                      <w:fldChar w:fldCharType="begin"/>
                    </w:r>
                    <w:r>
                      <w:instrText xml:space="preserve"> PAGE  \* MERGEFORMAT </w:instrText>
                    </w:r>
                    <w:r>
                      <w:fldChar w:fldCharType="separate"/>
                    </w:r>
                    <w:r>
                      <w:t>- 73 -</w:t>
                    </w:r>
                    <w:r>
                      <w:fldChar w:fldCharType="end"/>
                    </w:r>
                  </w:p>
                </w:txbxContent>
              </v:textbox>
            </v:shape>
          </w:pict>
        </mc:Fallback>
      </mc:AlternateContent>
    </w:r>
    <w:r>
      <w:rPr>
        <w:rFonts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63BB6">
    <w:pPr>
      <w:spacing w:line="480" w:lineRule="exact"/>
      <w:rPr>
        <w:rFonts w:ascii="宋体"/>
        <w:sz w:val="18"/>
        <w:szCs w:val="18"/>
      </w:rPr>
    </w:pPr>
    <w:r>
      <w:rPr>
        <w:rFonts w:ascii="宋体" w:hAnsi="宋体"/>
        <w:b/>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61891">
    <w:pPr>
      <w:spacing w:line="480" w:lineRule="exact"/>
      <w:rPr>
        <w:rFonts w:ascii="宋体" w:hAnsi="宋体"/>
        <w:sz w:val="18"/>
        <w:szCs w:val="18"/>
      </w:rPr>
    </w:pPr>
    <w:r>
      <w:rPr>
        <w:rFonts w:hint="eastAsia" w:ascii="宋体" w:hAnsi="宋体"/>
        <w:b/>
        <w:sz w:val="18"/>
        <w:szCs w:val="18"/>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41C2F"/>
    <w:rsid w:val="54C41C2F"/>
    <w:rsid w:val="6B4F3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1"/>
    <w:pPr>
      <w:keepNext/>
      <w:keepLines/>
      <w:spacing w:before="340" w:after="330" w:line="560" w:lineRule="exact"/>
      <w:jc w:val="center"/>
      <w:outlineLvl w:val="0"/>
    </w:pPr>
    <w:rPr>
      <w:b/>
      <w:bCs/>
      <w:kern w:val="44"/>
      <w:sz w:val="36"/>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szCs w:val="24"/>
    </w:r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qFormat/>
    <w:uiPriority w:val="99"/>
  </w:style>
  <w:style w:type="character" w:styleId="9">
    <w:name w:val="page number"/>
    <w:basedOn w:val="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2025-08-06T10:44:00Z</dcterms:created>
  <dc:creator>彤Tion</dc:creator>
  <cp:lastModifiedBy>彤Tion</cp:lastModifiedBy>
  <dcterms:modified xsi:type="dcterms:W3CDTF">2025-08-06T10:46:39Z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00F6E71261B14F23B5C46E5ABEF2CEBD_11</vt:lpwstr>
  </property>
  <property fmtid="{D5CDD505-2E9C-101B-9397-08002B2CF9AE}" pid="4" name="KSOTemplateDocerSaveRecord">
    <vt:lpwstr>eyJoZGlkIjoiOWYxYzdkNDc2ZTM0Mzg3YTQ3OWVlYTU3MjI2MmNjM2QiLCJ1c2VySWQiOiI1NjU5NDE0NjAifQ==</vt:lpwstr>
  </property>
</Properties>
</file>