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版本号：ZCSP-卤阳湖开发区-2025-00003-0220250919001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园区绿化管护和湿地保护项目(二次)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ZCSP-卤阳湖开发区-2025-00003-02</w:t>
      </w:r>
      <w:r>
        <w:br/>
      </w:r>
      <w:r>
        <w:br/>
      </w:r>
      <w:r>
        <w:br/>
      </w:r>
    </w:p>
    <w:p>
      <w:pPr>
        <w:pStyle w:val="null3"/>
        <w:jc w:val="center"/>
        <w:outlineLvl w:val="2"/>
      </w:pPr>
      <w:r>
        <w:rPr>
          <w:rFonts w:ascii="仿宋_GB2312" w:hAnsi="仿宋_GB2312" w:cs="仿宋_GB2312" w:eastAsia="仿宋_GB2312"/>
          <w:sz w:val="28"/>
          <w:b/>
        </w:rPr>
        <w:t>渭南经开区建设管理局</w:t>
      </w:r>
    </w:p>
    <w:p>
      <w:pPr>
        <w:pStyle w:val="null3"/>
        <w:jc w:val="center"/>
        <w:outlineLvl w:val="2"/>
      </w:pPr>
      <w:r>
        <w:rPr>
          <w:rFonts w:ascii="仿宋_GB2312" w:hAnsi="仿宋_GB2312" w:cs="仿宋_GB2312" w:eastAsia="仿宋_GB2312"/>
          <w:sz w:val="28"/>
          <w:b/>
        </w:rPr>
        <w:t>国正聚源工程咨询集团有限公司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国正聚源工程咨询集团有限公司</w:t>
      </w:r>
      <w:r>
        <w:rPr>
          <w:rFonts w:ascii="仿宋_GB2312" w:hAnsi="仿宋_GB2312" w:cs="仿宋_GB2312" w:eastAsia="仿宋_GB2312"/>
        </w:rPr>
        <w:t>（以下简称“代理机构”）受</w:t>
      </w:r>
      <w:r>
        <w:rPr>
          <w:rFonts w:ascii="仿宋_GB2312" w:hAnsi="仿宋_GB2312" w:cs="仿宋_GB2312" w:eastAsia="仿宋_GB2312"/>
        </w:rPr>
        <w:t>渭南经开区建设管理局</w:t>
      </w:r>
      <w:r>
        <w:rPr>
          <w:rFonts w:ascii="仿宋_GB2312" w:hAnsi="仿宋_GB2312" w:cs="仿宋_GB2312" w:eastAsia="仿宋_GB2312"/>
        </w:rPr>
        <w:t>委托，拟对</w:t>
      </w:r>
      <w:r>
        <w:rPr>
          <w:rFonts w:ascii="仿宋_GB2312" w:hAnsi="仿宋_GB2312" w:cs="仿宋_GB2312" w:eastAsia="仿宋_GB2312"/>
        </w:rPr>
        <w:t>园区绿化管护和湿地保护项目(二次)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ZCSP-卤阳湖开发区-2025-00003-02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园区绿化管护和湿地保护项目(二次)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采购内容:园区绿化管护和湿地保护项目； 项目范围: 1、绿化管护对象:道路红线及沿线内乔木、灌木、绿篱、草坪等;管 护方式:施肥、修剪、病虫害防治、绿地内保洁、浇水2、湿地保护位置:生态保育区;保护模式:人员巡查、巡检、垃圾拾取清 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采购包1（园区绿化管护和湿地保护项目）：属于专门面向中小企业采购。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1、具有独立承担民事责任的能力：具有独立承担民事责任能力的法人或其他组织提供营业执照等合法证明文件</w:t>
      </w:r>
    </w:p>
    <w:p>
      <w:pPr>
        <w:pStyle w:val="null3"/>
      </w:pPr>
      <w:r>
        <w:rPr>
          <w:rFonts w:ascii="仿宋_GB2312" w:hAnsi="仿宋_GB2312" w:cs="仿宋_GB2312" w:eastAsia="仿宋_GB2312"/>
        </w:rPr>
        <w:t>2、应授权合法的人员参加投标全过程：供应商应授权合法的人员参加投标，其中法定代表人直接参加投标，须出具法定代表人身份证，并与营业执照上信息一致。法定代表人授权代表参加投标，须出具法定代表人授权书及授权代表身份证原件；</w:t>
      </w:r>
    </w:p>
    <w:p>
      <w:pPr>
        <w:pStyle w:val="null3"/>
      </w:pPr>
      <w:r>
        <w:rPr>
          <w:rFonts w:ascii="仿宋_GB2312" w:hAnsi="仿宋_GB2312" w:cs="仿宋_GB2312" w:eastAsia="仿宋_GB2312"/>
        </w:rPr>
        <w:t>3、财务状况：提供具有财务审计资质单位出具的2024年度财务审计报告（成立时间至投标文件递交截止时间前不足一年的可提供成立后任意时段的资产负债表）或投标文件递交截止时间前六个月内其基本账户银行出具的资信证明（附基本账户证明）或政府采购信用担保机构出具的担保函</w:t>
      </w:r>
    </w:p>
    <w:p>
      <w:pPr>
        <w:pStyle w:val="null3"/>
      </w:pPr>
      <w:r>
        <w:rPr>
          <w:rFonts w:ascii="仿宋_GB2312" w:hAnsi="仿宋_GB2312" w:cs="仿宋_GB2312" w:eastAsia="仿宋_GB2312"/>
        </w:rPr>
        <w:t>4、税收缴纳证明：有依法缴纳税收和社会保障资料的良好记录，提供投标文件递交截止时间前一年内任意一个月的缴费凭据（依法免税的供应商应提供相关文件证明）</w:t>
      </w:r>
    </w:p>
    <w:p>
      <w:pPr>
        <w:pStyle w:val="null3"/>
      </w:pPr>
      <w:r>
        <w:rPr>
          <w:rFonts w:ascii="仿宋_GB2312" w:hAnsi="仿宋_GB2312" w:cs="仿宋_GB2312" w:eastAsia="仿宋_GB2312"/>
        </w:rPr>
        <w:t>5、具有履行本合同所必需的设备和专业技术能力的说明及承诺：具有履行本合同所必需的设备和专业技术能力的说明及承诺，提供承诺书</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信用评价：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8、非联合体投标：本项目不接受联合体投标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渭南经开区建设管理局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渭南卤阳湖现代产业综合开发区创业大楼411室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0913一3338189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国正聚源工程咨询集团有限公司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陕西省西安市雁塔区陕西省西安市雁塔区小寨东路126号百隆广场1幢1单元1803-1804</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15129916448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卤阳湖开发区政府采购管理股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刘凯</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18729849137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采购包1：2,189,141.99元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开户名称：国正聚源工程咨询集团有限公司渭南分公司</w:t>
            </w:r>
          </w:p>
          <w:p>
            <w:pPr>
              <w:pStyle w:val="null3"/>
            </w:pPr>
            <w:r>
              <w:rPr>
                <w:rFonts w:ascii="仿宋_GB2312" w:hAnsi="仿宋_GB2312" w:cs="仿宋_GB2312" w:eastAsia="仿宋_GB2312"/>
              </w:rPr>
              <w:t>开户银行：中国建设银行股份有限公司渭南电信支行</w:t>
            </w:r>
          </w:p>
          <w:p>
            <w:pPr>
              <w:pStyle w:val="null3"/>
            </w:pPr>
            <w:r>
              <w:rPr>
                <w:rFonts w:ascii="仿宋_GB2312" w:hAnsi="仿宋_GB2312" w:cs="仿宋_GB2312" w:eastAsia="仿宋_GB2312"/>
              </w:rPr>
              <w:t>银行账号：61050164280000000282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 的通知》 ( 计价格〔2002〕1980号）、《国家发展改革委员会办公厅关于招标代理服务收费有关问题的 通知》（发改办价格〔2003〕857号）的规定标准执行，按差额定率累进法收取费用，100万 以下按1.5%收取，100万-500万按1.1%收取。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渭南经开区建设管理局</w:t>
      </w:r>
      <w:r>
        <w:rPr>
          <w:rFonts w:ascii="仿宋_GB2312" w:hAnsi="仿宋_GB2312" w:cs="仿宋_GB2312" w:eastAsia="仿宋_GB2312"/>
        </w:rPr>
        <w:t>和</w:t>
      </w:r>
      <w:r>
        <w:rPr>
          <w:rFonts w:ascii="仿宋_GB2312" w:hAnsi="仿宋_GB2312" w:cs="仿宋_GB2312" w:eastAsia="仿宋_GB2312"/>
        </w:rPr>
        <w:t>国正聚源工程咨询集团有限公司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渭南经开区建设管理局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国正聚源工程咨询集团有限公司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渭南经开区建设管理局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国正聚源工程咨询集团有限公司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达到国家等相关部门验收标准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联系人：席工</w:t>
      </w:r>
    </w:p>
    <w:p>
      <w:pPr>
        <w:pStyle w:val="null3"/>
      </w:pPr>
      <w:r>
        <w:rPr>
          <w:rFonts w:ascii="仿宋_GB2312" w:hAnsi="仿宋_GB2312" w:cs="仿宋_GB2312" w:eastAsia="仿宋_GB2312"/>
        </w:rPr>
        <w:t>联系电话：15122916448</w:t>
      </w:r>
    </w:p>
    <w:p>
      <w:pPr>
        <w:pStyle w:val="null3"/>
      </w:pPr>
      <w:r>
        <w:rPr>
          <w:rFonts w:ascii="仿宋_GB2312" w:hAnsi="仿宋_GB2312" w:cs="仿宋_GB2312" w:eastAsia="仿宋_GB2312"/>
        </w:rPr>
        <w:t>地址：陕西省西安市雁塔区陕西省西安市雁塔区小寨东路126号百隆广场1幢1单元1803-1804</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园区绿化管护和湿地保护项目，对园区绿化进行管理、管护和湿地保护。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2,189,141.99</w:t>
      </w:r>
    </w:p>
    <w:p>
      <w:pPr>
        <w:pStyle w:val="null3"/>
      </w:pPr>
      <w:r>
        <w:rPr>
          <w:rFonts w:ascii="仿宋_GB2312" w:hAnsi="仿宋_GB2312" w:cs="仿宋_GB2312" w:eastAsia="仿宋_GB2312"/>
        </w:rPr>
        <w:t>采购包最高限价（元）: 2,189,141.99</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园区绿化管护和湿地保护项目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2,189,141.99</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标的名称：园区绿化管护和湿地保护项目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采购内容：</w:t>
            </w:r>
            <w:r>
              <w:rPr>
                <w:rFonts w:ascii="仿宋_GB2312" w:hAnsi="仿宋_GB2312" w:cs="仿宋_GB2312" w:eastAsia="仿宋_GB2312"/>
                <w:sz w:val="21"/>
              </w:rPr>
              <w:t>园区绿化管护和湿地保护项目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color w:val="000000"/>
              </w:rPr>
              <w:t>项目范围：</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绿化管护对象:道路红线及沿线内乔木、灌木、绿篱、草坪等；管护方式:施肥、修剪、病虫害防治、绿地内保洁、浇水；</w:t>
            </w:r>
          </w:p>
          <w:p>
            <w:pPr>
              <w:pStyle w:val="null3"/>
            </w:pPr>
            <w:r>
              <w:rPr>
                <w:rFonts w:ascii="仿宋_GB2312" w:hAnsi="仿宋_GB2312" w:cs="仿宋_GB2312" w:eastAsia="仿宋_GB2312"/>
                <w:sz w:val="21"/>
                <w:color w:val="000000"/>
              </w:rPr>
              <w:t>2、湿地保护位置:生态保育区；保护模式:人员巡查、巡检、垃圾拾取清运；</w:t>
            </w:r>
          </w:p>
          <w:p>
            <w:pPr>
              <w:pStyle w:val="null3"/>
              <w:jc w:val="left"/>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color w:val="000000"/>
              </w:rPr>
              <w:t>服务期限：1年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color w:val="000000"/>
              </w:rPr>
              <w:t>服务地点：渭南经开区</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1"/>
                <w:color w:val="000000"/>
              </w:rPr>
              <w:t>需满足的要求：满足园区绿化正常生长，符合湿地保护条件，满足采购要求。</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color w:val="000000"/>
              </w:rPr>
              <w:t>服务质量、标准、期限、效率等要求：</w:t>
            </w:r>
            <w:r>
              <w:rPr>
                <w:rFonts w:ascii="仿宋_GB2312" w:hAnsi="仿宋_GB2312" w:cs="仿宋_GB2312" w:eastAsia="仿宋_GB2312"/>
                <w:sz w:val="21"/>
                <w:color w:val="000000"/>
              </w:rPr>
              <w:t>符合国家相关法律、法规及行业质量标准和采购人 要求，达到合格标准。</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人员要求：</w:t>
            </w:r>
          </w:p>
          <w:p>
            <w:pPr>
              <w:pStyle w:val="null3"/>
            </w:pPr>
            <w:r>
              <w:rPr>
                <w:rFonts w:ascii="仿宋_GB2312" w:hAnsi="仿宋_GB2312" w:cs="仿宋_GB2312" w:eastAsia="仿宋_GB2312"/>
              </w:rPr>
              <w:t>项目负责人：具有园林绿化相关专业职称，且在本单位注册。</w:t>
            </w:r>
          </w:p>
          <w:p>
            <w:pPr>
              <w:pStyle w:val="null3"/>
            </w:pPr>
            <w:r>
              <w:rPr>
                <w:rFonts w:ascii="仿宋_GB2312" w:hAnsi="仿宋_GB2312" w:cs="仿宋_GB2312" w:eastAsia="仿宋_GB2312"/>
              </w:rPr>
              <w:t>其他人员 （除项目负责人外）：项目团队配 置人员数量、专业结构合理，投入人员规模与项目需求相匹配。</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渭南经开区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验收标准：符合国家相关法律及行业质量标准和采购人要求，达到合格标准，通过各级项目评审。 验收依据：国家及当地相关的标准和规范。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本项目支付方式为每季度支付一次，每次支付全额的25%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本项目支付方式为每季度支付一次，每次支付全额的25%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本项目支付方式为每季度支付一次，每次支付全额的25%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本项目支付方式为每季度支付一次，每次支付全额的25%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服务内容及服务邀请应答表 中小企业声明函 商务应答表 供应商资格证明文件.pdf 投标人应提交的相关资格证明材料 投标函 残疾人福利性单位声明函 服务方案 其他材料.pdf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具有独立承担民事责任能力的法人或其他组织提供营业执照等合法证明文件</w:t>
            </w:r>
          </w:p>
        </w:tc>
        <w:tc>
          <w:tcPr>
            <w:tcW w:type="dxa" w:w="1661"/>
          </w:tcPr>
          <w:p>
            <w:pPr>
              <w:pStyle w:val="null3"/>
            </w:pPr>
            <w:r>
              <w:rPr>
                <w:rFonts w:ascii="仿宋_GB2312" w:hAnsi="仿宋_GB2312" w:cs="仿宋_GB2312" w:eastAsia="仿宋_GB2312"/>
              </w:rPr>
              <w:t>投标人应提交的相关资格证明材料 供应商资格证明文件.pdf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应授权合法的人员参加投标全过程</w:t>
            </w:r>
          </w:p>
        </w:tc>
        <w:tc>
          <w:tcPr>
            <w:tcW w:type="dxa" w:w="3322"/>
          </w:tcPr>
          <w:p>
            <w:pPr>
              <w:pStyle w:val="null3"/>
            </w:pPr>
            <w:r>
              <w:rPr>
                <w:rFonts w:ascii="仿宋_GB2312" w:hAnsi="仿宋_GB2312" w:cs="仿宋_GB2312" w:eastAsia="仿宋_GB2312"/>
              </w:rPr>
              <w:t>供应商应授权合法的人员参加投标，其中法定代表人直接参加投标，须出具法定代表人身份证，并与营业执照上信息一致。法定代表人授权代表参加投标，须出具法定代表人授权书及授权代表身份证原件；</w:t>
            </w:r>
          </w:p>
        </w:tc>
        <w:tc>
          <w:tcPr>
            <w:tcW w:type="dxa" w:w="1661"/>
          </w:tcPr>
          <w:p>
            <w:pPr>
              <w:pStyle w:val="null3"/>
            </w:pPr>
            <w:r>
              <w:rPr>
                <w:rFonts w:ascii="仿宋_GB2312" w:hAnsi="仿宋_GB2312" w:cs="仿宋_GB2312" w:eastAsia="仿宋_GB2312"/>
              </w:rPr>
              <w:t>投标人应提交的相关资格证明材料 供应商资格证明文件.pdf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具有财务审计资质单位出具的2024年度财务审计报告（成立时间至投标文件递交截止时间前不足一年的可提供成立后任意时段的资产负债表）或投标文件递交截止时间前六个月内其基本账户银行出具的资信证明（附基本账户证明）或政府采购信用担保机构出具的担保函</w:t>
            </w:r>
          </w:p>
        </w:tc>
        <w:tc>
          <w:tcPr>
            <w:tcW w:type="dxa" w:w="1661"/>
          </w:tcPr>
          <w:p>
            <w:pPr>
              <w:pStyle w:val="null3"/>
            </w:pPr>
            <w:r>
              <w:rPr>
                <w:rFonts w:ascii="仿宋_GB2312" w:hAnsi="仿宋_GB2312" w:cs="仿宋_GB2312" w:eastAsia="仿宋_GB2312"/>
              </w:rPr>
              <w:t>投标人应提交的相关资格证明材料 供应商资格证明文件.pdf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有依法缴纳税收和社会保障资料的良好记录，提供投标文件递交截止时间前一年内任意一个月的缴费凭据（依法免税的供应商应提供相关文件证明）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 供应商资格证明文件.pdf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具有履行本合同所必需的设备和专业技术能力的说明及承诺，提供承诺书</w:t>
            </w:r>
          </w:p>
        </w:tc>
        <w:tc>
          <w:tcPr>
            <w:tcW w:type="dxa" w:w="1661"/>
          </w:tcPr>
          <w:p>
            <w:pPr>
              <w:pStyle w:val="null3"/>
            </w:pPr>
            <w:r>
              <w:rPr>
                <w:rFonts w:ascii="仿宋_GB2312" w:hAnsi="仿宋_GB2312" w:cs="仿宋_GB2312" w:eastAsia="仿宋_GB2312"/>
              </w:rPr>
              <w:t>投标人应提交的相关资格证明材料 供应商资格证明文件.pdf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 供应商资格证明文件.pdf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信用评价</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 供应商资格证明文件.pdf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 供应商资格证明文件.pdf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投标函 中小企业声明函 残疾人福利性单位声明函 监狱企业的证明文件 投标人应提交的相关资格证明材料 供应商资格证明文件.pdf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满足招标文件要求且最后报价最低的投标人的价格为投标基准价，其价格分为满分。其他投标人的价格分统一按照下列公式计算：投标报价得分=（评标基准价/有效最终投标报价）×20 2.投标报价不完整的，不进入评标标准价的计算，本项得0分。 注：本项目专门面向中小企业采购,对中小企业参加投标的不再执行价格扣除优惠。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近三年（2022年至今）的同类业绩，每提供一份得3分，满分9分。业绩证明【以中标通知书或合同的复印件为准】。未提供不得分。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针对服务过程中涉及的所有工作流程及服务内容进行评审，方案包含：①园区绿化的日常管护服务方案②湿地保护服务方案③针对本项目采取的环保措施及方案④针对本项目的应急预案。 方案各部分内容全面详细、阐述条理清晰详尽、符合本项目采购需求得16分；方案内容每缺一项扣4分，扣完为止；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项目负责人：①具有园林绿化相关专业职称得2分，其余不得分。②提供近三年（2022年7月至今）承担过类似项目业绩，有一项有效业绩得1分；每增加一项有效类似业绩加1分，最高加2分（时间以合同签订时间为准，合同中约定项目负责人姓名为准）。 （3）其他人员（除项目负责人外）：项目团队配置人员数量、专业结构合理，投入人员规模与项目需求相匹配，提供详细的人员清单；最高得5分，不提供不得分。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服务方案管理组织保障</w:t>
            </w:r>
          </w:p>
        </w:tc>
        <w:tc>
          <w:tcPr>
            <w:tcW w:type="dxa" w:w="2492"/>
          </w:tcPr>
          <w:p>
            <w:pPr>
              <w:pStyle w:val="null3"/>
            </w:pPr>
            <w:r>
              <w:rPr>
                <w:rFonts w:ascii="仿宋_GB2312" w:hAnsi="仿宋_GB2312" w:cs="仿宋_GB2312" w:eastAsia="仿宋_GB2312"/>
              </w:rPr>
              <w:t>（1）项目管理团队架构清晰合理、关键岗位职责明确得1.6-3分；架构较清晰较合理、关键岗位职责较明确得1-1.5分；未响应得0分。 （2）各工种人员配置及技能等级配置满足本项目需求，有系统的岗前、岗中培训计划得1.6-3分；人员配置及技能等级配置基足本项目需求，岗前、岗中培训计划一般得1-1.5分；未响应得0分。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项目实施质量及安全保证方案</w:t>
            </w:r>
          </w:p>
        </w:tc>
        <w:tc>
          <w:tcPr>
            <w:tcW w:type="dxa" w:w="2492"/>
          </w:tcPr>
          <w:p>
            <w:pPr>
              <w:pStyle w:val="null3"/>
            </w:pPr>
            <w:r>
              <w:rPr>
                <w:rFonts w:ascii="仿宋_GB2312" w:hAnsi="仿宋_GB2312" w:cs="仿宋_GB2312" w:eastAsia="仿宋_GB2312"/>
              </w:rPr>
              <w:t>项目实施质量及安全保证方案完整度高、保障措施众多，包含但不限于①具有完善的针对本项目的质量保证方案②具有完善的针对本项目的安全保证方案③机械设备投入及管理方案。 方案各部分内容全面详细、阐述条理清晰详尽、符合本项目采购需求得12分；方案内容每缺一项扣4分，扣完为止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突发情况处置方案</w:t>
            </w:r>
          </w:p>
        </w:tc>
        <w:tc>
          <w:tcPr>
            <w:tcW w:type="dxa" w:w="2492"/>
          </w:tcPr>
          <w:p>
            <w:pPr>
              <w:pStyle w:val="null3"/>
            </w:pPr>
            <w:r>
              <w:rPr>
                <w:rFonts w:ascii="仿宋_GB2312" w:hAnsi="仿宋_GB2312" w:cs="仿宋_GB2312" w:eastAsia="仿宋_GB2312"/>
              </w:rPr>
              <w:t>针对本项目突发情况的处置方案，包含但不限于①项目实施过程风险源的识别及预防机制②出现突发情况后的处置措施。 处置方案各部分内容全面详细、阐述条理清晰详尽、符合本项目采购需求得6分；方案内容每缺一项扣3分，扣完为止；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服务方案进度计划及保证措施</w:t>
            </w:r>
          </w:p>
        </w:tc>
        <w:tc>
          <w:tcPr>
            <w:tcW w:type="dxa" w:w="2492"/>
          </w:tcPr>
          <w:p>
            <w:pPr>
              <w:pStyle w:val="null3"/>
            </w:pPr>
            <w:r>
              <w:rPr>
                <w:rFonts w:ascii="仿宋_GB2312" w:hAnsi="仿宋_GB2312" w:cs="仿宋_GB2312" w:eastAsia="仿宋_GB2312"/>
              </w:rPr>
              <w:t>根据项目任务和时限要求，提供了详细可行、科学合理的项目实施计划和方案进度安排合理、措施完整、可操作性强得3.1-6分；进度安排一般、措施一般、可操作性一般得1-3分、不响应得0分。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服务方案合理化建议</w:t>
            </w:r>
          </w:p>
        </w:tc>
        <w:tc>
          <w:tcPr>
            <w:tcW w:type="dxa" w:w="2492"/>
          </w:tcPr>
          <w:p>
            <w:pPr>
              <w:pStyle w:val="null3"/>
            </w:pPr>
            <w:r>
              <w:rPr>
                <w:rFonts w:ascii="仿宋_GB2312" w:hAnsi="仿宋_GB2312" w:cs="仿宋_GB2312" w:eastAsia="仿宋_GB2312"/>
              </w:rPr>
              <w:t>对本项目提出全面、详细、合理、可行、有针对性的意见和建议，能最大程度满足项目需要，根据响应程度，建议合理、可行、操作性强得2.1-4分，建议一般、较可行得1-2分，未提供不得分。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对能够完成本项目工作的服务承诺，包括不限于①优惠承诺②无条件修改调整方案承诺③服务保证承诺④工作效率承诺等。 服务承诺各部分内容全面详细、阐述条理清晰详尽、符合本项目采购需求得12分；方案内容每缺一项扣3分，扣完为止；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详见附件：其他材料.pdf</w:t>
      </w:r>
    </w:p>
    <w:p>
      <w:pPr>
        <w:pStyle w:val="null3"/>
        <w:ind w:firstLine="960"/>
      </w:pPr>
      <w:r>
        <w:rPr>
          <w:rFonts w:ascii="仿宋_GB2312" w:hAnsi="仿宋_GB2312" w:cs="仿宋_GB2312" w:eastAsia="仿宋_GB2312"/>
        </w:rPr>
        <w:t>详见附件：供应商资格证明文件.pdf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