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65C9CE">
      <w:pPr>
        <w:autoSpaceDE w:val="0"/>
        <w:autoSpaceDN w:val="0"/>
        <w:spacing w:line="360" w:lineRule="auto"/>
        <w:jc w:val="center"/>
        <w:outlineLvl w:val="0"/>
        <w:rPr>
          <w:rFonts w:hint="eastAsia" w:ascii="楷体" w:hAnsi="楷体" w:eastAsia="楷体" w:cs="楷体"/>
          <w:b/>
          <w:szCs w:val="28"/>
          <w:lang w:eastAsia="zh-CN"/>
        </w:rPr>
      </w:pPr>
      <w:r>
        <w:rPr>
          <w:rFonts w:hint="eastAsia" w:ascii="楷体" w:hAnsi="楷体" w:eastAsia="楷体" w:cs="楷体"/>
          <w:b/>
          <w:szCs w:val="28"/>
          <w:lang w:eastAsia="zh-CN"/>
        </w:rPr>
        <w:t>（</w:t>
      </w:r>
      <w:r>
        <w:rPr>
          <w:rFonts w:hint="eastAsia" w:ascii="楷体" w:hAnsi="楷体" w:eastAsia="楷体" w:cs="楷体"/>
          <w:b/>
          <w:szCs w:val="28"/>
          <w:lang w:val="en-US" w:eastAsia="zh-CN"/>
        </w:rPr>
        <w:t>合同模板，具体以现场签订为准</w:t>
      </w:r>
      <w:r>
        <w:rPr>
          <w:rFonts w:hint="eastAsia" w:ascii="楷体" w:hAnsi="楷体" w:eastAsia="楷体" w:cs="楷体"/>
          <w:b/>
          <w:szCs w:val="28"/>
          <w:lang w:eastAsia="zh-CN"/>
        </w:rPr>
        <w:t>）</w:t>
      </w:r>
    </w:p>
    <w:p w14:paraId="11E21860">
      <w:pPr>
        <w:autoSpaceDE w:val="0"/>
        <w:autoSpaceDN w:val="0"/>
        <w:spacing w:line="360" w:lineRule="auto"/>
        <w:jc w:val="center"/>
        <w:outlineLvl w:val="0"/>
        <w:rPr>
          <w:rFonts w:hint="eastAsia" w:eastAsia="楷体"/>
          <w:lang w:eastAsia="zh-CN"/>
        </w:rPr>
      </w:pPr>
      <w:r>
        <w:rPr>
          <w:rFonts w:hint="eastAsia" w:ascii="楷体" w:hAnsi="楷体" w:eastAsia="楷体" w:cs="楷体"/>
          <w:b/>
          <w:szCs w:val="28"/>
        </w:rPr>
        <w:t>合同主要条款</w:t>
      </w:r>
    </w:p>
    <w:p w14:paraId="7C18E586">
      <w:pPr>
        <w:spacing w:line="348" w:lineRule="auto"/>
        <w:ind w:firstLine="480" w:firstLineChars="200"/>
        <w:rPr>
          <w:rFonts w:hint="eastAsia" w:ascii="楷体" w:hAnsi="楷体" w:eastAsia="楷体" w:cs="楷体"/>
          <w:sz w:val="24"/>
          <w:szCs w:val="24"/>
          <w:lang w:eastAsia="zh-CN"/>
        </w:rPr>
      </w:pPr>
      <w:r>
        <w:rPr>
          <w:rFonts w:hint="eastAsia" w:ascii="楷体" w:hAnsi="楷体" w:eastAsia="楷体" w:cs="楷体"/>
          <w:sz w:val="24"/>
          <w:szCs w:val="24"/>
        </w:rPr>
        <w:t>甲方（采购人）：</w:t>
      </w:r>
    </w:p>
    <w:p w14:paraId="52E6BCF7">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乙方（成交人）：</w:t>
      </w:r>
    </w:p>
    <w:p w14:paraId="1E18E8B5">
      <w:pPr>
        <w:spacing w:line="348" w:lineRule="auto"/>
        <w:ind w:firstLine="480" w:firstLineChars="200"/>
        <w:rPr>
          <w:rFonts w:hint="eastAsia" w:ascii="楷体" w:hAnsi="楷体" w:eastAsia="楷体" w:cs="楷体"/>
        </w:rPr>
      </w:pPr>
      <w:r>
        <w:rPr>
          <w:rFonts w:hint="eastAsia" w:ascii="楷体" w:hAnsi="楷体" w:eastAsia="楷体" w:cs="楷体"/>
          <w:sz w:val="24"/>
          <w:szCs w:val="24"/>
          <w:lang w:eastAsia="zh-CN"/>
        </w:rPr>
        <w:t>依据《中华人民共和国民法典》、《中华人民共和国政府采购法》与项目行业有关的法律法规，以及</w:t>
      </w:r>
      <w:r>
        <w:rPr>
          <w:rFonts w:hint="eastAsia" w:ascii="楷体" w:hAnsi="楷体" w:eastAsia="楷体" w:cs="楷体"/>
          <w:sz w:val="24"/>
          <w:szCs w:val="24"/>
          <w:u w:val="single"/>
          <w:lang w:val="en-US" w:eastAsia="zh-CN"/>
        </w:rPr>
        <w:t xml:space="preserve">              </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项目名称</w:t>
      </w:r>
      <w:r>
        <w:rPr>
          <w:rFonts w:hint="eastAsia" w:ascii="楷体" w:hAnsi="楷体" w:eastAsia="楷体" w:cs="楷体"/>
          <w:sz w:val="24"/>
          <w:szCs w:val="24"/>
          <w:lang w:eastAsia="zh-CN"/>
        </w:rPr>
        <w:t>）的竞争性磋商文件，乙方的磋商响应文件及成交通知书，甲、乙双方同意签订本合同。</w:t>
      </w:r>
    </w:p>
    <w:p w14:paraId="567E15EB">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第一条 服务期限</w:t>
      </w:r>
    </w:p>
    <w:p w14:paraId="3C8AA4ED">
      <w:pPr>
        <w:spacing w:line="348" w:lineRule="auto"/>
        <w:ind w:firstLine="1440" w:firstLineChars="600"/>
        <w:rPr>
          <w:rFonts w:hint="eastAsia" w:ascii="楷体" w:hAnsi="楷体" w:eastAsia="楷体" w:cs="楷体"/>
          <w:sz w:val="24"/>
          <w:szCs w:val="24"/>
          <w:highlight w:val="none"/>
          <w:lang w:val="en-US" w:eastAsia="zh-CN"/>
        </w:rPr>
      </w:pPr>
      <w:bookmarkStart w:id="0" w:name="_Toc225244852"/>
      <w:bookmarkStart w:id="1" w:name="_Toc286993786"/>
      <w:bookmarkStart w:id="2" w:name="_Toc239568418"/>
      <w:bookmarkStart w:id="3" w:name="_Toc241833903"/>
      <w:bookmarkStart w:id="4" w:name="_Toc251768862"/>
      <w:bookmarkStart w:id="5" w:name="_Toc185395249"/>
      <w:bookmarkStart w:id="6" w:name="_Toc225670751"/>
      <w:bookmarkStart w:id="7" w:name="_Toc247334841"/>
      <w:bookmarkStart w:id="8" w:name="_Toc211854449"/>
      <w:bookmarkStart w:id="9" w:name="_Toc237145406"/>
      <w:bookmarkStart w:id="10" w:name="_Toc239233914"/>
      <w:bookmarkStart w:id="11" w:name="_Toc212019594"/>
      <w:bookmarkStart w:id="12" w:name="_Toc238984975"/>
      <w:bookmarkStart w:id="13" w:name="_Toc232492928"/>
      <w:bookmarkStart w:id="14" w:name="_Toc283019214"/>
      <w:bookmarkStart w:id="15" w:name="_Toc282696226"/>
      <w:bookmarkStart w:id="16" w:name="_Toc225654644"/>
      <w:bookmarkStart w:id="17" w:name="_Toc211911348"/>
      <w:r>
        <w:rPr>
          <w:rFonts w:hint="eastAsia" w:ascii="楷体" w:hAnsi="楷体" w:eastAsia="楷体" w:cs="楷体"/>
          <w:sz w:val="24"/>
          <w:szCs w:val="24"/>
          <w:highlight w:val="none"/>
          <w:lang w:val="en-US" w:eastAsia="zh-CN"/>
        </w:rPr>
        <w:t>年   月   日内完成并交付采购人</w:t>
      </w:r>
    </w:p>
    <w:p w14:paraId="518935D2">
      <w:pPr>
        <w:numPr>
          <w:ilvl w:val="0"/>
          <w:numId w:val="1"/>
        </w:num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服务内容与绩效目标</w:t>
      </w:r>
    </w:p>
    <w:p w14:paraId="6C071D8A">
      <w:pPr>
        <w:pStyle w:val="2"/>
        <w:numPr>
          <w:ilvl w:val="0"/>
          <w:numId w:val="0"/>
        </w:numPr>
        <w:rPr>
          <w:rFonts w:hint="eastAsia"/>
        </w:rPr>
      </w:pPr>
    </w:p>
    <w:p w14:paraId="31128CAC">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第三条 服务费用、验收及支付方式</w:t>
      </w:r>
    </w:p>
    <w:p w14:paraId="59A628E2">
      <w:pPr>
        <w:spacing w:line="360"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1、本项目服务费（成交价）：大写：</w:t>
      </w:r>
      <w:r>
        <w:rPr>
          <w:rFonts w:hint="eastAsia" w:ascii="楷体" w:hAnsi="楷体" w:eastAsia="楷体" w:cs="楷体"/>
          <w:sz w:val="24"/>
          <w:szCs w:val="24"/>
          <w:u w:val="single"/>
        </w:rPr>
        <w:t xml:space="preserve">     </w:t>
      </w:r>
      <w:r>
        <w:rPr>
          <w:rFonts w:hint="eastAsia" w:ascii="楷体" w:hAnsi="楷体" w:eastAsia="楷体" w:cs="楷体"/>
          <w:sz w:val="24"/>
          <w:szCs w:val="24"/>
        </w:rPr>
        <w:t>（小写：</w:t>
      </w:r>
      <w:r>
        <w:rPr>
          <w:rFonts w:hint="eastAsia" w:ascii="楷体" w:hAnsi="楷体" w:eastAsia="楷体" w:cs="楷体"/>
          <w:sz w:val="24"/>
          <w:szCs w:val="24"/>
          <w:u w:val="single"/>
        </w:rPr>
        <w:t xml:space="preserve">   </w:t>
      </w:r>
      <w:r>
        <w:rPr>
          <w:rFonts w:hint="eastAsia" w:ascii="楷体" w:hAnsi="楷体" w:eastAsia="楷体" w:cs="楷体"/>
          <w:sz w:val="24"/>
          <w:szCs w:val="24"/>
        </w:rPr>
        <w:t>元）。</w:t>
      </w:r>
    </w:p>
    <w:p w14:paraId="41053FE9">
      <w:pPr>
        <w:spacing w:line="360" w:lineRule="auto"/>
        <w:ind w:firstLine="480" w:firstLineChars="200"/>
        <w:rPr>
          <w:rFonts w:hint="eastAsia" w:ascii="楷体" w:hAnsi="楷体" w:eastAsia="楷体" w:cs="楷体"/>
          <w:sz w:val="24"/>
          <w:szCs w:val="22"/>
        </w:rPr>
      </w:pPr>
      <w:r>
        <w:rPr>
          <w:rFonts w:hint="eastAsia" w:ascii="楷体" w:hAnsi="楷体" w:eastAsia="楷体" w:cs="楷体"/>
          <w:sz w:val="24"/>
          <w:szCs w:val="22"/>
        </w:rPr>
        <w:t>2、验收：项目完成后由采购人负责组织验收，必要时请有关专家和国家法定机构，共同进行验收，验收合格须交接项目实施的全部资料。验收须以采购文件、合同、国家相应的标准、规范等为依据。</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77990C42">
      <w:pPr>
        <w:snapToGrid w:val="0"/>
        <w:spacing w:line="360" w:lineRule="auto"/>
        <w:ind w:firstLine="240" w:firstLineChars="100"/>
        <w:rPr>
          <w:rFonts w:hint="default" w:ascii="楷体" w:hAnsi="楷体" w:eastAsia="楷体" w:cs="楷体"/>
          <w:sz w:val="24"/>
          <w:szCs w:val="24"/>
          <w:lang w:val="en-US" w:eastAsia="zh-CN"/>
        </w:rPr>
      </w:pPr>
      <w:r>
        <w:rPr>
          <w:rFonts w:hint="eastAsia" w:ascii="楷体" w:hAnsi="楷体" w:eastAsia="楷体" w:cs="楷体"/>
          <w:sz w:val="24"/>
          <w:szCs w:val="22"/>
        </w:rPr>
        <w:t xml:space="preserve">  </w:t>
      </w:r>
      <w:r>
        <w:rPr>
          <w:rFonts w:hint="eastAsia" w:ascii="楷体" w:hAnsi="楷体" w:eastAsia="楷体" w:cs="楷体"/>
          <w:sz w:val="24"/>
          <w:szCs w:val="24"/>
        </w:rPr>
        <w:t>3、服务费支付方式：</w:t>
      </w:r>
      <w:r>
        <w:rPr>
          <w:rFonts w:hint="eastAsia" w:ascii="楷体" w:hAnsi="楷体" w:eastAsia="楷体" w:cs="楷体"/>
          <w:sz w:val="24"/>
          <w:szCs w:val="24"/>
          <w:u w:val="single"/>
        </w:rPr>
        <w:t xml:space="preserve">   </w:t>
      </w:r>
      <w:r>
        <w:rPr>
          <w:rFonts w:hint="eastAsia" w:ascii="楷体" w:hAnsi="楷体" w:eastAsia="楷体" w:cs="楷体"/>
          <w:sz w:val="24"/>
          <w:szCs w:val="24"/>
          <w:u w:val="single"/>
          <w:lang w:val="en-US" w:eastAsia="zh-CN"/>
        </w:rPr>
        <w:t xml:space="preserve">                             </w:t>
      </w:r>
      <w:r>
        <w:rPr>
          <w:rFonts w:hint="eastAsia" w:ascii="楷体" w:hAnsi="楷体" w:eastAsia="楷体" w:cs="楷体"/>
          <w:sz w:val="24"/>
          <w:szCs w:val="24"/>
          <w:u w:val="single"/>
        </w:rPr>
        <w:t xml:space="preserve">  </w:t>
      </w:r>
      <w:r>
        <w:rPr>
          <w:rFonts w:hint="eastAsia" w:ascii="楷体" w:hAnsi="楷体" w:eastAsia="楷体" w:cs="楷体"/>
          <w:sz w:val="24"/>
          <w:szCs w:val="24"/>
          <w:lang w:val="en-US" w:eastAsia="zh-CN"/>
        </w:rPr>
        <w:t>。</w:t>
      </w:r>
    </w:p>
    <w:p w14:paraId="101A1B06">
      <w:pPr>
        <w:spacing w:line="348" w:lineRule="auto"/>
        <w:ind w:firstLine="480" w:firstLineChars="200"/>
        <w:rPr>
          <w:rFonts w:hint="eastAsia" w:ascii="楷体" w:hAnsi="楷体" w:eastAsia="楷体" w:cs="楷体"/>
          <w:b/>
          <w:sz w:val="24"/>
          <w:szCs w:val="24"/>
        </w:rPr>
      </w:pPr>
      <w:r>
        <w:rPr>
          <w:rFonts w:hint="eastAsia" w:ascii="楷体" w:hAnsi="楷体" w:eastAsia="楷体" w:cs="楷体"/>
          <w:sz w:val="24"/>
          <w:szCs w:val="24"/>
        </w:rPr>
        <w:t xml:space="preserve"> </w:t>
      </w:r>
      <w:r>
        <w:rPr>
          <w:rFonts w:hint="eastAsia" w:ascii="楷体" w:hAnsi="楷体" w:eastAsia="楷体" w:cs="楷体"/>
          <w:b/>
          <w:sz w:val="24"/>
          <w:szCs w:val="24"/>
        </w:rPr>
        <w:t>第四条 知识产权</w:t>
      </w:r>
      <w:bookmarkStart w:id="52" w:name="_GoBack"/>
      <w:bookmarkEnd w:id="52"/>
    </w:p>
    <w:p w14:paraId="0FC0F777">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乙方应保证所提供的服务或其任何一部分均不会侵犯任何第三方的专利权、商标权或著作权。</w:t>
      </w:r>
    </w:p>
    <w:p w14:paraId="3A7152C7">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第五条 无产权瑕疵条款</w:t>
      </w:r>
    </w:p>
    <w:p w14:paraId="7EA82247">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乙方保证所提供的服务的所有权完全属于乙方且无任何抵押、查封等产权瑕疵。如有产权瑕疵的，视为乙方违约。乙方应负担由此而产生的一切损失。</w:t>
      </w:r>
    </w:p>
    <w:p w14:paraId="5E121EE9">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第六条 甲方的权利和义务</w:t>
      </w:r>
    </w:p>
    <w:p w14:paraId="24908BF9">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189819A9">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2、甲方有权依据双方签订的考评办法对乙方提供的服务进行定期考评。</w:t>
      </w:r>
    </w:p>
    <w:p w14:paraId="42AD3966">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3、负责检查监督乙方管理工作的实施及制度的执行情况。</w:t>
      </w:r>
    </w:p>
    <w:p w14:paraId="172D5DB5">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4、根据本合同规定，按时向乙方支付应付服务费用。</w:t>
      </w:r>
    </w:p>
    <w:p w14:paraId="713DCB77">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5、国家法律、法规所规定由甲方承担的其它责任。</w:t>
      </w:r>
    </w:p>
    <w:p w14:paraId="27E82EAB">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第七条 乙方的权利和义务</w:t>
      </w:r>
    </w:p>
    <w:p w14:paraId="40EC3423">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1、对本合同规定的委托服务范围内的项目享有管理权及服务义务。</w:t>
      </w:r>
    </w:p>
    <w:p w14:paraId="63298FAD">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2、根据本合同的规定向甲方收取相关服务费用，并有权在本项目管理范围内管理及合理使用。</w:t>
      </w:r>
    </w:p>
    <w:p w14:paraId="25C7BDDD">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3、及时向甲方通告本项目服务范围内有关服务的重大事项，及时配合处理投诉。</w:t>
      </w:r>
    </w:p>
    <w:p w14:paraId="4EB1A12B">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4、接受项目行业管理部门及政府有关部门的指导，接受甲方的监督。</w:t>
      </w:r>
    </w:p>
    <w:p w14:paraId="6A80FECD">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5、国家法律、法规所规定由乙方承担的其它责任。</w:t>
      </w:r>
    </w:p>
    <w:p w14:paraId="53F09819">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第八条 违约责任</w:t>
      </w:r>
    </w:p>
    <w:p w14:paraId="47C10802">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1、甲乙双方必须遵守本合同并执行合同中的各项规定，保证本合同的正常履行。</w:t>
      </w:r>
    </w:p>
    <w:p w14:paraId="4BB73AE0">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9125506">
      <w:pPr>
        <w:spacing w:line="348" w:lineRule="auto"/>
        <w:ind w:firstLine="482" w:firstLineChars="200"/>
        <w:rPr>
          <w:rFonts w:hint="eastAsia" w:ascii="楷体" w:hAnsi="楷体" w:eastAsia="楷体" w:cs="楷体"/>
          <w:b/>
          <w:sz w:val="24"/>
          <w:szCs w:val="24"/>
        </w:rPr>
      </w:pPr>
      <w:r>
        <w:rPr>
          <w:rFonts w:hint="eastAsia" w:ascii="楷体" w:hAnsi="楷体" w:eastAsia="楷体" w:cs="楷体"/>
          <w:b/>
          <w:sz w:val="24"/>
          <w:szCs w:val="24"/>
        </w:rPr>
        <w:t>第九条 不可抗力事件处理</w:t>
      </w:r>
    </w:p>
    <w:p w14:paraId="4B220997">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1、在合同有效期内，任何一方因不可抗力事件导致不能履行合同，则合同履行期可延长，其延长期与不可抗力影响期相同。</w:t>
      </w:r>
    </w:p>
    <w:p w14:paraId="7D544461">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2、不可抗力事件发生后，应立即通知对方，并寄送有关权威机构出具的证明。</w:t>
      </w:r>
    </w:p>
    <w:p w14:paraId="60ACA46B">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3、不可抗力事件延续15天以上，双方应通过友好协商，确定是否继续履行合同。</w:t>
      </w:r>
    </w:p>
    <w:p w14:paraId="5CFE164C">
      <w:pPr>
        <w:spacing w:line="348" w:lineRule="auto"/>
        <w:ind w:firstLine="482" w:firstLineChars="200"/>
        <w:rPr>
          <w:rFonts w:hint="eastAsia" w:ascii="楷体" w:hAnsi="楷体" w:eastAsia="楷体" w:cs="楷体"/>
          <w:b/>
          <w:sz w:val="24"/>
          <w:szCs w:val="24"/>
        </w:rPr>
      </w:pPr>
      <w:bookmarkStart w:id="18" w:name="_Toc239568423"/>
      <w:bookmarkStart w:id="19" w:name="_Toc241833908"/>
      <w:bookmarkStart w:id="20" w:name="_Toc211854454"/>
      <w:bookmarkStart w:id="21" w:name="_Toc238984980"/>
      <w:bookmarkStart w:id="22" w:name="_Toc185395254"/>
      <w:bookmarkStart w:id="23" w:name="_Toc239233919"/>
      <w:bookmarkStart w:id="24" w:name="_Toc225654649"/>
      <w:bookmarkStart w:id="25" w:name="_Toc286993792"/>
      <w:bookmarkStart w:id="26" w:name="_Toc247334846"/>
      <w:bookmarkStart w:id="27" w:name="_Toc225670756"/>
      <w:bookmarkStart w:id="28" w:name="_Toc251768867"/>
      <w:bookmarkStart w:id="29" w:name="_Toc212019599"/>
      <w:bookmarkStart w:id="30" w:name="_Toc232492933"/>
      <w:bookmarkStart w:id="31" w:name="_Toc211911353"/>
      <w:bookmarkStart w:id="32" w:name="_Toc237145411"/>
      <w:bookmarkStart w:id="33" w:name="_Toc225244857"/>
      <w:r>
        <w:rPr>
          <w:rFonts w:hint="eastAsia" w:ascii="楷体" w:hAnsi="楷体" w:eastAsia="楷体" w:cs="楷体"/>
          <w:b/>
          <w:sz w:val="24"/>
          <w:szCs w:val="24"/>
        </w:rPr>
        <w:t>第十条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100431E">
      <w:pPr>
        <w:spacing w:line="348" w:lineRule="auto"/>
        <w:ind w:firstLine="480" w:firstLineChars="200"/>
        <w:rPr>
          <w:rFonts w:hint="eastAsia" w:ascii="楷体" w:hAnsi="楷体" w:eastAsia="楷体" w:cs="楷体"/>
          <w:sz w:val="24"/>
          <w:szCs w:val="24"/>
        </w:rPr>
      </w:pPr>
      <w:bookmarkStart w:id="34" w:name="_Toc251768868"/>
      <w:bookmarkStart w:id="35" w:name="_Toc185395255"/>
      <w:bookmarkStart w:id="36" w:name="_Toc247334847"/>
      <w:bookmarkStart w:id="37" w:name="_Toc239568424"/>
      <w:bookmarkStart w:id="38" w:name="_Toc241833909"/>
      <w:bookmarkStart w:id="39" w:name="_Toc238984981"/>
      <w:bookmarkStart w:id="40" w:name="_Toc237145412"/>
      <w:bookmarkStart w:id="41" w:name="_Toc283019219"/>
      <w:bookmarkStart w:id="42" w:name="_Toc286993793"/>
      <w:bookmarkStart w:id="43" w:name="_Toc225244858"/>
      <w:bookmarkStart w:id="44" w:name="_Toc211911354"/>
      <w:bookmarkStart w:id="45" w:name="_Toc282696231"/>
      <w:bookmarkStart w:id="46" w:name="_Toc225670757"/>
      <w:bookmarkStart w:id="47" w:name="_Toc232492934"/>
      <w:bookmarkStart w:id="48" w:name="_Toc239233920"/>
      <w:bookmarkStart w:id="49" w:name="_Toc212019600"/>
      <w:bookmarkStart w:id="50" w:name="_Toc225654650"/>
      <w:bookmarkStart w:id="51" w:name="_Toc211854455"/>
      <w:r>
        <w:rPr>
          <w:rFonts w:hint="eastAsia" w:ascii="楷体" w:hAnsi="楷体" w:eastAsia="楷体" w:cs="楷体"/>
          <w:sz w:val="24"/>
          <w:szCs w:val="24"/>
        </w:rPr>
        <w:t>1、合同一经签订，不得随意变更、中止或终止。对确需变更、调整或者中止、终止合同的，应按规定履行相应的手续。</w:t>
      </w:r>
    </w:p>
    <w:p w14:paraId="1A924352">
      <w:pPr>
        <w:spacing w:line="348" w:lineRule="auto"/>
        <w:ind w:firstLine="482" w:firstLineChars="200"/>
        <w:rPr>
          <w:rFonts w:hint="eastAsia" w:ascii="楷体" w:hAnsi="楷体" w:eastAsia="楷体" w:cs="楷体"/>
          <w:sz w:val="24"/>
          <w:szCs w:val="24"/>
        </w:rPr>
      </w:pPr>
      <w:r>
        <w:rPr>
          <w:rFonts w:hint="eastAsia" w:ascii="楷体" w:hAnsi="楷体" w:eastAsia="楷体" w:cs="楷体"/>
          <w:b/>
          <w:sz w:val="24"/>
          <w:szCs w:val="24"/>
        </w:rPr>
        <w:t>第十一条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楷体" w:hAnsi="楷体" w:eastAsia="楷体" w:cs="楷体"/>
          <w:b/>
          <w:sz w:val="24"/>
          <w:szCs w:val="24"/>
        </w:rPr>
        <w:t>生效及其他</w:t>
      </w:r>
    </w:p>
    <w:p w14:paraId="306BFED9">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1、甲、乙双方做为合同执行的主体，有义务及时完全履行合同。</w:t>
      </w:r>
    </w:p>
    <w:p w14:paraId="6BB435AC">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2、合同未尽事宜，由甲、乙双方协商，协商方案作为本合同不可分割的组成部分，与本合同具有同等法律效力。</w:t>
      </w:r>
    </w:p>
    <w:p w14:paraId="7B569AD3">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3、采购文件和乙方的响应文件以及合同附件均为合同不可分割的部分。</w:t>
      </w:r>
    </w:p>
    <w:p w14:paraId="67665BC4">
      <w:pPr>
        <w:spacing w:line="348" w:lineRule="auto"/>
        <w:ind w:firstLine="480" w:firstLineChars="200"/>
        <w:rPr>
          <w:rFonts w:hint="eastAsia" w:ascii="楷体" w:hAnsi="楷体" w:eastAsia="楷体" w:cs="楷体"/>
          <w:sz w:val="24"/>
          <w:szCs w:val="24"/>
        </w:rPr>
      </w:pPr>
      <w:r>
        <w:rPr>
          <w:rFonts w:hint="eastAsia" w:ascii="楷体" w:hAnsi="楷体" w:eastAsia="楷体" w:cs="楷体"/>
          <w:sz w:val="24"/>
          <w:szCs w:val="24"/>
        </w:rPr>
        <w:t>4、本合同一式七份，甲乙双方各执三份，具有同等法律效力；监督方执一份。</w:t>
      </w:r>
    </w:p>
    <w:p w14:paraId="2CD37081">
      <w:pPr>
        <w:ind w:firstLine="480" w:firstLineChars="200"/>
        <w:rPr>
          <w:rFonts w:hint="eastAsia" w:ascii="楷体" w:hAnsi="楷体" w:eastAsia="楷体" w:cs="楷体"/>
          <w:sz w:val="24"/>
          <w:szCs w:val="24"/>
        </w:rPr>
      </w:pPr>
      <w:r>
        <w:rPr>
          <w:rFonts w:hint="eastAsia" w:ascii="楷体" w:hAnsi="楷体" w:eastAsia="楷体" w:cs="楷体"/>
          <w:sz w:val="24"/>
          <w:szCs w:val="24"/>
        </w:rPr>
        <w:t>甲方（盖单位章）：               乙方（盖单位章）：</w:t>
      </w:r>
    </w:p>
    <w:p w14:paraId="3CE359E1">
      <w:pPr>
        <w:ind w:firstLine="480" w:firstLineChars="200"/>
        <w:rPr>
          <w:rFonts w:hint="eastAsia" w:ascii="楷体" w:hAnsi="楷体" w:eastAsia="楷体" w:cs="楷体"/>
          <w:sz w:val="24"/>
          <w:szCs w:val="24"/>
        </w:rPr>
      </w:pPr>
      <w:r>
        <w:rPr>
          <w:rFonts w:hint="eastAsia" w:ascii="楷体" w:hAnsi="楷体" w:eastAsia="楷体" w:cs="楷体"/>
          <w:sz w:val="24"/>
          <w:szCs w:val="24"/>
        </w:rPr>
        <w:t>法定代表人或                    法定代表人或</w:t>
      </w:r>
    </w:p>
    <w:p w14:paraId="3B10722A">
      <w:pPr>
        <w:ind w:firstLine="480" w:firstLineChars="200"/>
        <w:rPr>
          <w:rFonts w:hint="eastAsia" w:ascii="楷体" w:hAnsi="楷体" w:eastAsia="楷体" w:cs="楷体"/>
          <w:sz w:val="24"/>
          <w:szCs w:val="24"/>
        </w:rPr>
      </w:pPr>
      <w:r>
        <w:rPr>
          <w:rFonts w:hint="eastAsia" w:ascii="楷体" w:hAnsi="楷体" w:eastAsia="楷体" w:cs="楷体"/>
          <w:sz w:val="24"/>
          <w:szCs w:val="24"/>
        </w:rPr>
        <w:t>授权代理人签字：                授权代理人签字：</w:t>
      </w:r>
    </w:p>
    <w:p w14:paraId="4FD2158A">
      <w:pPr>
        <w:ind w:firstLine="480" w:firstLineChars="200"/>
        <w:rPr>
          <w:rFonts w:hint="eastAsia" w:ascii="楷体" w:hAnsi="楷体" w:eastAsia="楷体" w:cs="楷体"/>
          <w:sz w:val="24"/>
          <w:szCs w:val="24"/>
        </w:rPr>
      </w:pPr>
      <w:r>
        <w:rPr>
          <w:rFonts w:hint="eastAsia" w:ascii="楷体" w:hAnsi="楷体" w:eastAsia="楷体" w:cs="楷体"/>
          <w:sz w:val="24"/>
          <w:szCs w:val="24"/>
        </w:rPr>
        <w:t>地址：                          地址：</w:t>
      </w:r>
    </w:p>
    <w:p w14:paraId="7570D4A6">
      <w:pPr>
        <w:ind w:firstLine="480" w:firstLineChars="200"/>
        <w:rPr>
          <w:rFonts w:hint="eastAsia" w:ascii="楷体" w:hAnsi="楷体" w:eastAsia="楷体" w:cs="楷体"/>
          <w:sz w:val="24"/>
          <w:szCs w:val="24"/>
        </w:rPr>
      </w:pPr>
      <w:r>
        <w:rPr>
          <w:rFonts w:hint="eastAsia" w:ascii="楷体" w:hAnsi="楷体" w:eastAsia="楷体" w:cs="楷体"/>
          <w:sz w:val="24"/>
          <w:szCs w:val="24"/>
        </w:rPr>
        <w:t>邮编：                          邮编：</w:t>
      </w:r>
    </w:p>
    <w:p w14:paraId="49A60530">
      <w:pPr>
        <w:ind w:firstLine="480" w:firstLineChars="200"/>
        <w:rPr>
          <w:rFonts w:hint="eastAsia" w:ascii="楷体" w:hAnsi="楷体" w:eastAsia="楷体" w:cs="楷体"/>
          <w:sz w:val="24"/>
          <w:szCs w:val="24"/>
        </w:rPr>
      </w:pPr>
      <w:r>
        <w:rPr>
          <w:rFonts w:hint="eastAsia" w:ascii="楷体" w:hAnsi="楷体" w:eastAsia="楷体" w:cs="楷体"/>
          <w:sz w:val="24"/>
          <w:szCs w:val="24"/>
        </w:rPr>
        <w:t>开户银行名称：                  开户银行名称：</w:t>
      </w:r>
    </w:p>
    <w:p w14:paraId="2AC907BC">
      <w:pPr>
        <w:ind w:firstLine="480" w:firstLineChars="200"/>
        <w:rPr>
          <w:rFonts w:hint="eastAsia" w:ascii="楷体" w:hAnsi="楷体" w:eastAsia="楷体" w:cs="楷体"/>
          <w:sz w:val="24"/>
          <w:szCs w:val="24"/>
        </w:rPr>
      </w:pPr>
      <w:r>
        <w:rPr>
          <w:rFonts w:hint="eastAsia" w:ascii="楷体" w:hAnsi="楷体" w:eastAsia="楷体" w:cs="楷体"/>
          <w:sz w:val="24"/>
          <w:szCs w:val="24"/>
        </w:rPr>
        <w:t>银行账号：                      银行账号：</w:t>
      </w:r>
    </w:p>
    <w:p w14:paraId="67526523">
      <w:pPr>
        <w:ind w:firstLine="480" w:firstLineChars="200"/>
        <w:rPr>
          <w:rFonts w:hint="eastAsia" w:ascii="楷体" w:hAnsi="楷体" w:eastAsia="楷体" w:cs="楷体"/>
          <w:sz w:val="24"/>
          <w:szCs w:val="24"/>
        </w:rPr>
      </w:pPr>
      <w:r>
        <w:rPr>
          <w:rFonts w:hint="eastAsia" w:ascii="楷体" w:hAnsi="楷体" w:eastAsia="楷体" w:cs="楷体"/>
          <w:sz w:val="24"/>
          <w:szCs w:val="24"/>
        </w:rPr>
        <w:t>联系人：                        联系人：</w:t>
      </w:r>
    </w:p>
    <w:p w14:paraId="460F7BA6">
      <w:pPr>
        <w:ind w:firstLine="480" w:firstLineChars="200"/>
        <w:rPr>
          <w:rFonts w:hint="eastAsia" w:ascii="楷体" w:hAnsi="楷体" w:eastAsia="楷体" w:cs="楷体"/>
          <w:sz w:val="24"/>
          <w:szCs w:val="24"/>
        </w:rPr>
      </w:pPr>
      <w:r>
        <w:rPr>
          <w:rFonts w:hint="eastAsia" w:ascii="楷体" w:hAnsi="楷体" w:eastAsia="楷体" w:cs="楷体"/>
          <w:sz w:val="24"/>
          <w:szCs w:val="24"/>
        </w:rPr>
        <w:t>电话：                          电话：</w:t>
      </w:r>
    </w:p>
    <w:p w14:paraId="74BE920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22E053"/>
    <w:multiLevelType w:val="singleLevel"/>
    <w:tmpl w:val="BA22E053"/>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3MzI3MTdkOGZmNzkwNmNkYTY2ZDA2Y2Q0ODU1ZjIifQ=="/>
  </w:docVars>
  <w:rsids>
    <w:rsidRoot w:val="2F9A2B6B"/>
    <w:rsid w:val="2F9A2B6B"/>
    <w:rsid w:val="3A6D6F46"/>
    <w:rsid w:val="5AF4260B"/>
    <w:rsid w:val="71627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1409</Words>
  <Characters>1414</Characters>
  <Lines>0</Lines>
  <Paragraphs>0</Paragraphs>
  <TotalTime>0</TotalTime>
  <ScaleCrop>false</ScaleCrop>
  <LinksUpToDate>false</LinksUpToDate>
  <CharactersWithSpaces>1648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2024-09-05T04:05:00Z</dcterms:created>
  <dc:creator>ztt</dc:creator>
  <cp:lastModifiedBy>L</cp:lastModifiedBy>
  <dcterms:modified xsi:type="dcterms:W3CDTF">2024-11-26T05:14:43Z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FC52CEAD925244AA9DE61F5753C64033_11</vt:lpwstr>
  </property>
</Properties>
</file>