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版本号：RCZB-HZ-20251201.1B320260228001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危化品企业智能监管平台建设项目(四次)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RCZB-HZ-20251201.1B3</w:t>
      </w:r>
      <w:r>
        <w:br/>
      </w:r>
      <w:r>
        <w:br/>
      </w:r>
      <w:r>
        <w:br/>
      </w:r>
    </w:p>
    <w:p>
      <w:pPr>
        <w:pStyle w:val="null3"/>
        <w:jc w:val="center"/>
        <w:outlineLvl w:val="2"/>
      </w:pPr>
      <w:r>
        <w:rPr>
          <w:rFonts w:ascii="仿宋_GB2312" w:hAnsi="仿宋_GB2312" w:cs="仿宋_GB2312" w:eastAsia="仿宋_GB2312"/>
          <w:sz w:val="28"/>
          <w:b/>
        </w:rPr>
        <w:t>汉中市应急管理局</w:t>
      </w:r>
    </w:p>
    <w:p>
      <w:pPr>
        <w:pStyle w:val="null3"/>
        <w:jc w:val="center"/>
        <w:outlineLvl w:val="2"/>
      </w:pPr>
      <w:r>
        <w:rPr>
          <w:rFonts w:ascii="仿宋_GB2312" w:hAnsi="仿宋_GB2312" w:cs="仿宋_GB2312" w:eastAsia="仿宋_GB2312"/>
          <w:sz w:val="28"/>
          <w:b/>
        </w:rPr>
        <w:t>锐驰项目管理有限公司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锐驰项目管理有限公司</w:t>
      </w:r>
      <w:r>
        <w:rPr>
          <w:rFonts w:ascii="仿宋_GB2312" w:hAnsi="仿宋_GB2312" w:cs="仿宋_GB2312" w:eastAsia="仿宋_GB2312"/>
        </w:rPr>
        <w:t>（以下简称“代理机构”）受</w:t>
      </w:r>
      <w:r>
        <w:rPr>
          <w:rFonts w:ascii="仿宋_GB2312" w:hAnsi="仿宋_GB2312" w:cs="仿宋_GB2312" w:eastAsia="仿宋_GB2312"/>
        </w:rPr>
        <w:t>汉中市应急管理局</w:t>
      </w:r>
      <w:r>
        <w:rPr>
          <w:rFonts w:ascii="仿宋_GB2312" w:hAnsi="仿宋_GB2312" w:cs="仿宋_GB2312" w:eastAsia="仿宋_GB2312"/>
        </w:rPr>
        <w:t>委托，拟对</w:t>
      </w:r>
      <w:r>
        <w:rPr>
          <w:rFonts w:ascii="仿宋_GB2312" w:hAnsi="仿宋_GB2312" w:cs="仿宋_GB2312" w:eastAsia="仿宋_GB2312"/>
        </w:rPr>
        <w:t>危化品企业智能监管平台建设项目(四次)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RCZB-HZ-20251201.1B3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危化品企业智能监管平台建设项目(四次)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深入贯彻落实《2025年全省危险化学品安全监管专项工作实施方案》要求，进一步提升危险化学品安全监管的数字化、智能化水平，保障信息系统持续稳定、高效运行，充分发挥信息系统在危化品全流程监管中的重要作用，现需开展对全市12-15家重点危化品企业重点部位（危险化学品仓库和罐区、生产车间、中控室、装卸区）视频监控和易燃易爆场所可燃气体报警器接入平台，实现在线查看和实时预警报警，进一步提升我市信息化智能监管水平。信息系统是实现安全监管精细化、动态化的关键技术支撑，随着监管工作的不断推进和业务需求的日益增长，系统面临数据量激增、功能迭代需求增加等挑战，亟需专业团队提供运维保障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采购包1（危化品企业智能监管平台建设项目）：属于专门面向中小企业采购。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2、法定代表人授权书或法定代表人身份证明：提供法定代表人授权书（附法定代表人、被授权人身份证复印件），法定代表人直接参加的，须提供法定代表人身份证明及身份证复印件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4、非联合体、不分包响应证明：本项目不接受联合体响应，不允许分包。供应商应提供《非联合体不分包投标声明》，视为独立响应，不分包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陕西省汉中市汉台区光辉路（光辉社区B区东侧50米）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0916-2626880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锐驰项目管理有限公司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汉台区汉中路街道办事处滨江西路天汉长街D区3号楼107室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19359809204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开户名称：锐驰项目管理有限公司汉中第一分公司</w:t>
            </w:r>
          </w:p>
          <w:p>
            <w:pPr>
              <w:pStyle w:val="null3"/>
            </w:pPr>
            <w:r>
              <w:rPr>
                <w:rFonts w:ascii="仿宋_GB2312" w:hAnsi="仿宋_GB2312" w:cs="仿宋_GB2312" w:eastAsia="仿宋_GB2312"/>
              </w:rPr>
              <w:t>开户银行：中国农业银行股份有限公司街心花园支行</w:t>
            </w:r>
          </w:p>
          <w:p>
            <w:pPr>
              <w:pStyle w:val="null3"/>
            </w:pPr>
            <w:r>
              <w:rPr>
                <w:rFonts w:ascii="仿宋_GB2312" w:hAnsi="仿宋_GB2312" w:cs="仿宋_GB2312" w:eastAsia="仿宋_GB2312"/>
              </w:rPr>
              <w:t>银行账号：26611201040001179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代理服务费收费标准：参考国家发展计划委员会计价格【2002】1980 号关于印发《招标代理服务收费管理暂行办法》及《国家发展和改革委员会办公厅关于招标代理服务收费有关问题的通知》（发改办价格〔2003〕857 号）文件规定，以成交价为基数，按照服务类招标计算收取代理服务费。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汉中市应急管理局</w:t>
      </w:r>
      <w:r>
        <w:rPr>
          <w:rFonts w:ascii="仿宋_GB2312" w:hAnsi="仿宋_GB2312" w:cs="仿宋_GB2312" w:eastAsia="仿宋_GB2312"/>
        </w:rPr>
        <w:t>和</w:t>
      </w:r>
      <w:r>
        <w:rPr>
          <w:rFonts w:ascii="仿宋_GB2312" w:hAnsi="仿宋_GB2312" w:cs="仿宋_GB2312" w:eastAsia="仿宋_GB2312"/>
        </w:rPr>
        <w:t>锐驰项目管理有限公司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汉中市应急管理局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锐驰项目管理有限公司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锐驰项目管理有限公司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合同约定的服务内容、服务规范及采购需求。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锐驰项目管理有限公司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锐驰项目管理有限公司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锐驰项目管理有限公司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联系电话：19359809204</w:t>
      </w:r>
    </w:p>
    <w:p>
      <w:pPr>
        <w:pStyle w:val="null3"/>
      </w:pPr>
      <w:r>
        <w:rPr>
          <w:rFonts w:ascii="仿宋_GB2312" w:hAnsi="仿宋_GB2312" w:cs="仿宋_GB2312" w:eastAsia="仿宋_GB2312"/>
        </w:rPr>
        <w:t>地址：汉台区汉中路街道办事处滨江西路天汉长街D区3号楼107室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color w:val="000000"/>
        </w:rPr>
        <w:t>为深入贯彻落实《</w:t>
      </w:r>
      <w:r>
        <w:rPr>
          <w:rFonts w:ascii="仿宋_GB2312" w:hAnsi="仿宋_GB2312" w:cs="仿宋_GB2312" w:eastAsia="仿宋_GB2312"/>
          <w:sz w:val="21"/>
          <w:color w:val="000000"/>
        </w:rPr>
        <w:t>2025年全省危险化学品安全监管专项工作实施方案》要求，进一步提升危险化学品安全监管的数字化、智能化水平，保障信息系统持续稳定、高效运行，充分发挥信息系统在危化品全流程监管中的重要作用，现需开展对</w:t>
      </w:r>
      <w:r>
        <w:rPr>
          <w:rFonts w:ascii="仿宋_GB2312" w:hAnsi="仿宋_GB2312" w:cs="仿宋_GB2312" w:eastAsia="仿宋_GB2312"/>
          <w:sz w:val="21"/>
          <w:color w:val="000000"/>
        </w:rPr>
        <w:t>全市</w:t>
      </w:r>
      <w:r>
        <w:rPr>
          <w:rFonts w:ascii="仿宋_GB2312" w:hAnsi="仿宋_GB2312" w:cs="仿宋_GB2312" w:eastAsia="仿宋_GB2312"/>
          <w:sz w:val="21"/>
          <w:color w:val="000000"/>
        </w:rPr>
        <w:t>12</w:t>
      </w:r>
      <w:r>
        <w:rPr>
          <w:rFonts w:ascii="仿宋_GB2312" w:hAnsi="仿宋_GB2312" w:cs="仿宋_GB2312" w:eastAsia="仿宋_GB2312"/>
          <w:sz w:val="21"/>
          <w:color w:val="000000"/>
        </w:rPr>
        <w:t>-15</w:t>
      </w:r>
      <w:r>
        <w:rPr>
          <w:rFonts w:ascii="仿宋_GB2312" w:hAnsi="仿宋_GB2312" w:cs="仿宋_GB2312" w:eastAsia="仿宋_GB2312"/>
          <w:sz w:val="21"/>
          <w:color w:val="000000"/>
        </w:rPr>
        <w:t>家重点危化品企业重点部位（危险化学品仓库和罐区、生产车间、中控室</w:t>
      </w:r>
      <w:r>
        <w:rPr>
          <w:rFonts w:ascii="仿宋_GB2312" w:hAnsi="仿宋_GB2312" w:cs="仿宋_GB2312" w:eastAsia="仿宋_GB2312"/>
          <w:sz w:val="21"/>
          <w:color w:val="000000"/>
        </w:rPr>
        <w:t>、装卸区</w:t>
      </w:r>
      <w:r>
        <w:rPr>
          <w:rFonts w:ascii="仿宋_GB2312" w:hAnsi="仿宋_GB2312" w:cs="仿宋_GB2312" w:eastAsia="仿宋_GB2312"/>
          <w:sz w:val="21"/>
          <w:color w:val="000000"/>
        </w:rPr>
        <w:t>）视频监控和易燃易爆场所可燃气体报警器接入平台，实现在线查看和实时预警报警，进一步提升我市信息化智能监管水平。信息系统是实现安全监管精细化、动态化的关键技术支撑，随着监管工作的不断推进和业务需求的日益增长，系统面临数据量激增、功能迭代需求增加等挑战，亟需专业团队提供运维保障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危化品企业智能监管平台建设项目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标的名称：危化品企业智能监管平台建设项目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color w:val="000000"/>
              </w:rPr>
              <w:t>一、项目概述</w:t>
            </w:r>
          </w:p>
          <w:p>
            <w:pPr>
              <w:pStyle w:val="null3"/>
              <w:ind w:firstLine="480"/>
            </w:pPr>
            <w:r>
              <w:rPr>
                <w:rFonts w:ascii="仿宋_GB2312" w:hAnsi="仿宋_GB2312" w:cs="仿宋_GB2312" w:eastAsia="仿宋_GB2312"/>
                <w:sz w:val="18"/>
                <w:color w:val="000000"/>
              </w:rPr>
              <w:t>为深入贯彻落实《2025年全省危险化学品安全监管专项工作实施方案》要求，进一步提升危险化学品安全监管的数字化、智能化水平，保障信息系统持续稳定、高效运行，充分发挥信息系统在危化品全流程监管中的重要作用，现需开展对</w:t>
            </w:r>
            <w:r>
              <w:rPr>
                <w:rFonts w:ascii="仿宋_GB2312" w:hAnsi="仿宋_GB2312" w:cs="仿宋_GB2312" w:eastAsia="仿宋_GB2312"/>
                <w:sz w:val="18"/>
                <w:color w:val="000000"/>
              </w:rPr>
              <w:t>全市</w:t>
            </w:r>
            <w:r>
              <w:rPr>
                <w:rFonts w:ascii="仿宋_GB2312" w:hAnsi="仿宋_GB2312" w:cs="仿宋_GB2312" w:eastAsia="仿宋_GB2312"/>
                <w:sz w:val="18"/>
                <w:color w:val="000000"/>
              </w:rPr>
              <w:t>12</w:t>
            </w:r>
            <w:r>
              <w:rPr>
                <w:rFonts w:ascii="仿宋_GB2312" w:hAnsi="仿宋_GB2312" w:cs="仿宋_GB2312" w:eastAsia="仿宋_GB2312"/>
                <w:sz w:val="18"/>
                <w:color w:val="000000"/>
              </w:rPr>
              <w:t>-15</w:t>
            </w:r>
            <w:r>
              <w:rPr>
                <w:rFonts w:ascii="仿宋_GB2312" w:hAnsi="仿宋_GB2312" w:cs="仿宋_GB2312" w:eastAsia="仿宋_GB2312"/>
                <w:sz w:val="18"/>
                <w:color w:val="000000"/>
              </w:rPr>
              <w:t>家重点危化品企业重点部位（危险化学品仓库和罐区、生产车间、中控室</w:t>
            </w:r>
            <w:r>
              <w:rPr>
                <w:rFonts w:ascii="仿宋_GB2312" w:hAnsi="仿宋_GB2312" w:cs="仿宋_GB2312" w:eastAsia="仿宋_GB2312"/>
                <w:sz w:val="18"/>
                <w:color w:val="000000"/>
              </w:rPr>
              <w:t>、装卸区</w:t>
            </w:r>
            <w:r>
              <w:rPr>
                <w:rFonts w:ascii="仿宋_GB2312" w:hAnsi="仿宋_GB2312" w:cs="仿宋_GB2312" w:eastAsia="仿宋_GB2312"/>
                <w:sz w:val="18"/>
                <w:color w:val="000000"/>
              </w:rPr>
              <w:t>）视频监控和易燃易爆场所可燃气体报警器接入平台，实现在线查看和实时预警报警，进一步提升我市信息化智能监管水平。信息系统是实现安全监管精细化、动态化的关键技术支撑，随着监管工作的不断推进和业务需求的日益增长，系统面临数据量激增、功能迭代需求增加等挑战，亟需专业团队提供运维保障服务。</w:t>
            </w:r>
          </w:p>
          <w:p>
            <w:pPr>
              <w:pStyle w:val="null3"/>
              <w:jc w:val="both"/>
            </w:pPr>
            <w:r>
              <w:rPr>
                <w:rFonts w:ascii="仿宋_GB2312" w:hAnsi="仿宋_GB2312" w:cs="仿宋_GB2312" w:eastAsia="仿宋_GB2312"/>
                <w:sz w:val="18"/>
                <w:b/>
                <w:color w:val="000000"/>
              </w:rPr>
              <w:t>二、服务内容</w:t>
            </w:r>
          </w:p>
          <w:p>
            <w:pPr>
              <w:pStyle w:val="null3"/>
              <w:ind w:firstLine="480"/>
              <w:jc w:val="both"/>
            </w:pPr>
            <w:r>
              <w:rPr>
                <w:rFonts w:ascii="仿宋_GB2312" w:hAnsi="仿宋_GB2312" w:cs="仿宋_GB2312" w:eastAsia="仿宋_GB2312"/>
                <w:sz w:val="18"/>
                <w:color w:val="000000"/>
              </w:rPr>
              <w:t>（一）数据质量治理及工作报告编制</w:t>
            </w:r>
          </w:p>
          <w:p>
            <w:pPr>
              <w:pStyle w:val="null3"/>
              <w:ind w:firstLine="480"/>
              <w:jc w:val="both"/>
            </w:pPr>
            <w:r>
              <w:rPr>
                <w:rFonts w:ascii="仿宋_GB2312" w:hAnsi="仿宋_GB2312" w:cs="仿宋_GB2312" w:eastAsia="仿宋_GB2312"/>
                <w:sz w:val="18"/>
                <w:color w:val="000000"/>
              </w:rPr>
              <w:t>开展</w:t>
            </w:r>
            <w:r>
              <w:rPr>
                <w:rFonts w:ascii="仿宋_GB2312" w:hAnsi="仿宋_GB2312" w:cs="仿宋_GB2312" w:eastAsia="仿宋_GB2312"/>
                <w:sz w:val="18"/>
                <w:color w:val="000000"/>
              </w:rPr>
              <w:t>危险化学品智能监管平台</w:t>
            </w:r>
            <w:r>
              <w:rPr>
                <w:rFonts w:ascii="仿宋_GB2312" w:hAnsi="仿宋_GB2312" w:cs="仿宋_GB2312" w:eastAsia="仿宋_GB2312"/>
                <w:sz w:val="18"/>
                <w:color w:val="000000"/>
              </w:rPr>
              <w:t>基础数据治理，重点治理企业边界未描绘、罐/装置/库/气体检测点/视频监控点点位未标注、罐/装置/气体检测点填报准确性、视频监控接入不全、视频监控信息填报有误等问题。开展监测数据治理，</w:t>
            </w:r>
            <w:r>
              <w:rPr>
                <w:rFonts w:ascii="仿宋_GB2312" w:hAnsi="仿宋_GB2312" w:cs="仿宋_GB2312" w:eastAsia="仿宋_GB2312"/>
                <w:sz w:val="18"/>
                <w:color w:val="000000"/>
              </w:rPr>
              <w:t>参照</w:t>
            </w:r>
            <w:r>
              <w:rPr>
                <w:rFonts w:ascii="仿宋_GB2312" w:hAnsi="仿宋_GB2312" w:cs="仿宋_GB2312" w:eastAsia="仿宋_GB2312"/>
                <w:sz w:val="18"/>
                <w:color w:val="000000"/>
              </w:rPr>
              <w:t>《</w:t>
            </w:r>
            <w:r>
              <w:rPr>
                <w:rFonts w:ascii="仿宋_GB2312" w:hAnsi="仿宋_GB2312" w:cs="仿宋_GB2312" w:eastAsia="仿宋_GB2312"/>
                <w:sz w:val="18"/>
                <w:color w:val="000000"/>
              </w:rPr>
              <w:t>危险化学品智能监管平台</w:t>
            </w:r>
            <w:r>
              <w:rPr>
                <w:rFonts w:ascii="仿宋_GB2312" w:hAnsi="仿宋_GB2312" w:cs="仿宋_GB2312" w:eastAsia="仿宋_GB2312"/>
                <w:sz w:val="18"/>
                <w:color w:val="000000"/>
              </w:rPr>
              <w:t>数据接入规范（扩展2021年建设任务数据交换要求）》相关要求，对12</w:t>
            </w:r>
            <w:r>
              <w:rPr>
                <w:rFonts w:ascii="仿宋_GB2312" w:hAnsi="仿宋_GB2312" w:cs="仿宋_GB2312" w:eastAsia="仿宋_GB2312"/>
                <w:sz w:val="18"/>
                <w:color w:val="000000"/>
              </w:rPr>
              <w:t>-15</w:t>
            </w:r>
            <w:r>
              <w:rPr>
                <w:rFonts w:ascii="仿宋_GB2312" w:hAnsi="仿宋_GB2312" w:cs="仿宋_GB2312" w:eastAsia="仿宋_GB2312"/>
                <w:sz w:val="18"/>
                <w:color w:val="000000"/>
              </w:rPr>
              <w:t>家重点危化品企业重点部位（危险化学品仓库和罐区、生产车间、中控室</w:t>
            </w:r>
            <w:r>
              <w:rPr>
                <w:rFonts w:ascii="仿宋_GB2312" w:hAnsi="仿宋_GB2312" w:cs="仿宋_GB2312" w:eastAsia="仿宋_GB2312"/>
                <w:sz w:val="18"/>
                <w:color w:val="000000"/>
              </w:rPr>
              <w:t>、装卸区</w:t>
            </w:r>
            <w:r>
              <w:rPr>
                <w:rFonts w:ascii="仿宋_GB2312" w:hAnsi="仿宋_GB2312" w:cs="仿宋_GB2312" w:eastAsia="仿宋_GB2312"/>
                <w:sz w:val="18"/>
                <w:color w:val="000000"/>
              </w:rPr>
              <w:t>）视频监控和易燃易爆场所可燃气体报警器进行接入数据核实，重点解决实际接入数据点位少，报警阈值与设计文件不符等问题。</w:t>
            </w:r>
          </w:p>
          <w:p>
            <w:pPr>
              <w:pStyle w:val="null3"/>
              <w:ind w:firstLine="480"/>
              <w:jc w:val="both"/>
            </w:pPr>
            <w:r>
              <w:rPr>
                <w:rFonts w:ascii="仿宋_GB2312" w:hAnsi="仿宋_GB2312" w:cs="仿宋_GB2312" w:eastAsia="仿宋_GB2312"/>
                <w:sz w:val="18"/>
                <w:color w:val="000000"/>
              </w:rPr>
              <w:t>开展</w:t>
            </w:r>
            <w:r>
              <w:rPr>
                <w:rFonts w:ascii="仿宋_GB2312" w:hAnsi="仿宋_GB2312" w:cs="仿宋_GB2312" w:eastAsia="仿宋_GB2312"/>
                <w:sz w:val="18"/>
                <w:color w:val="000000"/>
              </w:rPr>
              <w:t>危险化学品智能监管平台</w:t>
            </w:r>
            <w:r>
              <w:rPr>
                <w:rFonts w:ascii="仿宋_GB2312" w:hAnsi="仿宋_GB2312" w:cs="仿宋_GB2312" w:eastAsia="仿宋_GB2312"/>
                <w:sz w:val="18"/>
                <w:color w:val="000000"/>
              </w:rPr>
              <w:t>数据治理，对数据上传不规范的企业进行通报并督促整改落实。企业上报数据与</w:t>
            </w:r>
            <w:r>
              <w:rPr>
                <w:rFonts w:ascii="仿宋_GB2312" w:hAnsi="仿宋_GB2312" w:cs="仿宋_GB2312" w:eastAsia="仿宋_GB2312"/>
                <w:sz w:val="18"/>
                <w:color w:val="000000"/>
              </w:rPr>
              <w:t>危险化学品智能监管平台</w:t>
            </w:r>
            <w:r>
              <w:rPr>
                <w:rFonts w:ascii="仿宋_GB2312" w:hAnsi="仿宋_GB2312" w:cs="仿宋_GB2312" w:eastAsia="仿宋_GB2312"/>
                <w:sz w:val="18"/>
                <w:color w:val="000000"/>
              </w:rPr>
              <w:t>数据进行核对，确保企业端上报政府端数据一致性</w:t>
            </w:r>
            <w:r>
              <w:rPr>
                <w:rFonts w:ascii="仿宋_GB2312" w:hAnsi="仿宋_GB2312" w:cs="仿宋_GB2312" w:eastAsia="仿宋_GB2312"/>
                <w:sz w:val="18"/>
                <w:color w:val="000000"/>
              </w:rPr>
              <w:t>，也可快速进行</w:t>
            </w:r>
            <w:r>
              <w:rPr>
                <w:rFonts w:ascii="仿宋_GB2312" w:hAnsi="仿宋_GB2312" w:cs="仿宋_GB2312" w:eastAsia="仿宋_GB2312"/>
                <w:sz w:val="18"/>
                <w:color w:val="000000"/>
              </w:rPr>
              <w:t>数据质量治理及工作报告编制</w:t>
            </w:r>
            <w:r>
              <w:rPr>
                <w:rFonts w:ascii="仿宋_GB2312" w:hAnsi="仿宋_GB2312" w:cs="仿宋_GB2312" w:eastAsia="仿宋_GB2312"/>
                <w:sz w:val="18"/>
                <w:color w:val="000000"/>
              </w:rPr>
              <w:t>，</w:t>
            </w:r>
            <w:r>
              <w:rPr>
                <w:rFonts w:ascii="仿宋_GB2312" w:hAnsi="仿宋_GB2312" w:cs="仿宋_GB2312" w:eastAsia="仿宋_GB2312"/>
                <w:sz w:val="18"/>
                <w:color w:val="000000"/>
              </w:rPr>
              <w:t>巡检运维及工作报告编制</w:t>
            </w:r>
            <w:r>
              <w:rPr>
                <w:rFonts w:ascii="仿宋_GB2312" w:hAnsi="仿宋_GB2312" w:cs="仿宋_GB2312" w:eastAsia="仿宋_GB2312"/>
                <w:sz w:val="18"/>
                <w:color w:val="000000"/>
              </w:rPr>
              <w:t>，</w:t>
            </w:r>
            <w:r>
              <w:rPr>
                <w:rFonts w:ascii="仿宋_GB2312" w:hAnsi="仿宋_GB2312" w:cs="仿宋_GB2312" w:eastAsia="仿宋_GB2312"/>
                <w:sz w:val="18"/>
                <w:color w:val="000000"/>
              </w:rPr>
              <w:t>数据治理内容包括但不限于分析数据质量、清理字段内容为空、格式不标准、关联关系缺失、内容重复等无效、错误数据。</w:t>
            </w:r>
          </w:p>
          <w:p>
            <w:pPr>
              <w:pStyle w:val="null3"/>
              <w:ind w:firstLine="42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二</w:t>
            </w:r>
            <w:r>
              <w:rPr>
                <w:rFonts w:ascii="仿宋_GB2312" w:hAnsi="仿宋_GB2312" w:cs="仿宋_GB2312" w:eastAsia="仿宋_GB2312"/>
                <w:sz w:val="18"/>
                <w:color w:val="000000"/>
              </w:rPr>
              <w:t>）服务器监守及应用提升</w:t>
            </w:r>
          </w:p>
          <w:p>
            <w:pPr>
              <w:pStyle w:val="null3"/>
              <w:ind w:firstLine="480"/>
              <w:jc w:val="both"/>
            </w:pPr>
            <w:r>
              <w:rPr>
                <w:rFonts w:ascii="仿宋_GB2312" w:hAnsi="仿宋_GB2312" w:cs="仿宋_GB2312" w:eastAsia="仿宋_GB2312"/>
                <w:sz w:val="18"/>
                <w:color w:val="000000"/>
              </w:rPr>
              <w:t>监守服务器运行情况，监测服务器处理器、内存、硬盘等资源使用情况，服务器及数据库安全加固、开展关键业务数据备份，保障业务系统稳定运行。定期对系统软硬件进行专业分析，并督促企业修复传感器故障、定期自查网关设备、校准仪表数据，保障传输稳定性。</w:t>
            </w:r>
          </w:p>
          <w:p>
            <w:pPr>
              <w:pStyle w:val="null3"/>
              <w:ind w:firstLine="480"/>
              <w:jc w:val="both"/>
            </w:pPr>
            <w:r>
              <w:rPr>
                <w:rFonts w:ascii="仿宋_GB2312" w:hAnsi="仿宋_GB2312" w:cs="仿宋_GB2312" w:eastAsia="仿宋_GB2312"/>
                <w:sz w:val="18"/>
                <w:color w:val="000000"/>
              </w:rPr>
              <w:t>（三）为满足本项目服务需求及要求，投标人需提供视频智能分析网关、国产化操作系统（正版激活码）。</w:t>
            </w:r>
          </w:p>
          <w:p>
            <w:pPr>
              <w:pStyle w:val="null3"/>
              <w:ind w:firstLine="480"/>
              <w:jc w:val="both"/>
            </w:pPr>
            <w:r>
              <w:rPr>
                <w:rFonts w:ascii="仿宋_GB2312" w:hAnsi="仿宋_GB2312" w:cs="仿宋_GB2312" w:eastAsia="仿宋_GB2312"/>
                <w:sz w:val="18"/>
                <w:color w:val="000000"/>
              </w:rPr>
              <w:t>1.视频智能分析网关</w:t>
            </w:r>
          </w:p>
          <w:tbl>
            <w:tblPr>
              <w:tblInd w:type="dxa" w:w="240"/>
              <w:tblBorders>
                <w:top w:val="none" w:color="000000" w:sz="4"/>
                <w:left w:val="none" w:color="000000" w:sz="4"/>
                <w:bottom w:val="none" w:color="000000" w:sz="4"/>
                <w:right w:val="none" w:color="000000" w:sz="4"/>
                <w:insideH w:val="none"/>
                <w:insideV w:val="none"/>
              </w:tblBorders>
            </w:tblPr>
            <w:tblGrid>
              <w:gridCol w:w="457"/>
              <w:gridCol w:w="1239"/>
              <w:gridCol w:w="484"/>
              <w:gridCol w:w="372"/>
            </w:tblGrid>
            <w:tr>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1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产品名称</w:t>
                  </w:r>
                </w:p>
              </w:tc>
              <w:tc>
                <w:tcPr>
                  <w:tcW w:type="dxa" w:w="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视频智能分析网关</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bl>
          <w:p>
            <w:pPr>
              <w:pStyle w:val="null3"/>
              <w:ind w:firstLine="480"/>
              <w:jc w:val="both"/>
            </w:pPr>
            <w:r>
              <w:rPr>
                <w:rFonts w:ascii="仿宋_GB2312" w:hAnsi="仿宋_GB2312" w:cs="仿宋_GB2312" w:eastAsia="仿宋_GB2312"/>
                <w:sz w:val="18"/>
                <w:color w:val="000000"/>
              </w:rPr>
              <w:t>（1）芯片：国产高性能SOC芯片；</w:t>
            </w:r>
          </w:p>
          <w:p>
            <w:pPr>
              <w:pStyle w:val="null3"/>
              <w:ind w:firstLine="480"/>
              <w:jc w:val="both"/>
            </w:pPr>
            <w:r>
              <w:rPr>
                <w:rFonts w:ascii="仿宋_GB2312" w:hAnsi="仿宋_GB2312" w:cs="仿宋_GB2312" w:eastAsia="仿宋_GB2312"/>
                <w:sz w:val="18"/>
                <w:color w:val="000000"/>
              </w:rPr>
              <w:t>（2）接口：至少包含RJ45×1、（100/1000M自适应），USB接口×1，HDMI×1，IO输出×2，电源接口×1；</w:t>
            </w:r>
          </w:p>
          <w:p>
            <w:pPr>
              <w:pStyle w:val="null3"/>
              <w:ind w:firstLine="480"/>
              <w:jc w:val="both"/>
            </w:pPr>
            <w:r>
              <w:rPr>
                <w:rFonts w:ascii="仿宋_GB2312" w:hAnsi="仿宋_GB2312" w:cs="仿宋_GB2312" w:eastAsia="仿宋_GB2312"/>
                <w:sz w:val="18"/>
                <w:color w:val="000000"/>
              </w:rPr>
              <w:t>（3）性能：视频分析算法至少支持 8 路（1080P）视频流的实时接入与分析；</w:t>
            </w:r>
          </w:p>
          <w:p>
            <w:pPr>
              <w:pStyle w:val="null3"/>
              <w:ind w:firstLine="480"/>
              <w:jc w:val="both"/>
            </w:pPr>
            <w:r>
              <w:rPr>
                <w:rFonts w:ascii="仿宋_GB2312" w:hAnsi="仿宋_GB2312" w:cs="仿宋_GB2312" w:eastAsia="仿宋_GB2312"/>
                <w:sz w:val="18"/>
                <w:color w:val="000000"/>
              </w:rPr>
              <w:t>（4）功能：内置存储，需具备15天视频存储、回放功能；</w:t>
            </w:r>
          </w:p>
          <w:p>
            <w:pPr>
              <w:pStyle w:val="null3"/>
              <w:ind w:firstLine="480"/>
              <w:jc w:val="both"/>
            </w:pPr>
            <w:r>
              <w:rPr>
                <w:rFonts w:ascii="仿宋_GB2312" w:hAnsi="仿宋_GB2312" w:cs="仿宋_GB2312" w:eastAsia="仿宋_GB2312"/>
                <w:sz w:val="18"/>
                <w:color w:val="000000"/>
              </w:rPr>
              <w:t>（5）网络协议：支持ONVIF、GB/T 28181等主流视频协议。</w:t>
            </w:r>
          </w:p>
          <w:p>
            <w:pPr>
              <w:pStyle w:val="null3"/>
              <w:ind w:firstLine="480"/>
              <w:jc w:val="both"/>
            </w:pPr>
            <w:r>
              <w:rPr>
                <w:rFonts w:ascii="仿宋_GB2312" w:hAnsi="仿宋_GB2312" w:cs="仿宋_GB2312" w:eastAsia="仿宋_GB2312"/>
                <w:sz w:val="18"/>
                <w:color w:val="000000"/>
              </w:rPr>
              <w:t>2.国产化操作系统</w:t>
            </w:r>
          </w:p>
          <w:p>
            <w:pPr>
              <w:pStyle w:val="null3"/>
              <w:ind w:firstLine="480"/>
              <w:jc w:val="both"/>
            </w:pPr>
            <w:r>
              <w:rPr>
                <w:rFonts w:ascii="仿宋_GB2312" w:hAnsi="仿宋_GB2312" w:cs="仿宋_GB2312" w:eastAsia="仿宋_GB2312"/>
                <w:sz w:val="18"/>
                <w:color w:val="000000"/>
              </w:rPr>
              <w:t>（1）软件要求：正版授权的国产化操作系统，提供官方正版激活码。</w:t>
            </w:r>
          </w:p>
          <w:p>
            <w:pPr>
              <w:pStyle w:val="null3"/>
              <w:ind w:firstLine="480"/>
              <w:jc w:val="both"/>
            </w:pPr>
            <w:r>
              <w:rPr>
                <w:rFonts w:ascii="仿宋_GB2312" w:hAnsi="仿宋_GB2312" w:cs="仿宋_GB2312" w:eastAsia="仿宋_GB2312"/>
                <w:sz w:val="18"/>
                <w:color w:val="000000"/>
              </w:rPr>
              <w:t>（2）配套服务：提供与视频智能分析网关的适配服务；为使用单位提供配套的系统账号与密码；提供操作培训和技术支持，并对接入企业和相关市县应急局提供匹配的登录系统账号及密码。</w:t>
            </w:r>
          </w:p>
          <w:p>
            <w:pPr>
              <w:pStyle w:val="null3"/>
              <w:ind w:firstLine="480"/>
              <w:jc w:val="both"/>
            </w:pPr>
            <w:r>
              <w:rPr>
                <w:rFonts w:ascii="仿宋_GB2312" w:hAnsi="仿宋_GB2312" w:cs="仿宋_GB2312" w:eastAsia="仿宋_GB2312"/>
                <w:sz w:val="18"/>
                <w:color w:val="000000"/>
              </w:rPr>
              <w:t>（四）智能监管平台系统优先满足汉中市数据局的数据兼容需求。</w:t>
            </w:r>
          </w:p>
          <w:p>
            <w:pPr>
              <w:pStyle w:val="null3"/>
              <w:ind w:firstLine="480"/>
              <w:jc w:val="both"/>
            </w:pPr>
            <w:r>
              <w:rPr>
                <w:rFonts w:ascii="仿宋_GB2312" w:hAnsi="仿宋_GB2312" w:cs="仿宋_GB2312" w:eastAsia="仿宋_GB2312"/>
                <w:sz w:val="18"/>
              </w:rPr>
              <w:t>（五）系统功能</w:t>
            </w:r>
          </w:p>
          <w:tbl>
            <w:tblPr>
              <w:tblBorders>
                <w:top w:val="none" w:color="000000" w:sz="4"/>
                <w:left w:val="none" w:color="000000" w:sz="4"/>
                <w:bottom w:val="none" w:color="000000" w:sz="4"/>
                <w:right w:val="none" w:color="000000" w:sz="4"/>
                <w:insideH w:val="none"/>
                <w:insideV w:val="none"/>
              </w:tblBorders>
            </w:tblPr>
            <w:tblGrid>
              <w:gridCol w:w="223"/>
              <w:gridCol w:w="356"/>
              <w:gridCol w:w="2607"/>
            </w:tblGrid>
            <w:tr>
              <w:tc>
                <w:tcPr>
                  <w:tcW w:type="dxa" w:w="223"/>
                  <w:tcBorders>
                    <w:top w:val="singl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序号</w:t>
                  </w:r>
                </w:p>
              </w:tc>
              <w:tc>
                <w:tcPr>
                  <w:tcW w:type="dxa" w:w="356"/>
                  <w:tcBorders>
                    <w:top w:val="singl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模块</w:t>
                  </w:r>
                </w:p>
              </w:tc>
              <w:tc>
                <w:tcPr>
                  <w:tcW w:type="dxa" w:w="2607"/>
                  <w:tcBorders>
                    <w:top w:val="singl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功能描述</w:t>
                  </w:r>
                </w:p>
              </w:tc>
            </w:tr>
            <w:tr>
              <w:tc>
                <w:tcPr>
                  <w:tcW w:type="dxa" w:w="223"/>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1</w:t>
                  </w:r>
                </w:p>
              </w:tc>
              <w:tc>
                <w:tcPr>
                  <w:tcW w:type="dxa" w:w="356"/>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首页</w:t>
                  </w:r>
                </w:p>
              </w:tc>
              <w:tc>
                <w:tcPr>
                  <w:tcW w:type="dxa" w:w="260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both"/>
                  </w:pPr>
                  <w:r>
                    <w:rPr>
                      <w:rFonts w:ascii="仿宋_GB2312" w:hAnsi="仿宋_GB2312" w:cs="仿宋_GB2312" w:eastAsia="仿宋_GB2312"/>
                      <w:sz w:val="18"/>
                    </w:rPr>
                    <w:t>可根据区域对辖区企业安全风险进行全面辨识和评估，运用大数据技术，计算企业安全风险等级、公共区域安全风险等级，建立辖区安全风险数据库，辖区隐患数据、应急资源、预警预报数据可视化展示，安全态势全面感知。</w:t>
                  </w:r>
                </w:p>
              </w:tc>
            </w:tr>
            <w:tr>
              <w:tc>
                <w:tcPr>
                  <w:tcW w:type="dxa" w:w="223"/>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2</w:t>
                  </w:r>
                </w:p>
              </w:tc>
              <w:tc>
                <w:tcPr>
                  <w:tcW w:type="dxa" w:w="356"/>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一企一档</w:t>
                  </w:r>
                </w:p>
              </w:tc>
              <w:tc>
                <w:tcPr>
                  <w:tcW w:type="dxa" w:w="260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both"/>
                  </w:pPr>
                  <w:r>
                    <w:rPr>
                      <w:rFonts w:ascii="仿宋_GB2312" w:hAnsi="仿宋_GB2312" w:cs="仿宋_GB2312" w:eastAsia="仿宋_GB2312"/>
                      <w:sz w:val="18"/>
                    </w:rPr>
                    <w:t>可根据区域板块详细的记录了区域企业情况、辖区风险辨识率、已辨识企业与待辨识企业情况、隐患整改率、企业特殊作业、重大危险源、辖区预警、辖区隐患情况及企业档案</w:t>
                  </w:r>
                </w:p>
              </w:tc>
            </w:tr>
            <w:tr>
              <w:tc>
                <w:tcPr>
                  <w:tcW w:type="dxa" w:w="223"/>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3</w:t>
                  </w:r>
                </w:p>
              </w:tc>
              <w:tc>
                <w:tcPr>
                  <w:tcW w:type="dxa" w:w="356"/>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智慧物联</w:t>
                  </w:r>
                </w:p>
              </w:tc>
              <w:tc>
                <w:tcPr>
                  <w:tcW w:type="dxa" w:w="260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both"/>
                  </w:pPr>
                  <w:r>
                    <w:rPr>
                      <w:rFonts w:ascii="仿宋_GB2312" w:hAnsi="仿宋_GB2312" w:cs="仿宋_GB2312" w:eastAsia="仿宋_GB2312"/>
                      <w:sz w:val="18"/>
                    </w:rPr>
                    <w:t>在地图上汇聚辖区企业物联接入情况，实时接入当前预警信息；对智慧用电、火灾报警系统、可燃气体系统、消防水系统、AI设备、视频监控等其他物联设备接入情况进行统计；展示辖区企业的物联设备情况查询；分月展示辖区企业预警趋势图。</w:t>
                  </w:r>
                </w:p>
                <w:p>
                  <w:pPr>
                    <w:pStyle w:val="null3"/>
                    <w:jc w:val="both"/>
                  </w:pPr>
                  <w:r>
                    <w:rPr>
                      <w:rFonts w:ascii="仿宋_GB2312" w:hAnsi="仿宋_GB2312" w:cs="仿宋_GB2312" w:eastAsia="仿宋_GB2312"/>
                      <w:sz w:val="18"/>
                    </w:rPr>
                    <w:t>支持企业接入的物联定位展示</w:t>
                  </w:r>
                </w:p>
                <w:p>
                  <w:pPr>
                    <w:pStyle w:val="null3"/>
                    <w:jc w:val="both"/>
                  </w:pPr>
                  <w:r>
                    <w:rPr>
                      <w:rFonts w:ascii="仿宋_GB2312" w:hAnsi="仿宋_GB2312" w:cs="仿宋_GB2312" w:eastAsia="仿宋_GB2312"/>
                      <w:sz w:val="18"/>
                    </w:rPr>
                    <w:t>支持企业当前物联报警情况展示</w:t>
                  </w:r>
                </w:p>
                <w:p>
                  <w:pPr>
                    <w:pStyle w:val="null3"/>
                    <w:jc w:val="both"/>
                  </w:pPr>
                  <w:r>
                    <w:rPr>
                      <w:rFonts w:ascii="仿宋_GB2312" w:hAnsi="仿宋_GB2312" w:cs="仿宋_GB2312" w:eastAsia="仿宋_GB2312"/>
                      <w:sz w:val="18"/>
                    </w:rPr>
                    <w:t>支持查看物联月度预警趋势图</w:t>
                  </w:r>
                </w:p>
                <w:p>
                  <w:pPr>
                    <w:pStyle w:val="null3"/>
                    <w:jc w:val="both"/>
                  </w:pPr>
                  <w:r>
                    <w:rPr>
                      <w:rFonts w:ascii="仿宋_GB2312" w:hAnsi="仿宋_GB2312" w:cs="仿宋_GB2312" w:eastAsia="仿宋_GB2312"/>
                      <w:sz w:val="18"/>
                    </w:rPr>
                    <w:t>支持接入或呈现智慧用电、火灾报警、可燃气体、消防水、AI、视频监控、其他物联系统</w:t>
                  </w:r>
                </w:p>
              </w:tc>
            </w:tr>
            <w:tr>
              <w:tc>
                <w:tcPr>
                  <w:tcW w:type="dxa" w:w="223"/>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4</w:t>
                  </w:r>
                </w:p>
              </w:tc>
              <w:tc>
                <w:tcPr>
                  <w:tcW w:type="dxa" w:w="356"/>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隐患管理</w:t>
                  </w:r>
                </w:p>
              </w:tc>
              <w:tc>
                <w:tcPr>
                  <w:tcW w:type="dxa" w:w="260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both"/>
                  </w:pPr>
                  <w:r>
                    <w:rPr>
                      <w:rFonts w:ascii="仿宋_GB2312" w:hAnsi="仿宋_GB2312" w:cs="仿宋_GB2312" w:eastAsia="仿宋_GB2312"/>
                      <w:sz w:val="18"/>
                    </w:rPr>
                    <w:t>通过排查-审核-复查-审核-归档销号等一系列动作形成闭环管理流程，将辖区隐患进行跟踪处理，对未按要求整改隐患的企业，进行消息推送，闭环整改责任到人，降低企业安全风险。</w:t>
                  </w:r>
                </w:p>
              </w:tc>
            </w:tr>
            <w:tr>
              <w:tc>
                <w:tcPr>
                  <w:tcW w:type="dxa" w:w="223"/>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5</w:t>
                  </w:r>
                </w:p>
              </w:tc>
              <w:tc>
                <w:tcPr>
                  <w:tcW w:type="dxa" w:w="356"/>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center"/>
                  </w:pPr>
                  <w:r>
                    <w:rPr>
                      <w:rFonts w:ascii="仿宋_GB2312" w:hAnsi="仿宋_GB2312" w:cs="仿宋_GB2312" w:eastAsia="仿宋_GB2312"/>
                      <w:sz w:val="18"/>
                    </w:rPr>
                    <w:t>预警管理</w:t>
                  </w:r>
                </w:p>
              </w:tc>
              <w:tc>
                <w:tcPr>
                  <w:tcW w:type="dxa" w:w="2607"/>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jc w:val="both"/>
                  </w:pPr>
                  <w:r>
                    <w:rPr>
                      <w:rFonts w:ascii="仿宋_GB2312" w:hAnsi="仿宋_GB2312" w:cs="仿宋_GB2312" w:eastAsia="仿宋_GB2312"/>
                      <w:sz w:val="18"/>
                    </w:rPr>
                    <w:t>系统内置短信模板、可支持自行添加短信模板</w:t>
                  </w:r>
                </w:p>
                <w:p>
                  <w:pPr>
                    <w:pStyle w:val="null3"/>
                    <w:jc w:val="both"/>
                  </w:pPr>
                  <w:r>
                    <w:rPr>
                      <w:rFonts w:ascii="仿宋_GB2312" w:hAnsi="仿宋_GB2312" w:cs="仿宋_GB2312" w:eastAsia="仿宋_GB2312"/>
                      <w:sz w:val="18"/>
                    </w:rPr>
                    <w:t>支持短信发送，可支持单条单人、多人批量发送短信</w:t>
                  </w:r>
                </w:p>
                <w:p>
                  <w:pPr>
                    <w:pStyle w:val="null3"/>
                    <w:jc w:val="both"/>
                  </w:pPr>
                  <w:r>
                    <w:rPr>
                      <w:rFonts w:ascii="仿宋_GB2312" w:hAnsi="仿宋_GB2312" w:cs="仿宋_GB2312" w:eastAsia="仿宋_GB2312"/>
                      <w:sz w:val="18"/>
                    </w:rPr>
                    <w:t>支持发送统计，可按照接收单位进行短信条数处理</w:t>
                  </w:r>
                </w:p>
                <w:p>
                  <w:pPr>
                    <w:pStyle w:val="null3"/>
                    <w:jc w:val="both"/>
                  </w:pPr>
                  <w:r>
                    <w:rPr>
                      <w:rFonts w:ascii="仿宋_GB2312" w:hAnsi="仿宋_GB2312" w:cs="仿宋_GB2312" w:eastAsia="仿宋_GB2312"/>
                      <w:sz w:val="18"/>
                    </w:rPr>
                    <w:t>系统内置业务流程预警规则，可支持自定义预警时长，并进行预警推送提醒</w:t>
                  </w:r>
                </w:p>
              </w:tc>
            </w:tr>
          </w:tbl>
          <w:p>
            <w:pPr>
              <w:pStyle w:val="null3"/>
            </w:pPr>
            <w:r>
              <w:rPr>
                <w:rFonts w:ascii="仿宋_GB2312" w:hAnsi="仿宋_GB2312" w:cs="仿宋_GB2312" w:eastAsia="仿宋_GB2312"/>
                <w:sz w:val="18"/>
                <w:b/>
                <w:color w:val="000000"/>
              </w:rPr>
              <w:t>三、成果报告</w:t>
            </w:r>
          </w:p>
          <w:p>
            <w:pPr>
              <w:pStyle w:val="null3"/>
              <w:ind w:firstLine="420"/>
              <w:jc w:val="both"/>
            </w:pPr>
            <w:r>
              <w:rPr>
                <w:rFonts w:ascii="仿宋_GB2312" w:hAnsi="仿宋_GB2312" w:cs="仿宋_GB2312" w:eastAsia="仿宋_GB2312"/>
                <w:sz w:val="18"/>
                <w:color w:val="000000"/>
              </w:rPr>
              <w:t>对12</w:t>
            </w:r>
            <w:r>
              <w:rPr>
                <w:rFonts w:ascii="仿宋_GB2312" w:hAnsi="仿宋_GB2312" w:cs="仿宋_GB2312" w:eastAsia="仿宋_GB2312"/>
                <w:sz w:val="18"/>
                <w:color w:val="000000"/>
              </w:rPr>
              <w:t>-15</w:t>
            </w:r>
            <w:r>
              <w:rPr>
                <w:rFonts w:ascii="仿宋_GB2312" w:hAnsi="仿宋_GB2312" w:cs="仿宋_GB2312" w:eastAsia="仿宋_GB2312"/>
                <w:sz w:val="18"/>
                <w:color w:val="000000"/>
              </w:rPr>
              <w:t>家重点危化品企业重点部位（危险化学品仓库和罐区、生产车间、中控室</w:t>
            </w:r>
            <w:r>
              <w:rPr>
                <w:rFonts w:ascii="仿宋_GB2312" w:hAnsi="仿宋_GB2312" w:cs="仿宋_GB2312" w:eastAsia="仿宋_GB2312"/>
                <w:sz w:val="18"/>
                <w:color w:val="000000"/>
              </w:rPr>
              <w:t>、装卸区</w:t>
            </w:r>
            <w:r>
              <w:rPr>
                <w:rFonts w:ascii="仿宋_GB2312" w:hAnsi="仿宋_GB2312" w:cs="仿宋_GB2312" w:eastAsia="仿宋_GB2312"/>
                <w:sz w:val="18"/>
                <w:color w:val="000000"/>
              </w:rPr>
              <w:t>）视频监控和易燃易爆场所可燃气体报警器接入平台的日常监控及数据治理报告、危险化学品重大危险源企业双重预防机制数字化系统运行维护报告的编制。</w:t>
            </w:r>
          </w:p>
          <w:p>
            <w:pPr>
              <w:pStyle w:val="null3"/>
              <w:jc w:val="both"/>
            </w:pPr>
            <w:r>
              <w:rPr>
                <w:rFonts w:ascii="仿宋_GB2312" w:hAnsi="仿宋_GB2312" w:cs="仿宋_GB2312" w:eastAsia="仿宋_GB2312"/>
                <w:sz w:val="18"/>
                <w:b/>
                <w:color w:val="000000"/>
              </w:rPr>
              <w:t>四、商务要求</w:t>
            </w:r>
          </w:p>
          <w:p>
            <w:pPr>
              <w:pStyle w:val="null3"/>
              <w:jc w:val="both"/>
            </w:pPr>
            <w:r>
              <w:rPr>
                <w:rFonts w:ascii="仿宋_GB2312" w:hAnsi="仿宋_GB2312" w:cs="仿宋_GB2312" w:eastAsia="仿宋_GB2312"/>
                <w:sz w:val="18"/>
                <w:color w:val="000000"/>
              </w:rPr>
              <w:t xml:space="preserve">    满足全年24小时服务</w:t>
            </w:r>
            <w:r>
              <w:rPr>
                <w:rFonts w:ascii="仿宋_GB2312" w:hAnsi="仿宋_GB2312" w:cs="仿宋_GB2312" w:eastAsia="仿宋_GB2312"/>
                <w:sz w:val="18"/>
                <w:color w:val="000000"/>
              </w:rPr>
              <w:t>危险化学品智能监管平台</w:t>
            </w:r>
            <w:r>
              <w:rPr>
                <w:rFonts w:ascii="仿宋_GB2312" w:hAnsi="仿宋_GB2312" w:cs="仿宋_GB2312" w:eastAsia="仿宋_GB2312"/>
                <w:sz w:val="18"/>
                <w:color w:val="000000"/>
              </w:rPr>
              <w:t>的维护，及时对平台无法正常运行处理，提供平台系统保障工作。</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自合同签订之日起1年，后期运行维护5年。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合同签订生效后，采购人在收到中标人提供的付款申请和有效发票后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初步验收合格后，采购人在收到中标人提供的付款申请和有效发票后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试运行结束且最终验收合格后，采购人在收到中标人提供的付款申请和有效发票后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依据《民法典》和《政府采购法》。</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提供法定代表人授权书（附法定代表人、被授权人身份证复印件），法定代表人直接参加的，须提供法定代表人身份证明及身份证复印件</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非联合体、不分包响应证明</w:t>
            </w:r>
          </w:p>
        </w:tc>
        <w:tc>
          <w:tcPr>
            <w:tcW w:type="dxa" w:w="3322"/>
          </w:tcPr>
          <w:p>
            <w:pPr>
              <w:pStyle w:val="null3"/>
            </w:pPr>
            <w:r>
              <w:rPr>
                <w:rFonts w:ascii="仿宋_GB2312" w:hAnsi="仿宋_GB2312" w:cs="仿宋_GB2312" w:eastAsia="仿宋_GB2312"/>
              </w:rPr>
              <w:t>本项目不接受联合体响应，不允许分包。供应商应提供《非联合体不分包投标声明》，视为独立响应，不分包</w:t>
            </w:r>
          </w:p>
        </w:tc>
        <w:tc>
          <w:tcPr>
            <w:tcW w:type="dxa" w:w="1661"/>
          </w:tcPr>
          <w:p>
            <w:pPr>
              <w:pStyle w:val="null3"/>
            </w:pPr>
            <w:r>
              <w:rPr>
                <w:rFonts w:ascii="仿宋_GB2312" w:hAnsi="仿宋_GB2312" w:cs="仿宋_GB2312" w:eastAsia="仿宋_GB2312"/>
              </w:rPr>
              <w:t>非联合体不分包投标声明.docx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开标一览表 服务内容及服务邀请应答表 供应商类似项目业绩一览表.docx 中小企业声明函 商务应答表 非联合体不分包投标声明.docx 汉中市政府采购供应商资格承诺函.docx 供应商应提交的相关资格证明材料.docx 投标函 残疾人福利性单位声明函 服务方案 标的清单 投标文件封面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服务内容及服务邀请应答表 供应商类似项目业绩一览表.docx 中小企业声明函 商务应答表 非联合体不分包投标声明.docx 汉中市政府采购供应商资格承诺函.docx 供应商应提交的相关资格证明材料.docx 投标函 残疾人福利性单位声明函 服务方案 标的清单 投标文件封面 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投标文件按照招标文件要求编制，内容齐全，无重大缺漏项。</w:t>
            </w:r>
          </w:p>
        </w:tc>
        <w:tc>
          <w:tcPr>
            <w:tcW w:type="dxa" w:w="1661"/>
          </w:tcPr>
          <w:p>
            <w:pPr>
              <w:pStyle w:val="null3"/>
            </w:pPr>
            <w:r>
              <w:rPr>
                <w:rFonts w:ascii="仿宋_GB2312" w:hAnsi="仿宋_GB2312" w:cs="仿宋_GB2312" w:eastAsia="仿宋_GB2312"/>
              </w:rPr>
              <w:t>开标一览表 服务内容及服务邀请应答表 供应商类似项目业绩一览表.docx 中小企业声明函 商务应答表 非联合体不分包投标声明.docx 汉中市政府采购供应商资格承诺函.docx 供应商应提交的相关资格证明材料.docx 投标函 残疾人福利性单位声明函 服务方案 标的清单 投标文件封面 法定代表人授权委托书.docx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投标函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针对本项目提出适用于本项目的方案，方案包括：①数据质量治理及工作报告编制；②巡检运维及工作报告编制；③专项工作支撑；④服务器监守。二、评审标准1、完整性：方案必须全面，对评审内容中的各项要求有详细描述；2、可实施性：切合本项目实际情况，提出步骤清晰、合理的方案；3、针对性：方案能够紧扣项目实际情况，内容科学合理。 三、赋分标准（满分24分） ①数据质量治理及工作报告编制：每完全满足一个评审标准得2.0分，满分6.0分； ②巡检运维及工作报告编制：每完全满足一个评审标准得2.0分，满分6.0分； ③专项工作支撑：每完全满足一个评审标准得2.0分，满分6.0分； ④服务器监守：每完全满足一个评审标准得2.0分，满分6.0分。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团队建设方案</w:t>
            </w:r>
          </w:p>
        </w:tc>
        <w:tc>
          <w:tcPr>
            <w:tcW w:type="dxa" w:w="2492"/>
          </w:tcPr>
          <w:p>
            <w:pPr>
              <w:pStyle w:val="null3"/>
            </w:pPr>
            <w:r>
              <w:rPr>
                <w:rFonts w:ascii="仿宋_GB2312" w:hAnsi="仿宋_GB2312" w:cs="仿宋_GB2312" w:eastAsia="仿宋_GB2312"/>
              </w:rPr>
              <w:t>一、评审内容根据本项目提供团队建设方案，方案内容包括：①团队组织管理②专业服务团队人员的职能分工。二、评审标准1、完整性：方案必须全面，对评审内容中的各项要求有详细描述；2、可实施性：切合本项目实际情况，提出步骤清晰、合理的方案；3、针对性：方案能够紧扣项目实际情况，人员分工及职责等内容科学合理。三、赋分标准（满分9分）①团队组织管理：每完全满足一个评审标准得1.5分，满分4.5分；②专业服务团队人员的职能分工: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1、项目负责人同时具有PMP、中级系统集成项目管理工程师、高级信息系统项目管理师证书的，得3分，需提供有效证明材料复印件并加盖公章，没有则不得分。 2、具有5年工作以上工作经验得2分，5年以内得1分。需要提供项目负责人身份证、职称/资格证书复印件，投标前6个月在本公司的社保证明，工作经验以简历表为准。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1、提供2人全年驻场服务承诺，得1分。 2、团队人员中至少1名人员取得注册安全工程师证书，需要提供人员身份证、职称/资格证书复印件，投标前6个月在本公司的社保证明，得2分。 3、团队人员中至少一名人员取得软件工程师证书（高级），每一名得2分，需要提供人员身份证、职称/资格证书复印件，投标前6个月在本公司的社保证明，最高得4分。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质量与进度控制</w:t>
            </w:r>
          </w:p>
        </w:tc>
        <w:tc>
          <w:tcPr>
            <w:tcW w:type="dxa" w:w="2492"/>
          </w:tcPr>
          <w:p>
            <w:pPr>
              <w:pStyle w:val="null3"/>
            </w:pPr>
            <w:r>
              <w:rPr>
                <w:rFonts w:ascii="仿宋_GB2312" w:hAnsi="仿宋_GB2312" w:cs="仿宋_GB2312" w:eastAsia="仿宋_GB2312"/>
              </w:rPr>
              <w:t>一、评审内容针对本项目提出适用于本项目的方案，包括：①质量管理体系；②质量保证措施；③进度保障措施。二、评审标准1、完整性：方案必须全面，对评审内容中的各项要求有详细描述；2、可实施性：切合本项目实际情况，提出步骤清晰、合理的方案；3、针对性：方案能够紧扣项目实际情况，内容科学合理。三、赋分标准（满分9分）①质量管理体系：每完全满足一个评审标准得1分，满分3分；②质量保证措施：每完全满足一个评审标准得1分，满分3分；③进度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档案资料管理与保密措施</w:t>
            </w:r>
          </w:p>
        </w:tc>
        <w:tc>
          <w:tcPr>
            <w:tcW w:type="dxa" w:w="2492"/>
          </w:tcPr>
          <w:p>
            <w:pPr>
              <w:pStyle w:val="null3"/>
            </w:pPr>
            <w:r>
              <w:rPr>
                <w:rFonts w:ascii="仿宋_GB2312" w:hAnsi="仿宋_GB2312" w:cs="仿宋_GB2312" w:eastAsia="仿宋_GB2312"/>
              </w:rPr>
              <w:t>一、评审内容 针对本项目提出适用于本项目的方案，包括：①档案资料管理制度，包括：档案资料收集、整理、保管等②档案资料工作人员管理办法；③保密措施方案；④保密实施细则；⑤人员保密管理。 二、评审标准 1、完整性：方案必须全面，对评审内容中的各项要求有详细描述； 2、可实施性：切合本项目实际情况，提出步骤清晰、合理的方案； 3、针对性：方案能够紧扣项目实际情况，内容科学合理。 三、赋分标准（满分7.5分） ①档案管理制度：每完全满足一个评审标准得0.5分，满分1.5分； ②档案工作人员管理办法：每完全满足一个评审标准得0.5分，满分1.5分； ③保密措施方案：每完全满足一个评审标准得0.5分，满分1.5分； ④保密实施细则：每完全满足一个评审标准得0.5分，满分1.5分； ⑤人员保密管理：每完全满足一个评审标准得0.5分，满分1.5分。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一、评审内容针对本项目提出适用于本项目的方案，包括：①验收资料②验收程序③验收标准二、评审标准1、完整性：方案必须全面，对评审内容中的各项要求有详细描述；2、可实施性：切合本项目实际情况，提出步骤清晰、合理的方案；3、针对性：方案能够紧扣项目实际情况，内容科学合理。三、赋分标准（满分4.5分）①验收资料：每完全满足一个评审标准得0.5分，满分1.5分；②验收程序：每完全满足一个评审标准得0.5分，满分1.5分；③验收标准：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采购需求提出适用于本项目的应急处理方案，方案包括：①应急方案②应急预案③处理措施二、评审标准1、完整性：方案必须全面，对评审内容中的各项要求有详细描述；2、可实施性：切合本项目实际情况，提出步骤清晰、合理的方案；3、针对性：方案能够紧扣项目实际情况，内容科学合理。三、赋分标准（满分9分） ①应急方案：每完全满足一个评审标准得1分，满分3分； ②应急预案：每完全满足一个评审标准得1分，满分3分； ③处理措施：每完全满足一个评审标准得1分，满分3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服务重点危化品企业数量</w:t>
            </w:r>
          </w:p>
        </w:tc>
        <w:tc>
          <w:tcPr>
            <w:tcW w:type="dxa" w:w="2492"/>
          </w:tcPr>
          <w:p>
            <w:pPr>
              <w:pStyle w:val="null3"/>
            </w:pPr>
            <w:r>
              <w:rPr>
                <w:rFonts w:ascii="仿宋_GB2312" w:hAnsi="仿宋_GB2312" w:cs="仿宋_GB2312" w:eastAsia="仿宋_GB2312"/>
              </w:rPr>
              <w:t>本项目在服务12家重点危化品企业的基础上有增加的，每增加一家重点危化品企业加1分，最多加3分。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企业认证证书</w:t>
            </w:r>
          </w:p>
        </w:tc>
        <w:tc>
          <w:tcPr>
            <w:tcW w:type="dxa" w:w="2492"/>
          </w:tcPr>
          <w:p>
            <w:pPr>
              <w:pStyle w:val="null3"/>
            </w:pPr>
            <w:r>
              <w:rPr>
                <w:rFonts w:ascii="仿宋_GB2312" w:hAnsi="仿宋_GB2312" w:cs="仿宋_GB2312" w:eastAsia="仿宋_GB2312"/>
              </w:rPr>
              <w:t>投标人具有GB/T19001-2016/ISO9001:2015质量体系认证，GB/T45001-2020/ISO45001:2018职业健康安全管理体系认证，GB/T24001-2016/ISO14001:2015环境管理体系认证，每提供一个得1分，最高3分，没有不得分。注：提供有效证明材料复印件并加盖公章，且证书在有效期内，没有或未提供证明材料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合同签订的时间为准）以来，投标人承担过单项合同金额50万元及以上的智能监管平台建设类似业绩证明，每提供一份得3分，最高得9分。（业绩证明材料以中标通知书、合同复印件加盖公章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评标基准价=满足招标文件要求且最低的评标价格，合格供应商的有效价格得分=（评标基准价/评标价格)×10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