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版本号：ZJXHZ-ZBDL-2025-044.1B120251022001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西乡县S218贯山大桥危桥改造工程勘察设计(二次)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ZJXHZ-ZBDL-2025-044.1B1</w:t>
      </w:r>
      <w:r>
        <w:br/>
      </w:r>
      <w:r>
        <w:br/>
      </w:r>
      <w:r>
        <w:br/>
      </w:r>
    </w:p>
    <w:p>
      <w:pPr>
        <w:pStyle w:val="null3"/>
        <w:jc w:val="center"/>
        <w:outlineLvl w:val="2"/>
      </w:pPr>
      <w:r>
        <w:rPr>
          <w:rFonts w:ascii="仿宋_GB2312" w:hAnsi="仿宋_GB2312" w:cs="仿宋_GB2312" w:eastAsia="仿宋_GB2312"/>
          <w:sz w:val="28"/>
          <w:b/>
        </w:rPr>
        <w:t>西乡县交通运输局</w:t>
      </w:r>
    </w:p>
    <w:p>
      <w:pPr>
        <w:pStyle w:val="null3"/>
        <w:jc w:val="center"/>
        <w:outlineLvl w:val="2"/>
      </w:pPr>
      <w:r>
        <w:rPr>
          <w:rFonts w:ascii="仿宋_GB2312" w:hAnsi="仿宋_GB2312" w:cs="仿宋_GB2312" w:eastAsia="仿宋_GB2312"/>
          <w:sz w:val="28"/>
          <w:b/>
        </w:rPr>
        <w:t>中佳信建设管理集团有限公司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中佳信建设管理集团有限公司</w:t>
      </w:r>
      <w:r>
        <w:rPr>
          <w:rFonts w:ascii="仿宋_GB2312" w:hAnsi="仿宋_GB2312" w:cs="仿宋_GB2312" w:eastAsia="仿宋_GB2312"/>
        </w:rPr>
        <w:t>（以下简称“代理机构”）受</w:t>
      </w:r>
      <w:r>
        <w:rPr>
          <w:rFonts w:ascii="仿宋_GB2312" w:hAnsi="仿宋_GB2312" w:cs="仿宋_GB2312" w:eastAsia="仿宋_GB2312"/>
        </w:rPr>
        <w:t>西乡县交通运输局</w:t>
      </w:r>
      <w:r>
        <w:rPr>
          <w:rFonts w:ascii="仿宋_GB2312" w:hAnsi="仿宋_GB2312" w:cs="仿宋_GB2312" w:eastAsia="仿宋_GB2312"/>
        </w:rPr>
        <w:t>委托，拟对</w:t>
      </w:r>
      <w:r>
        <w:rPr>
          <w:rFonts w:ascii="仿宋_GB2312" w:hAnsi="仿宋_GB2312" w:cs="仿宋_GB2312" w:eastAsia="仿宋_GB2312"/>
        </w:rPr>
        <w:t>西乡县S218贯山大桥危桥改造工程勘察设计(二次)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ZJXHZ-ZBDL-2025-044.1B1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西乡县S218贯山大桥危桥改造工程勘察设计(二次)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汉中市贯山桥位于218省道西乡县，桥梁编码S218610724L0400，中心桩号 K271+462，原桥梁全长 128 米，桥宽 8.8 米，所属路线等级为四级公路，设计速度 20 千米/小时。 改造方案为原址新建，桥梁全长 124 米，桥宽 10 米=9 米行车道+2×0.5 米防撞护栏，上部结构采用 4×30 米装配式预应力混凝土简支箱梁，下部结构采用柱式墩台、桩基础，设计荷载等级为公路-I 级，设计洪水频率为 1/50，地震峰值加速度为0.05g，桥面铺装采用沥青混凝土。桥头两侧设 50 米引线与旧路顺接。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1、独立承担民事责任能力的法人、其他组织或自然人：须具有独立承担民事责任能力的法人、其他组织或自然人，并出具合法有效的营业执照等国家规定的相关证明，自然人参与的提供其身份证明；</w:t>
      </w:r>
    </w:p>
    <w:p>
      <w:pPr>
        <w:pStyle w:val="null3"/>
      </w:pPr>
      <w:r>
        <w:rPr>
          <w:rFonts w:ascii="仿宋_GB2312" w:hAnsi="仿宋_GB2312" w:cs="仿宋_GB2312" w:eastAsia="仿宋_GB2312"/>
        </w:rPr>
        <w:t>2、法定代表人授权书原件及被授权人身份证复印件：法定代表人授权书原件及被授权人身份证复印件（法定代表人直接参加投标只须提供法定代表人身份证明原件）；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p>
      <w:pPr>
        <w:pStyle w:val="null3"/>
      </w:pPr>
      <w:r>
        <w:rPr>
          <w:rFonts w:ascii="仿宋_GB2312" w:hAnsi="仿宋_GB2312" w:cs="仿宋_GB2312" w:eastAsia="仿宋_GB2312"/>
        </w:rPr>
        <w:t>4、本项目不接受联合体响应：本次采购不接受联合体响应，单位负责人为同一人或者存在控股、管理关系的不同单位，不得参加同一项目的响应。</w:t>
      </w:r>
    </w:p>
    <w:p>
      <w:pPr>
        <w:pStyle w:val="null3"/>
      </w:pPr>
      <w:r>
        <w:rPr>
          <w:rFonts w:ascii="仿宋_GB2312" w:hAnsi="仿宋_GB2312" w:cs="仿宋_GB2312" w:eastAsia="仿宋_GB2312"/>
        </w:rPr>
        <w:t>5、资质及业绩：须具备工程勘察专业(岩土工程)乙级及以上资质和工程设计公路行业（公路）专业乙级及以上资质；并具有一个及以上类似业绩；</w:t>
      </w:r>
    </w:p>
    <w:p>
      <w:pPr>
        <w:pStyle w:val="null3"/>
      </w:pPr>
      <w:r>
        <w:rPr>
          <w:rFonts w:ascii="仿宋_GB2312" w:hAnsi="仿宋_GB2312" w:cs="仿宋_GB2312" w:eastAsia="仿宋_GB2312"/>
        </w:rPr>
        <w:t>6、非联合体及关联系响应：本项目不接受联合体响应，单位负责人为同一人或者存在控股、管理关系的不同单位，不得参加同一项目的响应。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陕西省汉中市西乡县汉白路215号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0916-6221800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中佳信建设管理集团有限公司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汉中市汉台区西环路北段天汉龙城写字楼5楼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0916-8885914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开户名称：中佳信建设管理集团有限公司汉中分公司</w:t>
            </w:r>
          </w:p>
          <w:p>
            <w:pPr>
              <w:pStyle w:val="null3"/>
            </w:pPr>
            <w:r>
              <w:rPr>
                <w:rFonts w:ascii="仿宋_GB2312" w:hAnsi="仿宋_GB2312" w:cs="仿宋_GB2312" w:eastAsia="仿宋_GB2312"/>
              </w:rPr>
              <w:t>开户银行：工商银行汉中劳动西路支行</w:t>
            </w:r>
          </w:p>
          <w:p>
            <w:pPr>
              <w:pStyle w:val="null3"/>
            </w:pPr>
            <w:r>
              <w:rPr>
                <w:rFonts w:ascii="仿宋_GB2312" w:hAnsi="仿宋_GB2312" w:cs="仿宋_GB2312" w:eastAsia="仿宋_GB2312"/>
              </w:rPr>
              <w:t>银行账号：2606 0539 0920 0071 312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说明：成交价的10%计算。</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代理服务费收费标准：按照国家计委颁发的《采购代理服务收费管理暂行办法》（计价格[2002]1980号）、国家发展改革委员会办公厅颁发的《关于采购代理服务收费有关问题的通知》（发改办价格[2003] 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西乡县交通运输局</w:t>
      </w:r>
      <w:r>
        <w:rPr>
          <w:rFonts w:ascii="仿宋_GB2312" w:hAnsi="仿宋_GB2312" w:cs="仿宋_GB2312" w:eastAsia="仿宋_GB2312"/>
        </w:rPr>
        <w:t>和</w:t>
      </w:r>
      <w:r>
        <w:rPr>
          <w:rFonts w:ascii="仿宋_GB2312" w:hAnsi="仿宋_GB2312" w:cs="仿宋_GB2312" w:eastAsia="仿宋_GB2312"/>
        </w:rPr>
        <w:t>中佳信建设管理集团有限公司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中佳信建设管理集团有限公司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中佳信建设管理集团有限公司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中佳信建设管理集团有限公司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联系电话：0916-8885914</w:t>
      </w:r>
    </w:p>
    <w:p>
      <w:pPr>
        <w:pStyle w:val="null3"/>
      </w:pPr>
      <w:r>
        <w:rPr>
          <w:rFonts w:ascii="仿宋_GB2312" w:hAnsi="仿宋_GB2312" w:cs="仿宋_GB2312" w:eastAsia="仿宋_GB2312"/>
        </w:rPr>
        <w:t>地址：汉中市汉台区西环路北段天汉龙城写字楼5楼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汉中市贯山桥位于218省道西乡县，桥梁编码S218610724L0400，中心桩号 K271+462，原桥梁全长 128 米，桥宽 8.8 米，所属路线等级为四级公路，设计速度 20 千米/小时。 改造方案为原址新建，桥梁全长 124 米，桥宽 10 米=9 米行车道+2×0.5 米防撞护栏，上部结构采用 4×30 米装配式预应力混凝土简支箱梁，下部结构采用柱式墩台、桩基础，设计荷载等级为公路-I 级，设计洪水频率为 1/50，地震峰值加速度为0.05g，桥面铺装采用沥青混凝土。桥头两侧设 50 米引线与旧路顺接。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勘察设计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标的名称：勘察设计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采购需求</w:t>
            </w:r>
            <w:r>
              <w:rPr>
                <w:rFonts w:ascii="仿宋_GB2312" w:hAnsi="仿宋_GB2312" w:cs="仿宋_GB2312" w:eastAsia="仿宋_GB2312"/>
                <w:sz w:val="28"/>
              </w:rPr>
              <w:t>应尽可能清晰准确，对于可以进行定量评估的工作，</w:t>
            </w:r>
            <w:r>
              <w:rPr>
                <w:rFonts w:ascii="仿宋_GB2312" w:hAnsi="仿宋_GB2312" w:cs="仿宋_GB2312" w:eastAsia="仿宋_GB2312"/>
                <w:sz w:val="28"/>
              </w:rPr>
              <w:t>采购需求</w:t>
            </w:r>
            <w:r>
              <w:rPr>
                <w:rFonts w:ascii="仿宋_GB2312" w:hAnsi="仿宋_GB2312" w:cs="仿宋_GB2312" w:eastAsia="仿宋_GB2312"/>
                <w:sz w:val="28"/>
              </w:rPr>
              <w:t>不仅应明确规定其功能、用途、质量、环境、安全</w:t>
            </w:r>
            <w:r>
              <w:rPr>
                <w:rFonts w:ascii="仿宋_GB2312" w:hAnsi="仿宋_GB2312" w:cs="仿宋_GB2312" w:eastAsia="仿宋_GB2312"/>
                <w:sz w:val="28"/>
              </w:rPr>
              <w:t>,</w:t>
            </w:r>
            <w:r>
              <w:rPr>
                <w:rFonts w:ascii="仿宋_GB2312" w:hAnsi="仿宋_GB2312" w:cs="仿宋_GB2312" w:eastAsia="仿宋_GB2312"/>
                <w:sz w:val="28"/>
              </w:rPr>
              <w:t>并且要规定检验、试验、试运行的具体要求</w:t>
            </w:r>
            <w:r>
              <w:rPr>
                <w:rFonts w:ascii="仿宋_GB2312" w:hAnsi="仿宋_GB2312" w:cs="仿宋_GB2312" w:eastAsia="仿宋_GB2312"/>
                <w:sz w:val="28"/>
              </w:rPr>
              <w:t>（</w:t>
            </w:r>
            <w:r>
              <w:rPr>
                <w:rFonts w:ascii="仿宋_GB2312" w:hAnsi="仿宋_GB2312" w:cs="仿宋_GB2312" w:eastAsia="仿宋_GB2312"/>
                <w:sz w:val="28"/>
              </w:rPr>
              <w:t>如有</w:t>
            </w:r>
            <w:r>
              <w:rPr>
                <w:rFonts w:ascii="仿宋_GB2312" w:hAnsi="仿宋_GB2312" w:cs="仿宋_GB2312" w:eastAsia="仿宋_GB2312"/>
                <w:sz w:val="28"/>
              </w:rPr>
              <w:t>）</w:t>
            </w:r>
            <w:r>
              <w:rPr>
                <w:rFonts w:ascii="仿宋_GB2312" w:hAnsi="仿宋_GB2312" w:cs="仿宋_GB2312" w:eastAsia="仿宋_GB2312"/>
                <w:sz w:val="28"/>
              </w:rPr>
              <w:t>。对于设计人负责提供的有关服务，在发包人要求中应一并明确规定。</w:t>
            </w:r>
          </w:p>
          <w:p>
            <w:pPr>
              <w:pStyle w:val="null3"/>
              <w:ind w:firstLine="560"/>
              <w:jc w:val="both"/>
            </w:pPr>
            <w:r>
              <w:rPr>
                <w:rFonts w:ascii="仿宋_GB2312" w:hAnsi="仿宋_GB2312" w:cs="仿宋_GB2312" w:eastAsia="仿宋_GB2312"/>
                <w:sz w:val="28"/>
              </w:rPr>
              <w:t>采购需求</w:t>
            </w:r>
            <w:r>
              <w:rPr>
                <w:rFonts w:ascii="仿宋_GB2312" w:hAnsi="仿宋_GB2312" w:cs="仿宋_GB2312" w:eastAsia="仿宋_GB2312"/>
                <w:sz w:val="28"/>
              </w:rPr>
              <w:t>通常包括但不限于以下内容。</w:t>
            </w:r>
          </w:p>
          <w:p>
            <w:pPr>
              <w:pStyle w:val="null3"/>
              <w:jc w:val="both"/>
            </w:pPr>
            <w:r>
              <w:rPr>
                <w:rFonts w:ascii="仿宋_GB2312" w:hAnsi="仿宋_GB2312" w:cs="仿宋_GB2312" w:eastAsia="仿宋_GB2312"/>
                <w:sz w:val="28"/>
              </w:rPr>
              <w:t>一、</w:t>
            </w:r>
            <w:r>
              <w:rPr>
                <w:rFonts w:ascii="仿宋_GB2312" w:hAnsi="仿宋_GB2312" w:cs="仿宋_GB2312" w:eastAsia="仿宋_GB2312"/>
                <w:sz w:val="28"/>
              </w:rPr>
              <w:t>勘察设计要求</w:t>
            </w:r>
          </w:p>
          <w:p>
            <w:pPr>
              <w:pStyle w:val="null3"/>
              <w:ind w:firstLine="560"/>
              <w:jc w:val="both"/>
            </w:pPr>
            <w:r>
              <w:rPr>
                <w:rFonts w:ascii="仿宋_GB2312" w:hAnsi="仿宋_GB2312" w:cs="仿宋_GB2312" w:eastAsia="仿宋_GB2312"/>
                <w:sz w:val="28"/>
              </w:rPr>
              <w:t>招标人应当根据项目情况在本章中明确相应的勘察设计要求，一般应括以下内容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项目概况包括项目名称、建设单位、建设规模、技术标准、项目地理位置、周边环境、相关区域路网现状及规划</w:t>
            </w:r>
            <w:r>
              <w:rPr>
                <w:rFonts w:ascii="仿宋_GB2312" w:hAnsi="仿宋_GB2312" w:cs="仿宋_GB2312" w:eastAsia="仿宋_GB2312"/>
                <w:sz w:val="28"/>
              </w:rPr>
              <w:t>（</w:t>
            </w:r>
            <w:r>
              <w:rPr>
                <w:rFonts w:ascii="仿宋_GB2312" w:hAnsi="仿宋_GB2312" w:cs="仿宋_GB2312" w:eastAsia="仿宋_GB2312"/>
                <w:sz w:val="28"/>
              </w:rPr>
              <w:t>包括道路航交通工程设施现状及规划</w:t>
            </w:r>
            <w:r>
              <w:rPr>
                <w:rFonts w:ascii="仿宋_GB2312" w:hAnsi="仿宋_GB2312" w:cs="仿宋_GB2312" w:eastAsia="仿宋_GB2312"/>
                <w:sz w:val="28"/>
              </w:rPr>
              <w:t>）</w:t>
            </w:r>
            <w:r>
              <w:rPr>
                <w:rFonts w:ascii="仿宋_GB2312" w:hAnsi="仿宋_GB2312" w:cs="仿宋_GB2312" w:eastAsia="仿宋_GB2312"/>
                <w:sz w:val="28"/>
              </w:rPr>
              <w:t>、文物情况、地质地貌、水文气候及气象条件等。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勘察设计范围及内容</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勘察设计依据</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项目使用功能的要求</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勘察设计人员和设计要求</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其他要求</w:t>
            </w:r>
          </w:p>
          <w:p>
            <w:pPr>
              <w:pStyle w:val="null3"/>
              <w:jc w:val="both"/>
            </w:pPr>
            <w:r>
              <w:rPr>
                <w:rFonts w:ascii="仿宋_GB2312" w:hAnsi="仿宋_GB2312" w:cs="仿宋_GB2312" w:eastAsia="仿宋_GB2312"/>
                <w:sz w:val="28"/>
              </w:rPr>
              <w:t>二、</w:t>
            </w:r>
            <w:r>
              <w:rPr>
                <w:rFonts w:ascii="仿宋_GB2312" w:hAnsi="仿宋_GB2312" w:cs="仿宋_GB2312" w:eastAsia="仿宋_GB2312"/>
                <w:sz w:val="28"/>
              </w:rPr>
              <w:t>适用规范标准</w:t>
            </w:r>
          </w:p>
          <w:p>
            <w:pPr>
              <w:pStyle w:val="null3"/>
              <w:ind w:firstLine="560"/>
              <w:jc w:val="both"/>
            </w:pPr>
            <w:r>
              <w:rPr>
                <w:rFonts w:ascii="仿宋_GB2312" w:hAnsi="仿宋_GB2312" w:cs="仿宋_GB2312" w:eastAsia="仿宋_GB2312"/>
                <w:sz w:val="28"/>
              </w:rPr>
              <w:t>本工程的勘察设计过程和成果必须符合国家有关工程建设标准强制性条文和交通运输部关于公路勘察设计方面现行的标准、规范、定额、办法、示例以及招标项目所在地关于公路工程勘察设计方面的文件、规定。</w:t>
            </w:r>
          </w:p>
          <w:p>
            <w:pPr>
              <w:pStyle w:val="null3"/>
              <w:ind w:firstLine="560"/>
              <w:jc w:val="both"/>
            </w:pPr>
            <w:r>
              <w:rPr>
                <w:rFonts w:ascii="仿宋_GB2312" w:hAnsi="仿宋_GB2312" w:cs="仿宋_GB2312" w:eastAsia="仿宋_GB2312"/>
                <w:sz w:val="28"/>
              </w:rPr>
              <w:t>设计人在勘察设计工作中使用或参考上述标准、规范以外的技术标准、规范时，应征得謐汽包人或发包人的指定代表人的同意。</w:t>
            </w:r>
          </w:p>
          <w:p>
            <w:pPr>
              <w:pStyle w:val="null3"/>
              <w:ind w:firstLine="560"/>
              <w:jc w:val="both"/>
            </w:pPr>
            <w:r>
              <w:rPr>
                <w:rFonts w:ascii="仿宋_GB2312" w:hAnsi="仿宋_GB2312" w:cs="仿宋_GB2312" w:eastAsia="仿宋_GB2312"/>
                <w:sz w:val="28"/>
              </w:rPr>
              <w:t>在设计过程中，如果国家或有关部门颁布了新的技术标准或规范，则设计人应采用新的标准或者规范进行勘察设计。</w:t>
            </w:r>
          </w:p>
          <w:p>
            <w:pPr>
              <w:pStyle w:val="null3"/>
              <w:ind w:firstLine="560"/>
              <w:jc w:val="both"/>
            </w:pPr>
            <w:r>
              <w:rPr>
                <w:rFonts w:ascii="仿宋_GB2312" w:hAnsi="仿宋_GB2312" w:cs="仿宋_GB2312" w:eastAsia="仿宋_GB2312"/>
                <w:sz w:val="28"/>
              </w:rPr>
              <w:t>设计人在勘察设计工作中必须使用中华人民共和国《工程建设标准强制性条文》</w:t>
            </w:r>
            <w:r>
              <w:rPr>
                <w:rFonts w:ascii="仿宋_GB2312" w:hAnsi="仿宋_GB2312" w:cs="仿宋_GB2312" w:eastAsia="仿宋_GB2312"/>
                <w:sz w:val="28"/>
              </w:rPr>
              <w:t>（</w:t>
            </w:r>
            <w:r>
              <w:rPr>
                <w:rFonts w:ascii="仿宋_GB2312" w:hAnsi="仿宋_GB2312" w:cs="仿宋_GB2312" w:eastAsia="仿宋_GB2312"/>
                <w:sz w:val="28"/>
              </w:rPr>
              <w:t>公路工程部分</w:t>
            </w:r>
            <w:r>
              <w:rPr>
                <w:rFonts w:ascii="仿宋_GB2312" w:hAnsi="仿宋_GB2312" w:cs="仿宋_GB2312" w:eastAsia="仿宋_GB2312"/>
                <w:sz w:val="28"/>
              </w:rPr>
              <w:t>）</w:t>
            </w:r>
            <w:r>
              <w:rPr>
                <w:rFonts w:ascii="仿宋_GB2312" w:hAnsi="仿宋_GB2312" w:cs="仿宋_GB2312" w:eastAsia="仿宋_GB2312"/>
                <w:sz w:val="28"/>
              </w:rPr>
              <w:t>和下述标准、规范</w:t>
            </w:r>
            <w:r>
              <w:rPr>
                <w:rFonts w:ascii="仿宋_GB2312" w:hAnsi="仿宋_GB2312" w:cs="仿宋_GB2312" w:eastAsia="仿宋_GB2312"/>
                <w:sz w:val="28"/>
              </w:rPr>
              <w:t>（</w:t>
            </w:r>
            <w:r>
              <w:rPr>
                <w:rFonts w:ascii="仿宋_GB2312" w:hAnsi="仿宋_GB2312" w:cs="仿宋_GB2312" w:eastAsia="仿宋_GB2312"/>
                <w:sz w:val="28"/>
              </w:rPr>
              <w:t>不限于</w:t>
            </w:r>
            <w:r>
              <w:rPr>
                <w:rFonts w:ascii="仿宋_GB2312" w:hAnsi="仿宋_GB2312" w:cs="仿宋_GB2312" w:eastAsia="仿宋_GB2312"/>
                <w:sz w:val="28"/>
              </w:rPr>
              <w:t>）：</w:t>
            </w:r>
          </w:p>
          <w:tbl>
            <w:tblPr>
              <w:tblBorders>
                <w:top w:val="none" w:color="000000" w:sz="4"/>
                <w:left w:val="none" w:color="000000" w:sz="4"/>
                <w:bottom w:val="none" w:color="000000" w:sz="4"/>
                <w:right w:val="none" w:color="000000" w:sz="4"/>
                <w:insideH w:val="none"/>
                <w:insideV w:val="none"/>
              </w:tblBorders>
            </w:tblPr>
            <w:tblGrid>
              <w:gridCol w:w="212"/>
              <w:gridCol w:w="715"/>
              <w:gridCol w:w="1616"/>
            </w:tblGrid>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JTGBO1-2014</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《公路工程技术标准》</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JTGBO2-2013</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《公路工程抗震规范》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JTGT2231-01-2020</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《公路桥梁抗震设计细则》</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JTGBO4-2010</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《公路建设项目环境影响评价规范》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C10-2007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《公路勘测规范》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C20-2011</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《公路工程地质勘察规范》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C30-2015</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《公路工程水文勘测设计规范》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E40-2007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《公路土工试验规程》</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D20-2017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《公路路线设计规范》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D30-2015</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《公路路基设计规范》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D50-2017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《公路沥青路面设计规范》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D50-2017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《公路水泥混凝土路面设计规范》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 D33-2012</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《公路排水设计规范》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D60-2015</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《公路桥涵设计通用规范》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D61-2005</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《公路圬工桥涵设计规范》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3362-2018</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《公路钢筋混凝土及预应力混凝土桥涵设计规范》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3363-2019</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《公路桥涵地基与基础设计规范》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D81-2017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《公路交通安全设施设计规范》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 D81-2017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《公路交通安全设施设计细则》</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JTG/TB07-01-2018</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《公路工程混凝土结构防腐技术规范》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21.</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BO5-2015</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《公路项目安全性评价规范》</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（交公路发</w:t>
                  </w:r>
                  <w:r>
                    <w:rPr>
                      <w:rFonts w:ascii="仿宋_GB2312" w:hAnsi="仿宋_GB2312" w:cs="仿宋_GB2312" w:eastAsia="仿宋_GB2312"/>
                      <w:sz w:val="18"/>
                    </w:rPr>
                    <w:t>[2007]358</w:t>
                  </w:r>
                  <w:r>
                    <w:rPr>
                      <w:rFonts w:ascii="仿宋_GB2312" w:hAnsi="仿宋_GB2312" w:cs="仿宋_GB2312" w:eastAsia="仿宋_GB2312"/>
                      <w:sz w:val="18"/>
                    </w:rPr>
                    <w:t>号）</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《公路工程工程基本建设项目设计文件编制办法》</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23.</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 BO6-2007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《公路工程工程基本建设项目概算预算编制办法》</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 3831-2018</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《公路工程概算定额》</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 3832-2018</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《公路工程预算定额》</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26.</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JTG/T BO6-03-2007</w:t>
                  </w:r>
                  <w:r>
                    <w:rPr>
                      <w:rFonts w:ascii="仿宋_GB2312" w:hAnsi="仿宋_GB2312" w:cs="仿宋_GB2312" w:eastAsia="仿宋_GB2312"/>
                      <w:sz w:val="24"/>
                    </w:rPr>
                    <w:t>）</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《公路工程机台班费用定额》</w:t>
                  </w:r>
                </w:p>
              </w:tc>
            </w:tr>
            <w:tr>
              <w:tc>
                <w:tcPr>
                  <w:tcW w:type="dxa" w:w="21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27.</w:t>
                  </w:r>
                </w:p>
              </w:tc>
              <w:tc>
                <w:tcPr>
                  <w:tcW w:type="dxa" w:w="7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（建标</w:t>
                  </w:r>
                  <w:r>
                    <w:rPr>
                      <w:rFonts w:ascii="仿宋_GB2312" w:hAnsi="仿宋_GB2312" w:cs="仿宋_GB2312" w:eastAsia="仿宋_GB2312"/>
                      <w:sz w:val="24"/>
                    </w:rPr>
                    <w:t>[1999]278</w:t>
                  </w:r>
                  <w:r>
                    <w:rPr>
                      <w:rFonts w:ascii="仿宋_GB2312" w:hAnsi="仿宋_GB2312" w:cs="仿宋_GB2312" w:eastAsia="仿宋_GB2312"/>
                      <w:sz w:val="24"/>
                    </w:rPr>
                    <w:t>号）</w:t>
                  </w:r>
                </w:p>
              </w:tc>
              <w:tc>
                <w:tcPr>
                  <w:tcW w:type="dxa" w:w="161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《公路建设项目用地指标》</w:t>
                  </w:r>
                </w:p>
              </w:tc>
            </w:tr>
          </w:tbl>
          <w:p>
            <w:pPr>
              <w:pStyle w:val="null3"/>
              <w:jc w:val="both"/>
            </w:pPr>
            <w:r>
              <w:rPr>
                <w:rFonts w:ascii="仿宋_GB2312" w:hAnsi="仿宋_GB2312" w:cs="仿宋_GB2312" w:eastAsia="仿宋_GB2312"/>
                <w:sz w:val="28"/>
              </w:rPr>
              <w:t>三、</w:t>
            </w:r>
            <w:r>
              <w:rPr>
                <w:rFonts w:ascii="仿宋_GB2312" w:hAnsi="仿宋_GB2312" w:cs="仿宋_GB2312" w:eastAsia="仿宋_GB2312"/>
                <w:sz w:val="28"/>
              </w:rPr>
              <w:t>成果文件要求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成果文件的组成</w:t>
            </w:r>
            <w:r>
              <w:rPr>
                <w:rFonts w:ascii="仿宋_GB2312" w:hAnsi="仿宋_GB2312" w:cs="仿宋_GB2312" w:eastAsia="仿宋_GB2312"/>
                <w:sz w:val="28"/>
              </w:rPr>
              <w:t>:勘察设计说明</w:t>
            </w:r>
            <w:r>
              <w:rPr>
                <w:rFonts w:ascii="仿宋_GB2312" w:hAnsi="仿宋_GB2312" w:cs="仿宋_GB2312" w:eastAsia="仿宋_GB2312"/>
                <w:sz w:val="28"/>
              </w:rPr>
              <w:t>、图纸等</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成果文件的深度</w:t>
            </w:r>
            <w:r>
              <w:rPr>
                <w:rFonts w:ascii="仿宋_GB2312" w:hAnsi="仿宋_GB2312" w:cs="仿宋_GB2312" w:eastAsia="仿宋_GB2312"/>
                <w:sz w:val="28"/>
              </w:rPr>
              <w:t>:满足相关要求</w:t>
            </w:r>
          </w:p>
          <w:p>
            <w:pPr>
              <w:pStyle w:val="null3"/>
              <w:ind w:firstLine="560"/>
              <w:jc w:val="both"/>
            </w:pPr>
            <w:r>
              <w:rPr>
                <w:rFonts w:ascii="仿宋_GB2312" w:hAnsi="仿宋_GB2312" w:cs="仿宋_GB2312" w:eastAsia="仿宋_GB2312"/>
                <w:sz w:val="28"/>
              </w:rPr>
              <w:t>3.成果文件的格式要求:纸质文件、电子文件</w:t>
            </w:r>
          </w:p>
          <w:p>
            <w:pPr>
              <w:pStyle w:val="null3"/>
              <w:ind w:firstLine="560"/>
              <w:jc w:val="both"/>
            </w:pPr>
            <w:r>
              <w:rPr>
                <w:rFonts w:ascii="仿宋_GB2312" w:hAnsi="仿宋_GB2312" w:cs="仿宋_GB2312" w:eastAsia="仿宋_GB2312"/>
                <w:sz w:val="28"/>
              </w:rPr>
              <w:t>4.成果文件的份数要求:见专用合同条款 8.1条</w:t>
            </w:r>
          </w:p>
          <w:p>
            <w:pPr>
              <w:pStyle w:val="null3"/>
              <w:ind w:firstLine="560"/>
              <w:jc w:val="both"/>
            </w:pPr>
            <w:r>
              <w:rPr>
                <w:rFonts w:ascii="仿宋_GB2312" w:hAnsi="仿宋_GB2312" w:cs="仿宋_GB2312" w:eastAsia="仿宋_GB2312"/>
                <w:sz w:val="28"/>
              </w:rPr>
              <w:t>5.成果文件的载体要求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1）纸质版的要求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2）电子版的要求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3）其他要求</w:t>
            </w:r>
          </w:p>
          <w:p>
            <w:pPr>
              <w:pStyle w:val="null3"/>
              <w:jc w:val="both"/>
            </w:pPr>
            <w:r>
              <w:rPr>
                <w:rFonts w:ascii="仿宋_GB2312" w:hAnsi="仿宋_GB2312" w:cs="仿宋_GB2312" w:eastAsia="仿宋_GB2312"/>
                <w:sz w:val="28"/>
              </w:rPr>
              <w:t>6.成果文件的其他要求:无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为保证本项目的顺利实施，响应供应商应满足国家相关法律法规的要求，须保证所涉及本项目设备设施来源渠道合法，配置参数达到响应的标准要求。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签订合同后，按期完成施工图设计文件（报批稿）并递交至采购人处</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设计成果，经采购人或上级主管部门审查、修改批准后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施工配合期末，采购人向供应商支付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待竣工决算后，支付剩余金额</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采购项目需要落实的政府采购政策</w:t>
            </w:r>
          </w:p>
        </w:tc>
        <w:tc>
          <w:tcPr>
            <w:tcW w:type="dxa" w:w="3322"/>
          </w:tcPr>
          <w:p>
            <w:pPr>
              <w:pStyle w:val="null3"/>
            </w:pPr>
            <w:r>
              <w:rPr>
                <w:rFonts w:ascii="仿宋_GB2312" w:hAnsi="仿宋_GB2312" w:cs="仿宋_GB2312" w:eastAsia="仿宋_GB2312"/>
              </w:rPr>
              <w:t>①《财政部国家发展改革委关于印发〈节能产品政府采购实施意见〉的通知》（财库〔2004〕185号）； ②《国务院办公厅关于建立政府强制采购节能产品制度的通知》（国办发〔2007〕51号）； ③《财政部司法部关于政府采购支持监狱企业发展有关问题的通知》（财库〔2014〕68号）； ④《关于在政府采购活动中查询及使用信用记录有关问题的通知》（财库〔2016〕125号）； ⑤《关于在政府采购活动中查询及使用信用记录有关问题的通知》（财库〔2016〕125号）； ⑥《三部门联合发布关于促进残疾人就业政府采购政策的通知》（财库〔2017〕141号）； ⑦《陕西省中小企业政府采购信用融资办法》（陕财办采〔2018〕23号）； ⑧《政府采购促进中小企业发展管理办法》（财库﹝2020﹞46号）； ⑨《关于运用政府采购政策支持乡村产业振兴的通知》（财库〔2021〕19号）； ⑩其它需要落实的政府采购政策。</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独立承担民事责任能力的法人、其他组织或自然人</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法定代表人授权书原件及被授权人身份证复印件</w:t>
            </w:r>
          </w:p>
        </w:tc>
        <w:tc>
          <w:tcPr>
            <w:tcW w:type="dxa" w:w="3322"/>
          </w:tcPr>
          <w:p>
            <w:pPr>
              <w:pStyle w:val="null3"/>
            </w:pPr>
            <w:r>
              <w:rPr>
                <w:rFonts w:ascii="仿宋_GB2312" w:hAnsi="仿宋_GB2312" w:cs="仿宋_GB2312" w:eastAsia="仿宋_GB2312"/>
              </w:rPr>
              <w:t>法定代表人授权书原件及被授权人身份证复印件（法定代表人直接参加投标只须提供法定代表人身份证明原件）；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本次采购不接受联合体响应，单位负责人为同一人或者存在控股、管理关系的不同单位，不得参加同一项目的响应。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资质及业绩</w:t>
            </w:r>
          </w:p>
        </w:tc>
        <w:tc>
          <w:tcPr>
            <w:tcW w:type="dxa" w:w="3322"/>
          </w:tcPr>
          <w:p>
            <w:pPr>
              <w:pStyle w:val="null3"/>
            </w:pPr>
            <w:r>
              <w:rPr>
                <w:rFonts w:ascii="仿宋_GB2312" w:hAnsi="仿宋_GB2312" w:cs="仿宋_GB2312" w:eastAsia="仿宋_GB2312"/>
              </w:rPr>
              <w:t>须具备工程勘察专业(岩土工程)乙级及以上资质和工程设计公路行业（公路）专业乙级及以上资质；并具有一个及以上类似业绩；</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非联合体及关联系响应</w:t>
            </w:r>
          </w:p>
        </w:tc>
        <w:tc>
          <w:tcPr>
            <w:tcW w:type="dxa" w:w="3322"/>
          </w:tcPr>
          <w:p>
            <w:pPr>
              <w:pStyle w:val="null3"/>
            </w:pPr>
            <w:r>
              <w:rPr>
                <w:rFonts w:ascii="仿宋_GB2312" w:hAnsi="仿宋_GB2312" w:cs="仿宋_GB2312" w:eastAsia="仿宋_GB2312"/>
              </w:rPr>
              <w:t>本项目不接受联合体响应，单位负责人为同一人或者存在控股、管理关系的不同单位，不得参加同一项目的响应。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竞争性磋商响应文件的编写</w:t>
            </w:r>
          </w:p>
        </w:tc>
        <w:tc>
          <w:tcPr>
            <w:tcW w:type="dxa" w:w="3322"/>
          </w:tcPr>
          <w:p>
            <w:pPr>
              <w:pStyle w:val="null3"/>
            </w:pPr>
            <w:r>
              <w:rPr>
                <w:rFonts w:ascii="仿宋_GB2312" w:hAnsi="仿宋_GB2312" w:cs="仿宋_GB2312" w:eastAsia="仿宋_GB2312"/>
              </w:rPr>
              <w:t>竞争性磋商响应文件的编写是否满足要求；签字、盖章是否有效，字迹是否清晰可辨，编写格式符合竞争性磋商文件要求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响应文件的内容是否有重大缺漏项</w:t>
            </w:r>
          </w:p>
        </w:tc>
        <w:tc>
          <w:tcPr>
            <w:tcW w:type="dxa" w:w="3322"/>
          </w:tcPr>
          <w:p>
            <w:pPr>
              <w:pStyle w:val="null3"/>
            </w:pPr>
            <w:r>
              <w:rPr>
                <w:rFonts w:ascii="仿宋_GB2312" w:hAnsi="仿宋_GB2312" w:cs="仿宋_GB2312" w:eastAsia="仿宋_GB2312"/>
              </w:rPr>
              <w:t>竞争性磋商响应文件的内容是否有重大缺漏项</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竞争性磋商响应文件符合法律、法规和竞争性磋商文件中规定的其他实质性要求</w:t>
            </w:r>
          </w:p>
        </w:tc>
        <w:tc>
          <w:tcPr>
            <w:tcW w:type="dxa" w:w="3322"/>
          </w:tcPr>
          <w:p>
            <w:pPr>
              <w:pStyle w:val="null3"/>
            </w:pPr>
            <w:r>
              <w:rPr>
                <w:rFonts w:ascii="仿宋_GB2312" w:hAnsi="仿宋_GB2312" w:cs="仿宋_GB2312" w:eastAsia="仿宋_GB2312"/>
              </w:rPr>
              <w:t>竞争性磋商响应文件符合法律、法规和竞争性磋商文件中规定的其他实质性要求</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磋商响应文件有效期符合磋商文件要求</w:t>
            </w:r>
          </w:p>
        </w:tc>
        <w:tc>
          <w:tcPr>
            <w:tcW w:type="dxa" w:w="3322"/>
          </w:tcPr>
          <w:p>
            <w:pPr>
              <w:pStyle w:val="null3"/>
            </w:pPr>
            <w:r>
              <w:rPr>
                <w:rFonts w:ascii="仿宋_GB2312" w:hAnsi="仿宋_GB2312" w:cs="仿宋_GB2312" w:eastAsia="仿宋_GB2312"/>
              </w:rPr>
              <w:t>磋商响应文件有效期符合磋商文件要求</w:t>
            </w:r>
          </w:p>
        </w:tc>
        <w:tc>
          <w:tcPr>
            <w:tcW w:type="dxa" w:w="1661"/>
          </w:tcPr>
          <w:p>
            <w:pPr>
              <w:pStyle w:val="null3"/>
            </w:pPr>
            <w:r>
              <w:rPr>
                <w:rFonts w:ascii="仿宋_GB2312" w:hAnsi="仿宋_GB2312" w:cs="仿宋_GB2312" w:eastAsia="仿宋_GB2312"/>
              </w:rPr>
              <w:t>响应文件封面 商务应答表 服务方案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竞争性磋商文件中规定的双方的权利和义务是否做出了实质性响应</w:t>
            </w:r>
          </w:p>
        </w:tc>
        <w:tc>
          <w:tcPr>
            <w:tcW w:type="dxa" w:w="3322"/>
          </w:tcPr>
          <w:p>
            <w:pPr>
              <w:pStyle w:val="null3"/>
            </w:pPr>
            <w:r>
              <w:rPr>
                <w:rFonts w:ascii="仿宋_GB2312" w:hAnsi="仿宋_GB2312" w:cs="仿宋_GB2312" w:eastAsia="仿宋_GB2312"/>
              </w:rPr>
              <w:t>竞争性磋商文件中规定的双方的权利和义务是否做出了实质性响应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评审内容：①项目整体设计方案工作思路明确②设计依据符合规范③项目重点、难点把控④设计内容科学合理。 评审标准：以上内容全面详细、目标明确、科学合理且完全符合本项目采购要求得20分。评审内容缺每一项扣5分,评审内容有缺陷（缺陷指内容明显错误、描述过于简单、与项目特点不匹配、凭空编造、逻辑漏洞、出现常识性错误或不适用本项目特性等）的扣2.5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工作实施方案</w:t>
            </w:r>
          </w:p>
        </w:tc>
        <w:tc>
          <w:tcPr>
            <w:tcW w:type="dxa" w:w="2492"/>
          </w:tcPr>
          <w:p>
            <w:pPr>
              <w:pStyle w:val="null3"/>
            </w:pPr>
            <w:r>
              <w:rPr>
                <w:rFonts w:ascii="仿宋_GB2312" w:hAnsi="仿宋_GB2312" w:cs="仿宋_GB2312" w:eastAsia="仿宋_GB2312"/>
              </w:rPr>
              <w:t>评审内容：①时间进度安排计划②工作流程③进度保障措施。评审标准：以上方案内容全面详细、目标明确、科学合理且完全符合本项目采购要求得12分。评审内容每缺一项扣4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可行性强且符合本项目采购需求得8分。评审内容每缺一项扣4分,评审内容有缺陷（缺陷指内容明显错误、描述过于简单、与项目特点不匹配、凭空编造、逻辑漏洞、出现常识性错误或不适用本项目特性等）的扣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人员配置计划</w:t>
            </w:r>
          </w:p>
        </w:tc>
        <w:tc>
          <w:tcPr>
            <w:tcW w:type="dxa" w:w="2492"/>
          </w:tcPr>
          <w:p>
            <w:pPr>
              <w:pStyle w:val="null3"/>
            </w:pPr>
            <w:r>
              <w:rPr>
                <w:rFonts w:ascii="仿宋_GB2312" w:hAnsi="仿宋_GB2312" w:cs="仿宋_GB2312" w:eastAsia="仿宋_GB2312"/>
              </w:rPr>
              <w:t>1.提供团队人员情况信息表（表内至少包括姓名、性别、年龄、学历、分工安排）及框架结构图，人员数量及相关经验能满足采购需求的得5分，不提供不得分；2.除项目负责人外，需配备道路与桥梁人员，每提供一位具备相关专业注册执业资格或相关专业高级（含）以上技术职称的人员每提供1人证书得1分，最高可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内部管理制度②日常工作制度③人员培训制度④岗位职责⑤操作规程。评审标准：以上内容全面详细、阐述条理清晰详尽、可行性强且符合本项目需求得15分。评审内容每缺一项扣3分,评审内容有缺陷（缺陷指内容明显错误、描述过于简单、与项目特点不匹配、凭空编造、逻辑漏洞、出现常识性错误或不适用本项目特性等）的扣1.5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合理化建议及承诺</w:t>
            </w:r>
          </w:p>
        </w:tc>
        <w:tc>
          <w:tcPr>
            <w:tcW w:type="dxa" w:w="2492"/>
          </w:tcPr>
          <w:p>
            <w:pPr>
              <w:pStyle w:val="null3"/>
            </w:pPr>
            <w:r>
              <w:rPr>
                <w:rFonts w:ascii="仿宋_GB2312" w:hAnsi="仿宋_GB2312" w:cs="仿宋_GB2312" w:eastAsia="仿宋_GB2312"/>
              </w:rPr>
              <w:t>评审内容：①对本项目的合理化建议具有科学性、前瞻性、地域性、可行性②承诺接受采购人对服务的考核、监督及管理，定期调研采购人对服务质量的满意度并加以改进，确保服务工作的优质高效。 评审标准：以上内容全面详细、计划安排合理、逻辑清晰、可行性强得10分。评审内容每缺一项扣5分,评审内容有缺陷（缺陷指内容明显错误、描述过于简单、与项目特点不匹配、凭空编造、逻辑漏洞、出现常识性错误或不适用本项目特性等）的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提供供应商2022年1月至响应文件递交截止日类似项目业绩（以合同复印件或中标通知书为准），每提供一份业绩得1分，最高得5分。若提供虚假业绩，一经发现，按无效投标处理。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2.满足招标文件要求且报价最低的投标报价为评标基准价，其价格分20分。 3.报价得分=（基准价/投标报价）×20的公式计算得分。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