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版本号：ZK25(CG)03022.1B120250916001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消防维护保养服务（两年）采购项目(二次)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ZK25(CG)03022.1B1</w:t>
      </w:r>
      <w:r>
        <w:br/>
      </w:r>
      <w:r>
        <w:br/>
      </w:r>
      <w:r>
        <w:br/>
      </w:r>
    </w:p>
    <w:p>
      <w:pPr>
        <w:pStyle w:val="null3"/>
        <w:jc w:val="center"/>
        <w:outlineLvl w:val="2"/>
      </w:pPr>
      <w:r>
        <w:rPr>
          <w:rFonts w:ascii="仿宋_GB2312" w:hAnsi="仿宋_GB2312" w:cs="仿宋_GB2312" w:eastAsia="仿宋_GB2312"/>
          <w:sz w:val="28"/>
          <w:b/>
        </w:rPr>
        <w:t>西乡县人民医院</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西乡县人民医院</w:t>
      </w:r>
      <w:r>
        <w:rPr>
          <w:rFonts w:ascii="仿宋_GB2312" w:hAnsi="仿宋_GB2312" w:cs="仿宋_GB2312" w:eastAsia="仿宋_GB2312"/>
        </w:rPr>
        <w:t>委托，拟对</w:t>
      </w:r>
      <w:r>
        <w:rPr>
          <w:rFonts w:ascii="仿宋_GB2312" w:hAnsi="仿宋_GB2312" w:cs="仿宋_GB2312" w:eastAsia="仿宋_GB2312"/>
        </w:rPr>
        <w:t>消防维护保养服务（两年）采购项目(二次)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ZK25(CG)03022.1B1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消防维护保养服务（两年）采购项目(二次)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人民医院消防维护保养服务项目，主要包含西乡县人民医院门诊楼、急诊楼、住院楼、感染楼、精神卫生中心、核医学楼、地下停车场合计面积约11万平方米的消防设施维护保养、日常检测、低值易耗品的更换、设备联动测试、室内外消火栓、室内喷淋系统、火灾自动报警系统、IG541灭火系统、防火卷帘、消防广播、防排烟系统、通讯系统、水泵、控制柜、联动柜的维护保养，消防控制室、上级部门检查人员支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采购包1（西乡县人民医院消防维护保养服务（两年）采购项目）：属于专门面向中小企业采购。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须为独立承担民事责任能力的法人或其他组织或自然人。其中企业法人应提供有效的统一社会信用代码的营业执照，事业单位应提供事业单位法人证书，其他组织应提供合法证明文件，自然人提供身份证明。</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人身份证明及法人身份证，并与营业执照上信息一致。法定代表授权委托人参加投标的，须出具法定代表授权委托书及被授权代表身份证。</w:t>
      </w:r>
    </w:p>
    <w:p>
      <w:pPr>
        <w:pStyle w:val="null3"/>
      </w:pPr>
      <w:r>
        <w:rPr>
          <w:rFonts w:ascii="仿宋_GB2312" w:hAnsi="仿宋_GB2312" w:cs="仿宋_GB2312" w:eastAsia="仿宋_GB2312"/>
        </w:rPr>
        <w:t>3、供应商及项目负责人资格：供应商应在社会消防技术服务信息系统上注册备案可查询（提供网页截图并加盖公章），拟派本项目的项目负责人为一级注册消防工程师。</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提供《汉中市政府采购供应商资格承诺函》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西乡县东大街8号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13892635629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陕西省西安市未央区陕西省西安市未央区北二环与太华路立交桥东北角百环国际19层11902号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15591479129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代理服务费收费标准：按国家计委关于印发《招标代理服务收费管理暂行办法》的通知（计价格[2002]1980号）号文的有关标准收取，由成交供应商在领取成交通知书前向采购代理机构一次性支付。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西乡县人民医院</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建筑消防设施维护保养管理规范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联系电话：15591479129</w:t>
      </w:r>
    </w:p>
    <w:p>
      <w:pPr>
        <w:pStyle w:val="null3"/>
      </w:pPr>
      <w:r>
        <w:rPr>
          <w:rFonts w:ascii="仿宋_GB2312" w:hAnsi="仿宋_GB2312" w:cs="仿宋_GB2312" w:eastAsia="仿宋_GB2312"/>
        </w:rPr>
        <w:t>地址：陕西省汉中市汉台区供电大道邮局对面正凯公司</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人民医院消防维护保养服务项目，主要包含西乡县人民医院门诊楼、急诊楼、住院楼、感染楼、精神卫生中心、核医学楼、地下停车场合计面积约11万平方米的消防设施维护保养、日常检测、低值易耗品的更换、设备联动测试、室内外消火栓、室内喷淋系统、火灾自动报警系统、IG541灭火系统、防火卷帘、消防广播、防排烟系统、通讯系统、水泵、控制柜、联动柜的维护保养，消防控制室、上级部门检查人员支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消防维保</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西乡县人民医院门诊楼、急诊楼、住院楼、感染楼、精神卫生中心、核医学楼、地下停车场（合计面积约11万平方米）的消防设施的维护保养、日常检测、低值易耗品的更换、设备联动测试、室内外消火栓、室内喷淋系统、火灾自动报警系统、IG541灭火系统、防火卷帘、消防广播、防排烟系统、通讯系统、水泵、控制柜、联动柜的维护保养，消防控制室、上级部门检查人员支持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拟派本项目的项目负责人为一级注册消防工程师，其他人员依据3.2.2服务要求里的技术参数及评审要素自行拟派</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依据3.2.2服务要求里的技术参数自行提供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1、维护保养符合建筑消防设施维护保养管理规范要求开展相关工作； 2、出具全面的年度检测报告； 3、管理科室及医院满意度调查； 4、上级行政主管部门检查中未提及维保工作存在的重大问题。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维保半年后，且未发生任何因维保不力导致的安全生产事故的发生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维保满一年后，无因维保不力导致的安全生产事故发生，支付剩余款项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双方有争议的或违约的，可向医院所在地人民法院提起诉讼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单位应提供事业单位法人证书，其他组织应提供合法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及法人身份证，并与营业执照上信息一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法定代表人及授权委托书.docx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供应商及项目负责人资格</w:t>
            </w:r>
          </w:p>
        </w:tc>
        <w:tc>
          <w:tcPr>
            <w:tcW w:type="dxa" w:w="3322"/>
          </w:tcPr>
          <w:p>
            <w:pPr>
              <w:pStyle w:val="null3"/>
            </w:pPr>
            <w:r>
              <w:rPr>
                <w:rFonts w:ascii="仿宋_GB2312" w:hAnsi="仿宋_GB2312" w:cs="仿宋_GB2312" w:eastAsia="仿宋_GB2312"/>
              </w:rPr>
              <w:t>供应商应在社会消防技术服务信息系统上注册备案可查询（提供网页截图并加盖公章），拟派本项目的项目负责人为一级注册消防工程师。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提供《汉中市政府采购供应商资格承诺函》并加盖公章。</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响应文件语言及有效期符合征集文件要求。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均按征集文件要求签字、盖章</w:t>
            </w:r>
          </w:p>
        </w:tc>
        <w:tc>
          <w:tcPr>
            <w:tcW w:type="dxa" w:w="1661"/>
          </w:tcPr>
          <w:p>
            <w:pPr>
              <w:pStyle w:val="null3"/>
            </w:pPr>
            <w:r>
              <w:rPr>
                <w:rFonts w:ascii="仿宋_GB2312" w:hAnsi="仿宋_GB2312" w:cs="仿宋_GB2312" w:eastAsia="仿宋_GB2312"/>
              </w:rPr>
              <w:t>服务内容及服务邀请应答表 法定代表人及授权委托书.docx 中小企业声明函 商务应答表 供应商应提交的相关资格证明材料 报价表 汉中市政府采购供应商资格承诺函.docx 供应商承诺书.docx 响应文件封面 供应商企业关系关联承诺书docx.docx 残疾人福利性单位声明函 服务方案 标的清单 响应函 监狱企业的证明文件 履约能力及人员配备</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 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没有出现法律法规或征集文件规定的其他无效情形</w:t>
            </w:r>
          </w:p>
        </w:tc>
        <w:tc>
          <w:tcPr>
            <w:tcW w:type="dxa" w:w="1661"/>
          </w:tcPr>
          <w:p>
            <w:pPr>
              <w:pStyle w:val="null3"/>
            </w:pPr>
            <w:r>
              <w:rPr>
                <w:rFonts w:ascii="仿宋_GB2312" w:hAnsi="仿宋_GB2312" w:cs="仿宋_GB2312" w:eastAsia="仿宋_GB2312"/>
              </w:rPr>
              <w:t>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 2022 年 1 月 1 日至今的同类业绩，每提供一份计 3 分， 计满 9 分为止(以合同或中标通知书复印件为准)。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履约能力及人员配备</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 xml:space="preserve"> 供应商根据医院消防维护保障工作的实际需要，至少配备一名一级注册消防工程师和一名中级操作员做为现场驻场人员，得6分，每提供一个同等职称的替补人员加2分， 最高加4分，以保证突发应急状况的处理以及 保障设备正常运行。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履约能力及人员配备</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1.供应商针对本项目提供详细的服务方案，进行综合对比和分析（日常巡检、更换、保养、测试、检测等），按其方案优计 10-15 分，良计 5-9.9分，差计 0 -4.9分。 2.维保质量保证及运行保障措施：确保消防设施正常工作的质量保证措施。按差别赋分，质量保证措施合理、可行，得 10~15 分；质量保证措施基本合理、可行， 得 5~9.9 分；质量保证措施较差， 得 0~4.9 分。 3.零配件供应：确保消防设施的正常使用，保证消防设施备品配件的正常供应， 按差别赋分，零配件库供应充足， 得 3~6 分；零配件库供应较充足，得 2~2.9 分；零配件库供应较差， 得 0~1.9 分。 4.应急预案：应急突发状况处置措施和设备故障时反应机制：供应商针对本项目需提供在突发状况下，发生故障或事故时具有应急能力，应急方案合理、可行。根据响应情况按差别赋分，应急预案合理、可行，得 10~15 分；应急预案基本合理、可行，得 5~9.9 分；应急预案较差， 得 0~4.9 分。 5.进入病区的安全防护方案因甲方情况特殊，如需要进入病区维修，针对本项目有切实可行 的保障方案，根据响应情况，按差别计分。方案合理、可行，得 8~10 分；方案基本合理、可行，得 4~7.9 分；方案较差， 得 0~3.9 分。 6.对上岗工作人员进行控感培训的承诺及项目实施过程中对工作人员控感培训的计划及承诺， 根据响应情况， 按差别计分。有承诺，计划合理、可行，得 4~5 分；有承诺，计划基本合理、可行， 得 2~3.9 分；有承诺，计划较差， 得 0~1.9 分。</w:t>
            </w:r>
          </w:p>
        </w:tc>
        <w:tc>
          <w:tcPr>
            <w:tcW w:type="dxa" w:w="831"/>
          </w:tcPr>
          <w:p>
            <w:pPr>
              <w:pStyle w:val="null3"/>
              <w:jc w:val="right"/>
            </w:pPr>
            <w:r>
              <w:rPr>
                <w:rFonts w:ascii="仿宋_GB2312" w:hAnsi="仿宋_GB2312" w:cs="仿宋_GB2312" w:eastAsia="仿宋_GB2312"/>
              </w:rPr>
              <w:t>66.0000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供应商须承诺每月对消防系统进行月检，定期增派专业技术人员进行联动测试等，消防应急、排除故障的时间需满足采购人需求,根据响应程度计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经初审合格的磋商响应文件， 其磋商报价为有效磋商报价。 2.满足磋商文件实质性要求且最终报价最低的供应商的价格为磋商基准价，其价格分 10 分。 3.磋商报价得分=(磋商基准价/最终磋商报价)×10 的公式计算得分。 4.磋商报价不完整的，不进入磋商基准价的计算， 本项得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详见附件：供应商企业关系关联承诺书docx.docx</w:t>
      </w:r>
    </w:p>
    <w:p>
      <w:pPr>
        <w:pStyle w:val="null3"/>
        <w:ind w:firstLine="960"/>
      </w:pPr>
      <w:r>
        <w:rPr>
          <w:rFonts w:ascii="仿宋_GB2312" w:hAnsi="仿宋_GB2312" w:cs="仿宋_GB2312" w:eastAsia="仿宋_GB2312"/>
        </w:rPr>
        <w:t>详见附件：履约能力及人员配备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