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版本号：pz-hzzc-029.1B120260305001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医养结合病房能力提升改造设计项目(二次)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pz-hzzc-029.1B1</w:t>
      </w:r>
      <w:r>
        <w:br/>
      </w:r>
      <w:r>
        <w:br/>
      </w:r>
      <w:r>
        <w:br/>
      </w:r>
    </w:p>
    <w:p>
      <w:pPr>
        <w:pStyle w:val="null3"/>
        <w:jc w:val="center"/>
        <w:outlineLvl w:val="2"/>
      </w:pPr>
      <w:r>
        <w:rPr>
          <w:rFonts w:ascii="仿宋_GB2312" w:hAnsi="仿宋_GB2312" w:cs="仿宋_GB2312" w:eastAsia="仿宋_GB2312"/>
          <w:sz w:val="28"/>
          <w:b/>
        </w:rPr>
        <w:t>西乡县城南中心卫生院</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西乡县城南中心卫生院</w:t>
      </w:r>
      <w:r>
        <w:rPr>
          <w:rFonts w:ascii="仿宋_GB2312" w:hAnsi="仿宋_GB2312" w:cs="仿宋_GB2312" w:eastAsia="仿宋_GB2312"/>
        </w:rPr>
        <w:t>委托，拟对</w:t>
      </w:r>
      <w:r>
        <w:rPr>
          <w:rFonts w:ascii="仿宋_GB2312" w:hAnsi="仿宋_GB2312" w:cs="仿宋_GB2312" w:eastAsia="仿宋_GB2312"/>
        </w:rPr>
        <w:t>医养结合病房能力提升改造设计项目(二次)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pz-hzzc-029.1B1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医养结合病房能力提升改造设计项目(二次)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城乡居民医养结合医养楼1-6层，共计12000平方米:对公共区域除外剩余约9000平方米区域能力提升装饰改造设计，主要对医养楼养老病房室内布局、吊顶、照明、喷淋、开关电路、洁具、室内墙面、走廊墙面等进行适老化装饰装修改造设计。符合适老化养老机构服务需求，满足养老人员入住标准。符合适老化装饰装修设计风格，符合适老化养老机构服务需求，设计装修材料环保无毒无害，皮实耐用，美观大方，参与改造技术交底、工艺指导及验收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采购包1（装饰改造设计）：属于专门面向中小企业采购。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投标人应授权合法的人员参加投标全过程：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信誉信用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企业资质要求：企业资质：供应商须具有建设行政主管部门核发的工程设计综合甲级资质或建筑装饰工程设计专项资质丙级及以上资质供应商需在项目电子化交易系统中按要求上传相应证明文件并进行电子签章</w:t>
      </w:r>
    </w:p>
    <w:p>
      <w:pPr>
        <w:pStyle w:val="null3"/>
      </w:pPr>
      <w:r>
        <w:rPr>
          <w:rFonts w:ascii="仿宋_GB2312" w:hAnsi="仿宋_GB2312" w:cs="仿宋_GB2312" w:eastAsia="仿宋_GB2312"/>
        </w:rPr>
        <w:t>5、项目负责人要求：拟派设计负责人：具备二级及以上注册建筑师执业资格，且在本单位注册，供应商需在项目电子化交易系统中按要求上传相应证明文件并进行电子签章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西乡县城南街办葛石社区三组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西乡县城南中心卫生院经办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13992633469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汉中市西乡县汉白路与梅苑路交叉口东80米院内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13891694366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代理服务费收费标准：成交价格的1.5%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西乡县城南中心卫生院</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联系电话：13891694366</w:t>
      </w:r>
    </w:p>
    <w:p>
      <w:pPr>
        <w:pStyle w:val="null3"/>
      </w:pPr>
      <w:r>
        <w:rPr>
          <w:rFonts w:ascii="仿宋_GB2312" w:hAnsi="仿宋_GB2312" w:cs="仿宋_GB2312" w:eastAsia="仿宋_GB2312"/>
        </w:rPr>
        <w:t>地址：陕西省汉中市西乡县汉白路与梅苑路交叉口东80米院内</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城乡居民医养结合医养楼1-6层，共计1200平方米；对公共区域除外剩余约9000平方米区域能力提升装饰改造设计，主要对医养楼养老病房室内布局、吊顶、照明、喷淋、开关电路、洁具、室内墙面、走廊墙面等进行适老化装饰装修改造设计。符合适老化养老机构服务需求，满足养老人员入住标准。承接方须具备工程设计专项资质建筑装饰工程设计专项设计资质，建筑装饰工程设计专项乙级及以上；有医院及养老机构装饰装修设计经验，满足及达到甲方设计要求，符合适老化装饰装修设计风格，符合适老化养老机构服务需求，设计装修材料环保无毒无害，皮实耐用，美观大方，参与改造技术交底、工艺指导及验收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项目工程设计</w:t>
            </w:r>
          </w:p>
        </w:tc>
        <w:tc>
          <w:tcPr>
            <w:tcW w:type="dxa" w:w="831"/>
          </w:tcPr>
          <w:p>
            <w:pPr>
              <w:pStyle w:val="null3"/>
              <w:jc w:val="right"/>
            </w:pPr>
            <w:r>
              <w:rPr>
                <w:rFonts w:ascii="仿宋_GB2312" w:hAnsi="仿宋_GB2312" w:cs="仿宋_GB2312" w:eastAsia="仿宋_GB2312"/>
              </w:rPr>
              <w:t>9,000.00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平方米</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一、服务规模及范围：</w:t>
            </w:r>
          </w:p>
          <w:p>
            <w:pPr>
              <w:pStyle w:val="null3"/>
            </w:pPr>
            <w:r>
              <w:rPr>
                <w:rFonts w:ascii="仿宋_GB2312" w:hAnsi="仿宋_GB2312" w:cs="仿宋_GB2312" w:eastAsia="仿宋_GB2312"/>
              </w:rPr>
              <w:t>西乡县城乡居民医养结合医养楼1-6层，共计1200平方米；对公共区域除外剩余约9000平方米区域能力提升装饰改造设计，主要对医养楼养老病房室内布局、吊顶、照明、喷淋、开关电路、洁具、室内墙面、走廊墙面等进行适老化装饰装修改造设计。符合适老化养老机构服务需求，满足养老人员入住标准。符合适老化装饰装修设计风格，符合适老化养老机构服务需求，设计装修材料环保无毒无害，皮实耐用，美观大方，参与改造技术交底、工艺指导及验收相关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1、设计理念先进；</w:t>
            </w:r>
          </w:p>
          <w:p>
            <w:pPr>
              <w:pStyle w:val="null3"/>
            </w:pPr>
            <w:r>
              <w:rPr>
                <w:rFonts w:ascii="仿宋_GB2312" w:hAnsi="仿宋_GB2312" w:cs="仿宋_GB2312" w:eastAsia="仿宋_GB2312"/>
              </w:rPr>
              <w:t>2、设计方案应充分与现场实际情况相符合，方案科学、合理；</w:t>
            </w:r>
          </w:p>
          <w:p>
            <w:pPr>
              <w:pStyle w:val="null3"/>
            </w:pPr>
            <w:r>
              <w:rPr>
                <w:rFonts w:ascii="仿宋_GB2312" w:hAnsi="仿宋_GB2312" w:cs="仿宋_GB2312" w:eastAsia="仿宋_GB2312"/>
              </w:rPr>
              <w:t>3、各阶段服务成果应满足国家及地方现行规范规定及采购人要求。</w:t>
            </w:r>
          </w:p>
          <w:p>
            <w:pPr>
              <w:pStyle w:val="null3"/>
            </w:pPr>
            <w:r>
              <w:rPr>
                <w:rFonts w:ascii="仿宋_GB2312" w:hAnsi="仿宋_GB2312" w:cs="仿宋_GB2312" w:eastAsia="仿宋_GB2312"/>
              </w:rPr>
              <w:t>4、适用规范标准</w:t>
            </w:r>
          </w:p>
          <w:p>
            <w:pPr>
              <w:pStyle w:val="null3"/>
            </w:pPr>
            <w:r>
              <w:rPr>
                <w:rFonts w:ascii="仿宋_GB2312" w:hAnsi="仿宋_GB2312" w:cs="仿宋_GB2312" w:eastAsia="仿宋_GB2312"/>
              </w:rPr>
              <w:t>4.1设计过程和成果必须符合国家有关工程建设标准强制性条文和现行的标准、规范、规程、定额、办法、示例以及招标项目所在地关于设计方面的文件、规定。</w:t>
            </w:r>
          </w:p>
          <w:p>
            <w:pPr>
              <w:pStyle w:val="null3"/>
            </w:pPr>
            <w:r>
              <w:rPr>
                <w:rFonts w:ascii="仿宋_GB2312" w:hAnsi="仿宋_GB2312" w:cs="仿宋_GB2312" w:eastAsia="仿宋_GB2312"/>
              </w:rPr>
              <w:t>4.2供应商在设计工作中使用标准、规范以外的技术标准、规范时，应征得采购人的同意。</w:t>
            </w:r>
          </w:p>
          <w:p>
            <w:pPr>
              <w:pStyle w:val="null3"/>
            </w:pPr>
            <w:r>
              <w:rPr>
                <w:rFonts w:ascii="仿宋_GB2312" w:hAnsi="仿宋_GB2312" w:cs="仿宋_GB2312" w:eastAsia="仿宋_GB2312"/>
              </w:rPr>
              <w:t>4.3设计过程中，如果国家或有关部门颁布了新的技术标准或规范，则投标供应商应采用新的标准或规范进行设计。</w:t>
            </w:r>
          </w:p>
          <w:p>
            <w:pPr>
              <w:pStyle w:val="null3"/>
            </w:pPr>
            <w:r>
              <w:rPr>
                <w:rFonts w:ascii="仿宋_GB2312" w:hAnsi="仿宋_GB2312" w:cs="仿宋_GB2312" w:eastAsia="仿宋_GB2312"/>
                <w:sz w:val="21"/>
              </w:rPr>
              <w:t>4.4供应商在设计工作中必须使用中华人民共和国《工程建设标准强制性条文》。</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三、成果交付要求</w:t>
            </w:r>
          </w:p>
          <w:p>
            <w:pPr>
              <w:pStyle w:val="null3"/>
            </w:pPr>
            <w:r>
              <w:rPr>
                <w:rFonts w:ascii="仿宋_GB2312" w:hAnsi="仿宋_GB2312" w:cs="仿宋_GB2312" w:eastAsia="仿宋_GB2312"/>
              </w:rPr>
              <w:t>1、设计服务：供应商必须自行完成本项目所需的设计服务，严禁转包、分包，拟派设计负责人应在服务周期内保持稳定。</w:t>
            </w:r>
          </w:p>
          <w:p>
            <w:pPr>
              <w:pStyle w:val="null3"/>
            </w:pPr>
            <w:r>
              <w:rPr>
                <w:rFonts w:ascii="仿宋_GB2312" w:hAnsi="仿宋_GB2312" w:cs="仿宋_GB2312" w:eastAsia="仿宋_GB2312"/>
              </w:rPr>
              <w:t>2、总体规划设计方案：设计单位必须清楚了解设计范围及采购方功能定位、进度及造价控制等方面的相关要求；设计单位在概念设计阶段需对设计理念、构思、表现手法特点进行阐述；对空间功能、人流组织、平面布局等提供分析图、效果图；设计单位就概念设计方案提供相应的设计估算。</w:t>
            </w:r>
          </w:p>
          <w:p>
            <w:pPr>
              <w:pStyle w:val="null3"/>
            </w:pPr>
            <w:r>
              <w:rPr>
                <w:rFonts w:ascii="仿宋_GB2312" w:hAnsi="仿宋_GB2312" w:cs="仿宋_GB2312" w:eastAsia="仿宋_GB2312"/>
              </w:rPr>
              <w:t>3、总体规划设计要求：本项目应以节约、经济适用、安全环保为设计原则。</w:t>
            </w:r>
          </w:p>
          <w:p>
            <w:pPr>
              <w:pStyle w:val="null3"/>
            </w:pPr>
            <w:r>
              <w:rPr>
                <w:rFonts w:ascii="仿宋_GB2312" w:hAnsi="仿宋_GB2312" w:cs="仿宋_GB2312" w:eastAsia="仿宋_GB2312"/>
              </w:rPr>
              <w:t>4、图纸设计比例和设计图幅必须符合正常需求的同时，更便于使用。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1、违约责任</w:t>
            </w:r>
          </w:p>
          <w:p>
            <w:pPr>
              <w:pStyle w:val="null3"/>
            </w:pPr>
            <w:r>
              <w:rPr>
                <w:rFonts w:ascii="仿宋_GB2312" w:hAnsi="仿宋_GB2312" w:cs="仿宋_GB2312" w:eastAsia="仿宋_GB2312"/>
              </w:rPr>
              <w:t>1、依据《中华人民共和国民法典》、《中华人民共和国政府采购法》的相关条款和本合同约定的相关条款执行。</w:t>
            </w:r>
          </w:p>
          <w:p>
            <w:pPr>
              <w:pStyle w:val="null3"/>
            </w:pPr>
            <w:r>
              <w:rPr>
                <w:rFonts w:ascii="仿宋_GB2312" w:hAnsi="仿宋_GB2312" w:cs="仿宋_GB2312" w:eastAsia="仿宋_GB2312"/>
                <w:sz w:val="21"/>
              </w:rPr>
              <w:t>2、成交人未按合同要求履行，不符合采购技术要求，成交人必须无条件更换人员或设备，提高技术，完善质量，否则，采购人有权终止合同，并对成交人的违约行为进行追究并依法向成交人进行经济索赔。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乙方提交成果文件并经甲方确认无误（具体以资金到达、采购合同为准）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因违约或终止合同而引起的损失和损害的赔偿，委托单位与供应商之间应当协商解决;如未能达成一致，协商或调解不成的，根据双方约定提交仲裁，或向项目所在地人民法院提起诉讼。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、因本项目为不见面开标，供应商无需在开标现场提交纸质响应文件，待采购结果发布后3个工作日内由中标供应商向代理机构提交纸质版响应文件以便于存档，响应文件包括:正本一份、副本二份，电子版U盘二份 (含响应文件全部内容)。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信誉信用要求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企业资质：供应商须具有建设行政主管部门核发的工程设计综合甲级资质或建筑装饰工程设计专项资质丙级及以上资质供应商需在项目电子化交易系统中按要求上传相应证明文件并进行电子签章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拟派设计负责人：具备二级及以上注册建筑师执业资格，且在本单位注册，供应商需在项目电子化交易系统中按要求上传相应证明文件并进行电子签章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技术及上午响应性审查</w:t>
            </w:r>
          </w:p>
        </w:tc>
        <w:tc>
          <w:tcPr>
            <w:tcW w:type="dxa" w:w="3322"/>
          </w:tcPr>
          <w:p>
            <w:pPr>
              <w:pStyle w:val="null3"/>
            </w:pPr>
            <w:r>
              <w:rPr>
                <w:rFonts w:ascii="仿宋_GB2312" w:hAnsi="仿宋_GB2312" w:cs="仿宋_GB2312" w:eastAsia="仿宋_GB2312"/>
              </w:rPr>
              <w:t>按照磋商文件要求进行相应</w:t>
            </w:r>
          </w:p>
        </w:tc>
        <w:tc>
          <w:tcPr>
            <w:tcW w:type="dxa" w:w="1661"/>
          </w:tcPr>
          <w:p>
            <w:pPr>
              <w:pStyle w:val="null3"/>
            </w:pPr>
            <w:r>
              <w:rPr>
                <w:rFonts w:ascii="仿宋_GB2312" w:hAnsi="仿宋_GB2312" w:cs="仿宋_GB2312" w:eastAsia="仿宋_GB2312"/>
              </w:rPr>
              <w:t>响应文件封面 服务内容及服务邀请应答表 商务应答表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供应商提供自2023年1月1日至本项目响应文件递交截止时间前的类似业绩证明材料，每提供1项得2.5分，最多得5分。未提供的不得分。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拟派项目设计负责人职称</w:t>
            </w:r>
          </w:p>
        </w:tc>
        <w:tc>
          <w:tcPr>
            <w:tcW w:type="dxa" w:w="2492"/>
          </w:tcPr>
          <w:p>
            <w:pPr>
              <w:pStyle w:val="null3"/>
            </w:pPr>
            <w:r>
              <w:rPr>
                <w:rFonts w:ascii="仿宋_GB2312" w:hAnsi="仿宋_GB2312" w:cs="仿宋_GB2312" w:eastAsia="仿宋_GB2312"/>
              </w:rPr>
              <w:t>拟派项目设计负责人具备高级职称的得5分；中级职称得3分；其余情况不得分。（职称专业需为建筑类相关专业） 评审依据：评审时以供应商提供的加盖供应商公章的拟派项目设计负责人最高职称证书的扫描件或复印件为准，提供多个职称证明材料的，以最高职称材料为准，未提供的不得分。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拟派项目设计负责人工作年限</w:t>
            </w:r>
          </w:p>
        </w:tc>
        <w:tc>
          <w:tcPr>
            <w:tcW w:type="dxa" w:w="2492"/>
          </w:tcPr>
          <w:p>
            <w:pPr>
              <w:pStyle w:val="null3"/>
            </w:pPr>
            <w:r>
              <w:rPr>
                <w:rFonts w:ascii="仿宋_GB2312" w:hAnsi="仿宋_GB2312" w:cs="仿宋_GB2312" w:eastAsia="仿宋_GB2312"/>
              </w:rPr>
              <w:t>拟派项目设计负责人具有3年及以上工作经历的得3分；2年及以上，但在3年以下的得2分；1年及以上，但在2年以下的得1分；1年以下的得0.5分。 评审依据：以供应商提供的加盖公章的拟派项目设计负责人相关证书的扫描件或复印件为准，时间计算为发证之日起至今，未提供的不得分工程师证书，专业职称证书，注册建筑师证书；如投标人同时提供多个证书，以发证时间最早的证书计算）。</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根据供应商提供的项目设计服务方案（包括但不限于①设计服务方案总体思路②各专项思路③工作计划及流程④技术路线及技术方法等）</w:t>
            </w:r>
          </w:p>
        </w:tc>
        <w:tc>
          <w:tcPr>
            <w:tcW w:type="dxa" w:w="2492"/>
          </w:tcPr>
          <w:p>
            <w:pPr>
              <w:pStyle w:val="null3"/>
            </w:pPr>
            <w:r>
              <w:rPr>
                <w:rFonts w:ascii="仿宋_GB2312" w:hAnsi="仿宋_GB2312" w:cs="仿宋_GB2312" w:eastAsia="仿宋_GB2312"/>
              </w:rPr>
              <w:t>根据设计服务方案的完整性、内容表述清晰程度，各项内容的准确性、针对性及可操作性等角度考量，最高得12分；若上述内容存在缺陷，每出现一处缺陷扣1分，扣完为止。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根据供应商提供针对本项目质量保证措施（内容包括：①质量控制的程序②质量控制措施③质量保证体系等）</w:t>
            </w:r>
          </w:p>
        </w:tc>
        <w:tc>
          <w:tcPr>
            <w:tcW w:type="dxa" w:w="2492"/>
          </w:tcPr>
          <w:p>
            <w:pPr>
              <w:pStyle w:val="null3"/>
            </w:pPr>
            <w:r>
              <w:rPr>
                <w:rFonts w:ascii="仿宋_GB2312" w:hAnsi="仿宋_GB2312" w:cs="仿宋_GB2312" w:eastAsia="仿宋_GB2312"/>
              </w:rPr>
              <w:t>根据质量保证措施各项内容的准确性、针对性及可操作性等角度考量，最高得9分；若上述内容存在缺陷，每出现一处缺陷扣1分，扣完为止。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根据供应商提供的拟投入本项目实施服务人员情况（内容包含但不限于①人员的结构②人员配置分工③人员信息④人员稳定性保障等）</w:t>
            </w:r>
          </w:p>
        </w:tc>
        <w:tc>
          <w:tcPr>
            <w:tcW w:type="dxa" w:w="2492"/>
          </w:tcPr>
          <w:p>
            <w:pPr>
              <w:pStyle w:val="null3"/>
            </w:pPr>
            <w:r>
              <w:rPr>
                <w:rFonts w:ascii="仿宋_GB2312" w:hAnsi="仿宋_GB2312" w:cs="仿宋_GB2312" w:eastAsia="仿宋_GB2312"/>
              </w:rPr>
              <w:t>根据拟投入人员结构是否合理，岗位职责分配的明确程度，是否能够满足项目需求及安排合理等角度考量，最高得9分；若上述内容存在缺陷，每出现一处缺陷扣1分，扣完为止。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根据供应商提供针对本项目的实施进度安排保证措施（包含①总体计划安排②各专项任务的衔接③提供成果时间节点等进度计划④进度保证措施等）</w:t>
            </w:r>
          </w:p>
        </w:tc>
        <w:tc>
          <w:tcPr>
            <w:tcW w:type="dxa" w:w="2492"/>
          </w:tcPr>
          <w:p>
            <w:pPr>
              <w:pStyle w:val="null3"/>
            </w:pPr>
            <w:r>
              <w:rPr>
                <w:rFonts w:ascii="仿宋_GB2312" w:hAnsi="仿宋_GB2312" w:cs="仿宋_GB2312" w:eastAsia="仿宋_GB2312"/>
              </w:rPr>
              <w:t>根据进度保证方案的完整性、内容表述清晰程度，各项内容的准确性、针对性及可操作性等角度考量，最高得9分；若上述内容存在缺陷，每出现一处缺陷扣1分，扣完为止。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根据供应商提供针对本项目需求提供项目重点难点分析（包括但不限于①工作的重点、难点的认识②对关键环节的分析③采取的针对性措施等）</w:t>
            </w:r>
          </w:p>
        </w:tc>
        <w:tc>
          <w:tcPr>
            <w:tcW w:type="dxa" w:w="2492"/>
          </w:tcPr>
          <w:p>
            <w:pPr>
              <w:pStyle w:val="null3"/>
            </w:pPr>
            <w:r>
              <w:rPr>
                <w:rFonts w:ascii="仿宋_GB2312" w:hAnsi="仿宋_GB2312" w:cs="仿宋_GB2312" w:eastAsia="仿宋_GB2312"/>
              </w:rPr>
              <w:t>根据项目重点难点分析的合理性、内容表述清晰程度、针对性及全面性等角度考量，最高得9分；若上述内容存在缺陷，每出现一处缺陷扣1分，扣完为止。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根据供应商提供的突发环境事件应急预案（内容包含：①突发环境事件应急处理小组及人员分工；②突发环境事件防范；③可能突发的事件及处理；④突发事件应急措施）</w:t>
            </w:r>
          </w:p>
        </w:tc>
        <w:tc>
          <w:tcPr>
            <w:tcW w:type="dxa" w:w="2492"/>
          </w:tcPr>
          <w:p>
            <w:pPr>
              <w:pStyle w:val="null3"/>
            </w:pPr>
            <w:r>
              <w:rPr>
                <w:rFonts w:ascii="仿宋_GB2312" w:hAnsi="仿宋_GB2312" w:cs="仿宋_GB2312" w:eastAsia="仿宋_GB2312"/>
              </w:rPr>
              <w:t>根据应急预案的完整性、内容表述清晰程度，各项内容的准确性、针对性及可操作性等角度考量，最高得8分；若上述内容存在缺陷，每出现一处缺陷扣1分，扣完为止。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根据供应商提供的后续服务响应情况（内容包含对①后期服务响应方案；②服务承诺；③对后续服务工作进度、人员；④后续服务技术支持；⑤服务措施；⑥提供增值服务）</w:t>
            </w:r>
          </w:p>
        </w:tc>
        <w:tc>
          <w:tcPr>
            <w:tcW w:type="dxa" w:w="2492"/>
          </w:tcPr>
          <w:p>
            <w:pPr>
              <w:pStyle w:val="null3"/>
            </w:pPr>
            <w:r>
              <w:rPr>
                <w:rFonts w:ascii="仿宋_GB2312" w:hAnsi="仿宋_GB2312" w:cs="仿宋_GB2312" w:eastAsia="仿宋_GB2312"/>
              </w:rPr>
              <w:t>根据后续服务响应内容的完整性、内容表述清晰程度，各项内容的准确性、针对性及可操作性等角度考量，最高得9分；若上述内容存在缺陷，每出现一处缺陷扣1分，扣完为止。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根据供应商提供针对本项目的服务质量承诺（包含1.处理问题的响应时间承诺；2.协助采购人开展后续相关服务工作承诺；3.进度计划跟进承诺等）</w:t>
            </w:r>
          </w:p>
        </w:tc>
        <w:tc>
          <w:tcPr>
            <w:tcW w:type="dxa" w:w="2492"/>
          </w:tcPr>
          <w:p>
            <w:pPr>
              <w:pStyle w:val="null3"/>
            </w:pPr>
            <w:r>
              <w:rPr>
                <w:rFonts w:ascii="仿宋_GB2312" w:hAnsi="仿宋_GB2312" w:cs="仿宋_GB2312" w:eastAsia="仿宋_GB2312"/>
              </w:rPr>
              <w:t>①提供承诺函得3分，格式自拟。②在提供承诺函的基础上，根据供应商提供的服务质量承诺内容是否全面完善、考虑周全、切实可行，是否完全满足采购人实际需求等角度考量，最高得4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根据供应商提供针对本项目的合理化建议</w:t>
            </w:r>
          </w:p>
        </w:tc>
        <w:tc>
          <w:tcPr>
            <w:tcW w:type="dxa" w:w="2492"/>
          </w:tcPr>
          <w:p>
            <w:pPr>
              <w:pStyle w:val="null3"/>
            </w:pPr>
            <w:r>
              <w:rPr>
                <w:rFonts w:ascii="仿宋_GB2312" w:hAnsi="仿宋_GB2312" w:cs="仿宋_GB2312" w:eastAsia="仿宋_GB2312"/>
              </w:rPr>
              <w:t>根据合理化建议内容的完整性、清晰程度，各项内容的准确性、针对性及贴合性等角度考量，最高得5分；若上述内容存在缺陷，每出现一处缺陷扣1分，扣完为止。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