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32"/>
          <w:szCs w:val="32"/>
          <w:u w:val="none"/>
          <w:lang w:eastAsia="zh-CN"/>
        </w:rPr>
      </w:pPr>
      <w:r>
        <w:rPr>
          <w:rFonts w:hint="eastAsia" w:ascii="楷体" w:hAnsi="楷体" w:eastAsia="楷体" w:cs="楷体"/>
          <w:b/>
          <w:sz w:val="32"/>
          <w:szCs w:val="32"/>
          <w:u w:val="none"/>
          <w:lang w:eastAsia="zh-CN"/>
        </w:rPr>
        <w:t>川陕革命根据地镇巴烈士陵园健身广场东面护坎修建工程</w:t>
      </w:r>
    </w:p>
    <w:p>
      <w:pPr>
        <w:jc w:val="center"/>
        <w:rPr>
          <w:rFonts w:hint="eastAsia" w:ascii="楷体" w:hAnsi="楷体" w:eastAsia="楷体" w:cs="楷体"/>
          <w:sz w:val="28"/>
          <w:szCs w:val="24"/>
        </w:rPr>
      </w:pPr>
      <w:r>
        <w:rPr>
          <w:rFonts w:hint="eastAsia" w:ascii="楷体" w:hAnsi="楷体" w:eastAsia="楷体" w:cs="楷体"/>
          <w:b/>
          <w:sz w:val="32"/>
          <w:szCs w:val="32"/>
          <w:u w:val="none"/>
          <w:lang w:eastAsia="zh-CN"/>
        </w:rPr>
        <w:t>采购内容及要求</w:t>
      </w:r>
    </w:p>
    <w:p>
      <w:pPr>
        <w:spacing w:line="276" w:lineRule="auto"/>
        <w:jc w:val="center"/>
        <w:rPr>
          <w:rFonts w:hint="eastAsia" w:ascii="楷体" w:hAnsi="楷体" w:eastAsia="楷体" w:cs="楷体"/>
          <w:sz w:val="24"/>
        </w:rPr>
      </w:pPr>
    </w:p>
    <w:p>
      <w:pPr>
        <w:numPr>
          <w:ilvl w:val="0"/>
          <w:numId w:val="0"/>
        </w:numPr>
        <w:adjustRightInd w:val="0"/>
        <w:snapToGrid w:val="0"/>
        <w:spacing w:line="360" w:lineRule="auto"/>
        <w:ind w:firstLine="280" w:firstLineChars="100"/>
        <w:rPr>
          <w:rFonts w:hint="eastAsia" w:ascii="楷体" w:hAnsi="楷体" w:eastAsia="楷体" w:cs="楷体"/>
          <w:sz w:val="28"/>
          <w:szCs w:val="36"/>
        </w:rPr>
      </w:pPr>
      <w:r>
        <w:rPr>
          <w:rFonts w:hint="eastAsia" w:ascii="楷体" w:hAnsi="楷体" w:eastAsia="楷体" w:cs="楷体"/>
          <w:sz w:val="28"/>
          <w:szCs w:val="36"/>
        </w:rPr>
        <w:t>一、项目基本情况</w:t>
      </w:r>
    </w:p>
    <w:p>
      <w:pPr>
        <w:ind w:left="279" w:leftChars="133" w:firstLine="560" w:firstLineChars="200"/>
        <w:rPr>
          <w:rFonts w:hint="eastAsia" w:ascii="楷体" w:hAnsi="楷体" w:eastAsia="楷体" w:cs="楷体"/>
          <w:color w:val="000000"/>
          <w:sz w:val="28"/>
          <w:lang w:val="en-US" w:eastAsia="zh-CN"/>
        </w:rPr>
      </w:pPr>
      <w:r>
        <w:rPr>
          <w:rFonts w:hint="eastAsia" w:ascii="楷体" w:hAnsi="楷体" w:eastAsia="楷体" w:cs="楷体"/>
          <w:color w:val="000000"/>
          <w:sz w:val="28"/>
          <w:lang w:eastAsia="zh-CN"/>
        </w:rPr>
        <w:t>该项目采购内容为：</w:t>
      </w:r>
      <w:r>
        <w:rPr>
          <w:rFonts w:hint="eastAsia" w:ascii="楷体" w:hAnsi="楷体" w:eastAsia="楷体" w:cs="楷体"/>
          <w:color w:val="000000"/>
          <w:sz w:val="28"/>
          <w:lang w:val="en-US" w:eastAsia="zh-CN"/>
        </w:rPr>
        <w:t>修建护坎36米</w:t>
      </w:r>
      <w:r>
        <w:rPr>
          <w:rFonts w:hint="eastAsia" w:ascii="楷体" w:hAnsi="楷体" w:eastAsia="楷体" w:cs="楷体"/>
          <w:color w:val="000000"/>
          <w:sz w:val="28"/>
          <w:lang w:eastAsia="zh-CN"/>
        </w:rPr>
        <w:t>。</w:t>
      </w:r>
      <w:r>
        <w:rPr>
          <w:rFonts w:hint="eastAsia" w:ascii="楷体" w:hAnsi="楷体" w:eastAsia="楷体" w:cs="楷体"/>
          <w:color w:val="000000"/>
          <w:sz w:val="28"/>
          <w:lang w:val="en-US" w:eastAsia="zh-CN"/>
        </w:rPr>
        <w:t>现对该项目进行竞争性谈判。</w:t>
      </w:r>
    </w:p>
    <w:p>
      <w:pPr>
        <w:ind w:left="279" w:leftChars="133" w:firstLine="0" w:firstLineChars="0"/>
        <w:rPr>
          <w:rFonts w:hint="eastAsia" w:ascii="楷体" w:hAnsi="楷体" w:eastAsia="楷体" w:cs="楷体"/>
          <w:color w:val="000000"/>
          <w:sz w:val="28"/>
        </w:rPr>
      </w:pPr>
      <w:r>
        <w:rPr>
          <w:rFonts w:hint="eastAsia" w:ascii="楷体" w:hAnsi="楷体" w:eastAsia="楷体" w:cs="楷体"/>
          <w:color w:val="000000"/>
          <w:sz w:val="28"/>
        </w:rPr>
        <w:t>二、采购预算及形成方式</w:t>
      </w:r>
    </w:p>
    <w:p>
      <w:pPr>
        <w:ind w:left="279" w:leftChars="133" w:firstLine="560" w:firstLineChars="200"/>
        <w:rPr>
          <w:rFonts w:hint="eastAsia" w:ascii="楷体" w:hAnsi="楷体" w:eastAsia="楷体" w:cs="楷体"/>
          <w:color w:val="000000"/>
          <w:sz w:val="28"/>
        </w:rPr>
      </w:pPr>
      <w:r>
        <w:rPr>
          <w:rFonts w:hint="eastAsia" w:ascii="楷体" w:hAnsi="楷体" w:eastAsia="楷体" w:cs="楷体"/>
          <w:color w:val="000000"/>
          <w:sz w:val="28"/>
        </w:rPr>
        <w:t>该项目资金来源为</w:t>
      </w:r>
      <w:r>
        <w:rPr>
          <w:rFonts w:hint="eastAsia" w:ascii="楷体" w:hAnsi="楷体" w:eastAsia="楷体" w:cs="楷体"/>
          <w:color w:val="000000" w:themeColor="text1"/>
          <w:sz w:val="28"/>
          <w:lang w:val="en-US" w:eastAsia="zh-CN"/>
        </w:rPr>
        <w:t>财政</w:t>
      </w:r>
      <w:r>
        <w:rPr>
          <w:rFonts w:hint="eastAsia" w:ascii="楷体" w:hAnsi="楷体" w:eastAsia="楷体" w:cs="楷体"/>
          <w:color w:val="000000"/>
          <w:sz w:val="28"/>
          <w:lang w:val="en-US" w:eastAsia="zh-CN"/>
        </w:rPr>
        <w:t>资金</w:t>
      </w:r>
      <w:r>
        <w:rPr>
          <w:rFonts w:hint="eastAsia" w:ascii="楷体" w:hAnsi="楷体" w:eastAsia="楷体" w:cs="楷体"/>
          <w:color w:val="000000"/>
          <w:sz w:val="28"/>
        </w:rPr>
        <w:t>。</w:t>
      </w:r>
      <w:r>
        <w:rPr>
          <w:rFonts w:hint="eastAsia" w:ascii="楷体" w:hAnsi="楷体" w:eastAsia="楷体" w:cs="楷体"/>
          <w:color w:val="000000"/>
          <w:sz w:val="28"/>
          <w:lang w:val="en-US" w:eastAsia="zh-CN"/>
        </w:rPr>
        <w:t>预算形成方式</w:t>
      </w:r>
      <w:r>
        <w:rPr>
          <w:rFonts w:hint="eastAsia" w:ascii="楷体" w:hAnsi="楷体" w:eastAsia="楷体" w:cs="楷体"/>
          <w:color w:val="000000"/>
          <w:sz w:val="28"/>
        </w:rPr>
        <w:t>按《陕西省建筑工程量清单计价规则（2009）版》、《陕西省建筑安装工程消耗量定额（2004）版》、《陕西省建筑工程、安装工程、装饰工程、市政工程、园林绿化工程参考费率（2009）版》、《陕西省建筑装饰工程价目表（2009）版》及配套的相关文件计价</w:t>
      </w:r>
      <w:r>
        <w:rPr>
          <w:rFonts w:hint="eastAsia" w:ascii="楷体" w:hAnsi="楷体" w:eastAsia="楷体" w:cs="楷体"/>
          <w:color w:val="000000"/>
          <w:sz w:val="28"/>
          <w:lang w:eastAsia="zh-CN"/>
        </w:rPr>
        <w:t>；</w:t>
      </w:r>
      <w:r>
        <w:rPr>
          <w:rFonts w:hint="eastAsia" w:ascii="楷体" w:hAnsi="楷体" w:eastAsia="楷体" w:cs="楷体"/>
          <w:sz w:val="28"/>
        </w:rPr>
        <w:t>人工费执行（陕建发【20</w:t>
      </w:r>
      <w:r>
        <w:rPr>
          <w:rFonts w:hint="eastAsia" w:ascii="楷体" w:hAnsi="楷体" w:eastAsia="楷体" w:cs="楷体"/>
          <w:sz w:val="28"/>
          <w:lang w:val="en-US" w:eastAsia="zh-CN"/>
        </w:rPr>
        <w:t>21</w:t>
      </w:r>
      <w:r>
        <w:rPr>
          <w:rFonts w:hint="eastAsia" w:ascii="楷体" w:hAnsi="楷体" w:eastAsia="楷体" w:cs="楷体"/>
          <w:sz w:val="28"/>
        </w:rPr>
        <w:t>】</w:t>
      </w:r>
      <w:r>
        <w:rPr>
          <w:rFonts w:hint="eastAsia" w:ascii="楷体" w:hAnsi="楷体" w:eastAsia="楷体" w:cs="楷体"/>
          <w:sz w:val="28"/>
          <w:lang w:val="en-US" w:eastAsia="zh-CN"/>
        </w:rPr>
        <w:t>1097</w:t>
      </w:r>
      <w:r>
        <w:rPr>
          <w:rFonts w:hint="eastAsia" w:ascii="楷体" w:hAnsi="楷体" w:eastAsia="楷体" w:cs="楷体"/>
          <w:sz w:val="28"/>
        </w:rPr>
        <w:t>号）文件</w:t>
      </w:r>
      <w:r>
        <w:rPr>
          <w:rFonts w:hint="eastAsia" w:ascii="楷体" w:hAnsi="楷体" w:eastAsia="楷体" w:cs="楷体"/>
          <w:sz w:val="28"/>
          <w:lang w:eastAsia="zh-CN"/>
        </w:rPr>
        <w:t>；</w:t>
      </w:r>
      <w:r>
        <w:rPr>
          <w:rFonts w:hint="eastAsia" w:ascii="楷体" w:hAnsi="楷体" w:eastAsia="楷体" w:cs="楷体"/>
          <w:sz w:val="28"/>
        </w:rPr>
        <w:t>税金执行（陕建发【2019】45号）文件</w:t>
      </w:r>
      <w:r>
        <w:rPr>
          <w:rFonts w:hint="eastAsia" w:ascii="楷体" w:hAnsi="楷体" w:eastAsia="楷体" w:cs="楷体"/>
          <w:sz w:val="28"/>
          <w:lang w:eastAsia="zh-CN"/>
        </w:rPr>
        <w:t>；</w:t>
      </w:r>
      <w:r>
        <w:rPr>
          <w:rFonts w:hint="eastAsia" w:ascii="楷体" w:hAnsi="楷体" w:eastAsia="楷体" w:cs="楷体"/>
          <w:color w:val="000000"/>
          <w:sz w:val="28"/>
        </w:rPr>
        <w:t>部分材料价格按202</w:t>
      </w:r>
      <w:r>
        <w:rPr>
          <w:rFonts w:hint="eastAsia" w:ascii="楷体" w:hAnsi="楷体" w:eastAsia="楷体" w:cs="楷体"/>
          <w:color w:val="000000"/>
          <w:sz w:val="28"/>
          <w:lang w:val="en-US" w:eastAsia="zh-CN"/>
        </w:rPr>
        <w:t>3</w:t>
      </w:r>
      <w:r>
        <w:rPr>
          <w:rFonts w:hint="eastAsia" w:ascii="楷体" w:hAnsi="楷体" w:eastAsia="楷体" w:cs="楷体"/>
          <w:color w:val="000000"/>
          <w:sz w:val="28"/>
        </w:rPr>
        <w:t>年第</w:t>
      </w:r>
      <w:r>
        <w:rPr>
          <w:rFonts w:hint="eastAsia" w:ascii="楷体" w:hAnsi="楷体" w:eastAsia="楷体" w:cs="楷体"/>
          <w:color w:val="000000"/>
          <w:sz w:val="28"/>
          <w:lang w:val="en-US" w:eastAsia="zh-CN"/>
        </w:rPr>
        <w:t>11</w:t>
      </w:r>
      <w:r>
        <w:rPr>
          <w:rFonts w:hint="eastAsia" w:ascii="楷体" w:hAnsi="楷体" w:eastAsia="楷体" w:cs="楷体"/>
          <w:color w:val="000000"/>
          <w:sz w:val="28"/>
        </w:rPr>
        <w:t>期《汉中市建设工程造价信息》计入。</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楷体" w:hAnsi="楷体" w:eastAsia="楷体" w:cs="楷体"/>
          <w:sz w:val="28"/>
          <w:szCs w:val="36"/>
        </w:rPr>
      </w:pPr>
    </w:p>
    <w:p>
      <w:pPr>
        <w:numPr>
          <w:ilvl w:val="0"/>
          <w:numId w:val="0"/>
        </w:numPr>
        <w:adjustRightInd w:val="0"/>
        <w:snapToGrid w:val="0"/>
        <w:spacing w:line="360" w:lineRule="auto"/>
        <w:ind w:firstLine="280" w:firstLineChars="100"/>
        <w:rPr>
          <w:rFonts w:hint="eastAsia" w:ascii="楷体" w:hAnsi="楷体" w:eastAsia="楷体" w:cs="楷体"/>
          <w:sz w:val="28"/>
          <w:szCs w:val="36"/>
        </w:rPr>
      </w:pPr>
      <w:r>
        <w:rPr>
          <w:rFonts w:hint="eastAsia" w:ascii="楷体" w:hAnsi="楷体" w:eastAsia="楷体" w:cs="楷体"/>
          <w:sz w:val="28"/>
          <w:szCs w:val="36"/>
        </w:rPr>
        <w:t>三、具体采购内容和技术规格要求</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2941"/>
        <w:gridCol w:w="1777"/>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tcPr>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序号</w:t>
            </w:r>
          </w:p>
        </w:tc>
        <w:tc>
          <w:tcPr>
            <w:tcW w:w="2941" w:type="dxa"/>
          </w:tcPr>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项目名称及内容</w:t>
            </w:r>
          </w:p>
        </w:tc>
        <w:tc>
          <w:tcPr>
            <w:tcW w:w="1777" w:type="dxa"/>
          </w:tcPr>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数量</w:t>
            </w:r>
          </w:p>
        </w:tc>
        <w:tc>
          <w:tcPr>
            <w:tcW w:w="2698" w:type="dxa"/>
          </w:tcPr>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预算金额（</w:t>
            </w:r>
            <w:r>
              <w:rPr>
                <w:rFonts w:hint="eastAsia" w:ascii="楷体" w:hAnsi="楷体" w:eastAsia="楷体" w:cs="楷体"/>
                <w:sz w:val="24"/>
                <w:szCs w:val="32"/>
                <w:lang w:eastAsia="zh-CN"/>
              </w:rPr>
              <w:t>万</w:t>
            </w:r>
            <w:r>
              <w:rPr>
                <w:rFonts w:hint="eastAsia" w:ascii="楷体" w:hAnsi="楷体" w:eastAsia="楷体" w:cs="楷体"/>
                <w:sz w:val="24"/>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vAlign w:val="center"/>
          </w:tcPr>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1</w:t>
            </w:r>
          </w:p>
        </w:tc>
        <w:tc>
          <w:tcPr>
            <w:tcW w:w="2941" w:type="dxa"/>
            <w:vAlign w:val="center"/>
          </w:tcPr>
          <w:p>
            <w:pPr>
              <w:numPr>
                <w:ilvl w:val="0"/>
                <w:numId w:val="0"/>
              </w:numPr>
              <w:adjustRightInd w:val="0"/>
              <w:snapToGrid w:val="0"/>
              <w:spacing w:line="360" w:lineRule="auto"/>
              <w:rPr>
                <w:rFonts w:hint="eastAsia" w:ascii="楷体" w:hAnsi="楷体" w:eastAsia="楷体" w:cs="楷体"/>
                <w:sz w:val="24"/>
                <w:szCs w:val="32"/>
                <w:lang w:val="en-US" w:eastAsia="zh-CN"/>
              </w:rPr>
            </w:pPr>
            <w:r>
              <w:rPr>
                <w:rFonts w:hint="eastAsia" w:ascii="楷体" w:hAnsi="楷体" w:eastAsia="楷体" w:cs="楷体"/>
                <w:spacing w:val="-11"/>
                <w:sz w:val="24"/>
                <w:szCs w:val="32"/>
                <w:lang w:eastAsia="zh-CN"/>
              </w:rPr>
              <w:t>川陕革命根据地镇巴烈士陵园健身广场东面护坎修建工程</w:t>
            </w:r>
          </w:p>
        </w:tc>
        <w:tc>
          <w:tcPr>
            <w:tcW w:w="1777" w:type="dxa"/>
            <w:vAlign w:val="center"/>
          </w:tcPr>
          <w:p>
            <w:pPr>
              <w:numPr>
                <w:ilvl w:val="0"/>
                <w:numId w:val="0"/>
              </w:numPr>
              <w:adjustRightInd w:val="0"/>
              <w:snapToGrid w:val="0"/>
              <w:spacing w:line="360" w:lineRule="auto"/>
              <w:ind w:firstLine="240" w:firstLineChars="100"/>
              <w:rPr>
                <w:rFonts w:hint="eastAsia" w:ascii="楷体" w:hAnsi="楷体" w:eastAsia="楷体" w:cs="楷体"/>
                <w:sz w:val="24"/>
                <w:szCs w:val="32"/>
                <w:lang w:eastAsia="zh-CN"/>
              </w:rPr>
            </w:pPr>
            <w:r>
              <w:rPr>
                <w:rFonts w:hint="eastAsia" w:ascii="楷体" w:hAnsi="楷体" w:eastAsia="楷体" w:cs="楷体"/>
                <w:sz w:val="24"/>
                <w:szCs w:val="32"/>
                <w:lang w:eastAsia="zh-CN"/>
              </w:rPr>
              <w:t>1</w:t>
            </w:r>
          </w:p>
        </w:tc>
        <w:tc>
          <w:tcPr>
            <w:tcW w:w="2698" w:type="dxa"/>
            <w:vAlign w:val="center"/>
          </w:tcPr>
          <w:p>
            <w:pPr>
              <w:numPr>
                <w:ilvl w:val="0"/>
                <w:numId w:val="0"/>
              </w:numPr>
              <w:adjustRightInd w:val="0"/>
              <w:snapToGrid w:val="0"/>
              <w:spacing w:line="360" w:lineRule="auto"/>
              <w:ind w:firstLine="240" w:firstLineChars="100"/>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87.7</w:t>
            </w:r>
          </w:p>
        </w:tc>
      </w:tr>
    </w:tbl>
    <w:p>
      <w:pPr>
        <w:numPr>
          <w:ilvl w:val="0"/>
          <w:numId w:val="0"/>
        </w:numPr>
        <w:adjustRightInd w:val="0"/>
        <w:snapToGrid w:val="0"/>
        <w:spacing w:line="360" w:lineRule="auto"/>
        <w:rPr>
          <w:rFonts w:hint="eastAsia" w:ascii="楷体" w:hAnsi="楷体" w:eastAsia="楷体" w:cs="楷体"/>
          <w:sz w:val="24"/>
          <w:szCs w:val="32"/>
        </w:rPr>
      </w:pPr>
      <w:r>
        <w:rPr>
          <w:rFonts w:hint="eastAsia" w:ascii="楷体" w:hAnsi="楷体" w:eastAsia="楷体" w:cs="楷体"/>
          <w:sz w:val="24"/>
          <w:szCs w:val="32"/>
          <w:lang w:val="en-US" w:eastAsia="zh-CN"/>
        </w:rPr>
        <w:t>四、</w:t>
      </w:r>
      <w:r>
        <w:rPr>
          <w:rFonts w:hint="eastAsia" w:ascii="楷体" w:hAnsi="楷体" w:eastAsia="楷体" w:cs="楷体"/>
          <w:sz w:val="24"/>
          <w:szCs w:val="32"/>
        </w:rPr>
        <w:t>技术标准要求(依照标准、参照标准）</w:t>
      </w:r>
    </w:p>
    <w:p>
      <w:pPr>
        <w:numPr>
          <w:ilvl w:val="0"/>
          <w:numId w:val="0"/>
        </w:numPr>
        <w:adjustRightInd w:val="0"/>
        <w:snapToGrid w:val="0"/>
        <w:spacing w:line="360" w:lineRule="auto"/>
        <w:ind w:firstLine="240" w:firstLineChars="100"/>
        <w:rPr>
          <w:rFonts w:hint="eastAsia" w:ascii="楷体" w:hAnsi="楷体" w:eastAsia="楷体" w:cs="楷体"/>
          <w:color w:val="000000" w:themeColor="text1"/>
          <w:sz w:val="24"/>
          <w:szCs w:val="32"/>
          <w:lang w:val="en-US" w:eastAsia="zh-CN"/>
        </w:rPr>
      </w:pPr>
      <w:r>
        <w:rPr>
          <w:rFonts w:hint="eastAsia" w:ascii="楷体" w:hAnsi="楷体" w:eastAsia="楷体" w:cs="楷体"/>
          <w:color w:val="000000" w:themeColor="text1"/>
          <w:sz w:val="24"/>
          <w:szCs w:val="32"/>
          <w:lang w:val="en-US" w:eastAsia="zh-CN"/>
        </w:rPr>
        <w:t>1、中标人负责施工完毕后，中标人提交验收文件，采购方组织监理共同进行技术验收（中标人协助），验收以国家标准等相关技术规定或以合同文本中描述的有关技术要求为准。</w:t>
      </w:r>
    </w:p>
    <w:p>
      <w:pPr>
        <w:numPr>
          <w:ilvl w:val="0"/>
          <w:numId w:val="0"/>
        </w:numPr>
        <w:adjustRightInd w:val="0"/>
        <w:snapToGrid w:val="0"/>
        <w:spacing w:line="360" w:lineRule="auto"/>
        <w:ind w:firstLine="240" w:firstLineChars="100"/>
        <w:rPr>
          <w:rFonts w:hint="eastAsia" w:ascii="楷体" w:hAnsi="楷体" w:eastAsia="楷体" w:cs="楷体"/>
          <w:color w:val="000000" w:themeColor="text1"/>
          <w:sz w:val="24"/>
          <w:szCs w:val="32"/>
          <w:lang w:val="en-US" w:eastAsia="zh-CN"/>
        </w:rPr>
      </w:pPr>
      <w:r>
        <w:rPr>
          <w:rFonts w:hint="eastAsia" w:ascii="楷体" w:hAnsi="楷体" w:eastAsia="楷体" w:cs="楷体"/>
          <w:color w:val="000000" w:themeColor="text1"/>
          <w:sz w:val="24"/>
          <w:szCs w:val="32"/>
          <w:lang w:val="en-US" w:eastAsia="zh-CN"/>
        </w:rPr>
        <w:t>2、发包人给出的委托书或项目谈判</w:t>
      </w:r>
      <w:bookmarkStart w:id="0" w:name="_GoBack"/>
      <w:bookmarkEnd w:id="0"/>
      <w:r>
        <w:rPr>
          <w:rFonts w:hint="eastAsia" w:ascii="楷体" w:hAnsi="楷体" w:eastAsia="楷体" w:cs="楷体"/>
          <w:color w:val="000000" w:themeColor="text1"/>
          <w:sz w:val="24"/>
          <w:szCs w:val="32"/>
          <w:lang w:val="en-US" w:eastAsia="zh-CN"/>
        </w:rPr>
        <w:t>文件。</w:t>
      </w:r>
    </w:p>
    <w:p>
      <w:pPr>
        <w:numPr>
          <w:ilvl w:val="0"/>
          <w:numId w:val="0"/>
        </w:numPr>
        <w:adjustRightInd w:val="0"/>
        <w:snapToGrid w:val="0"/>
        <w:spacing w:line="360" w:lineRule="auto"/>
        <w:ind w:firstLine="240" w:firstLineChars="100"/>
        <w:rPr>
          <w:rFonts w:hint="eastAsia" w:ascii="楷体" w:hAnsi="楷体" w:eastAsia="楷体" w:cs="楷体"/>
          <w:color w:val="000000" w:themeColor="text1"/>
          <w:sz w:val="24"/>
          <w:szCs w:val="32"/>
          <w:lang w:eastAsia="zh-CN"/>
        </w:rPr>
      </w:pPr>
      <w:r>
        <w:rPr>
          <w:rFonts w:hint="eastAsia" w:ascii="楷体" w:hAnsi="楷体" w:eastAsia="楷体" w:cs="楷体"/>
          <w:color w:val="000000" w:themeColor="text1"/>
          <w:sz w:val="24"/>
          <w:szCs w:val="32"/>
          <w:lang w:val="en-US" w:eastAsia="zh-CN"/>
        </w:rPr>
        <w:t>3、发包人提供的基础资料。</w:t>
      </w:r>
    </w:p>
    <w:p>
      <w:pPr>
        <w:numPr>
          <w:ilvl w:val="0"/>
          <w:numId w:val="0"/>
        </w:numPr>
        <w:adjustRightInd w:val="0"/>
        <w:snapToGrid w:val="0"/>
        <w:spacing w:line="360" w:lineRule="auto"/>
        <w:ind w:firstLine="240" w:firstLineChars="100"/>
        <w:rPr>
          <w:rFonts w:hint="eastAsia" w:ascii="楷体" w:hAnsi="楷体" w:eastAsia="楷体" w:cs="楷体"/>
          <w:color w:val="000000" w:themeColor="text1"/>
          <w:sz w:val="24"/>
          <w:szCs w:val="32"/>
        </w:rPr>
      </w:pPr>
      <w:r>
        <w:rPr>
          <w:rFonts w:hint="eastAsia" w:ascii="楷体" w:hAnsi="楷体" w:eastAsia="楷体" w:cs="楷体"/>
          <w:color w:val="000000" w:themeColor="text1"/>
          <w:sz w:val="24"/>
          <w:szCs w:val="32"/>
          <w:lang w:eastAsia="zh-CN"/>
        </w:rPr>
        <w:t>五、</w:t>
      </w:r>
      <w:r>
        <w:rPr>
          <w:rFonts w:hint="eastAsia" w:ascii="楷体" w:hAnsi="楷体" w:eastAsia="楷体" w:cs="楷体"/>
          <w:color w:val="000000" w:themeColor="text1"/>
          <w:sz w:val="24"/>
          <w:szCs w:val="32"/>
        </w:rPr>
        <w:t>完成时间</w:t>
      </w:r>
    </w:p>
    <w:p>
      <w:pPr>
        <w:numPr>
          <w:ilvl w:val="0"/>
          <w:numId w:val="0"/>
        </w:numPr>
        <w:adjustRightInd w:val="0"/>
        <w:snapToGrid w:val="0"/>
        <w:spacing w:line="360" w:lineRule="auto"/>
        <w:ind w:firstLine="240" w:firstLineChars="100"/>
        <w:rPr>
          <w:rFonts w:hint="eastAsia" w:ascii="楷体" w:hAnsi="楷体" w:eastAsia="楷体" w:cs="楷体"/>
          <w:color w:val="000000" w:themeColor="text1"/>
          <w:sz w:val="24"/>
          <w:szCs w:val="32"/>
          <w:lang w:val="en-US" w:eastAsia="zh-CN"/>
        </w:rPr>
      </w:pPr>
      <w:r>
        <w:rPr>
          <w:rFonts w:hint="eastAsia" w:ascii="楷体" w:hAnsi="楷体" w:eastAsia="楷体" w:cs="楷体"/>
          <w:color w:val="000000" w:themeColor="text1"/>
          <w:sz w:val="24"/>
          <w:szCs w:val="32"/>
          <w:lang w:eastAsia="zh-CN"/>
        </w:rPr>
        <w:t>工期：</w:t>
      </w:r>
      <w:r>
        <w:rPr>
          <w:rFonts w:hint="eastAsia" w:ascii="楷体" w:hAnsi="楷体" w:eastAsia="楷体" w:cs="楷体"/>
          <w:color w:val="000000" w:themeColor="text1"/>
          <w:sz w:val="24"/>
          <w:szCs w:val="32"/>
          <w:lang w:val="en-US" w:eastAsia="zh-CN"/>
        </w:rPr>
        <w:t xml:space="preserve"> </w:t>
      </w:r>
      <w:r>
        <w:rPr>
          <w:rFonts w:hint="eastAsia" w:ascii="楷体" w:hAnsi="楷体" w:eastAsia="楷体" w:cs="楷体"/>
          <w:color w:val="000000" w:themeColor="text1"/>
          <w:sz w:val="24"/>
          <w:szCs w:val="32"/>
          <w:u w:val="single"/>
          <w:lang w:val="en-US" w:eastAsia="zh-CN"/>
        </w:rPr>
        <w:t xml:space="preserve">  60 </w:t>
      </w:r>
      <w:r>
        <w:rPr>
          <w:rFonts w:hint="eastAsia" w:ascii="楷体" w:hAnsi="楷体" w:eastAsia="楷体" w:cs="楷体"/>
          <w:color w:val="000000" w:themeColor="text1"/>
          <w:sz w:val="24"/>
          <w:szCs w:val="32"/>
          <w:u w:val="none"/>
          <w:lang w:val="en-US" w:eastAsia="zh-CN"/>
        </w:rPr>
        <w:t>天</w:t>
      </w:r>
    </w:p>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1.双方交流、沟通、成果上会等待确认、汇报、审查的时间及因发包人或不可抗力原因造成的延误时间不包含在本条约定的时间期限内。</w:t>
      </w:r>
    </w:p>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2.经发包人、</w:t>
      </w:r>
      <w:r>
        <w:rPr>
          <w:rFonts w:hint="eastAsia" w:ascii="楷体" w:hAnsi="楷体" w:eastAsia="楷体" w:cs="楷体"/>
          <w:sz w:val="24"/>
          <w:szCs w:val="32"/>
          <w:lang w:eastAsia="zh-CN"/>
        </w:rPr>
        <w:t>承包</w:t>
      </w:r>
      <w:r>
        <w:rPr>
          <w:rFonts w:hint="eastAsia" w:ascii="楷体" w:hAnsi="楷体" w:eastAsia="楷体" w:cs="楷体"/>
          <w:sz w:val="24"/>
          <w:szCs w:val="32"/>
        </w:rPr>
        <w:t>人双方协商一致，以上工作时间可根据实际情况作必要调整，双方另行签订补充协议。</w:t>
      </w:r>
    </w:p>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六、验收方法及标准</w:t>
      </w:r>
    </w:p>
    <w:p>
      <w:pPr>
        <w:numPr>
          <w:ilvl w:val="0"/>
          <w:numId w:val="0"/>
        </w:numPr>
        <w:adjustRightInd w:val="0"/>
        <w:snapToGrid w:val="0"/>
        <w:spacing w:line="360" w:lineRule="auto"/>
        <w:ind w:firstLine="240" w:firstLineChars="100"/>
        <w:rPr>
          <w:rFonts w:hint="eastAsia" w:ascii="楷体" w:hAnsi="楷体" w:eastAsia="楷体" w:cs="楷体"/>
          <w:color w:val="auto"/>
          <w:sz w:val="24"/>
          <w:szCs w:val="32"/>
          <w:lang w:val="en-US" w:eastAsia="zh-CN"/>
        </w:rPr>
      </w:pPr>
      <w:r>
        <w:rPr>
          <w:rFonts w:hint="eastAsia" w:ascii="楷体" w:hAnsi="楷体" w:eastAsia="楷体" w:cs="楷体"/>
          <w:color w:val="auto"/>
          <w:sz w:val="24"/>
          <w:szCs w:val="32"/>
          <w:lang w:val="en-US" w:eastAsia="zh-CN"/>
        </w:rPr>
        <w:t>中标人负责施工完毕后，中标人提交验收文件，采购方组织监理共同进行技术验收（中标人协助），验收以国家标准等相关技术规定或以合同文本中描述的有关技术要求为准。</w:t>
      </w:r>
    </w:p>
    <w:p>
      <w:pPr>
        <w:numPr>
          <w:ilvl w:val="0"/>
          <w:numId w:val="0"/>
        </w:numPr>
        <w:adjustRightInd w:val="0"/>
        <w:snapToGrid w:val="0"/>
        <w:spacing w:line="360" w:lineRule="auto"/>
        <w:ind w:firstLine="240" w:firstLineChars="100"/>
        <w:rPr>
          <w:rFonts w:hint="eastAsia" w:ascii="楷体" w:hAnsi="楷体" w:eastAsia="楷体" w:cs="楷体"/>
          <w:color w:val="auto"/>
          <w:sz w:val="24"/>
          <w:szCs w:val="32"/>
        </w:rPr>
      </w:pPr>
      <w:r>
        <w:rPr>
          <w:rFonts w:hint="eastAsia" w:ascii="楷体" w:hAnsi="楷体" w:eastAsia="楷体" w:cs="楷体"/>
          <w:color w:val="auto"/>
          <w:sz w:val="24"/>
          <w:szCs w:val="32"/>
          <w:lang w:eastAsia="zh-CN"/>
        </w:rPr>
        <w:t>七、</w:t>
      </w:r>
      <w:r>
        <w:rPr>
          <w:rFonts w:hint="eastAsia" w:ascii="楷体" w:hAnsi="楷体" w:eastAsia="楷体" w:cs="楷体"/>
          <w:color w:val="auto"/>
          <w:sz w:val="24"/>
          <w:szCs w:val="32"/>
        </w:rPr>
        <w:t>付款方式</w:t>
      </w:r>
    </w:p>
    <w:p>
      <w:pPr>
        <w:numPr>
          <w:ilvl w:val="0"/>
          <w:numId w:val="0"/>
        </w:numPr>
        <w:adjustRightInd w:val="0"/>
        <w:snapToGrid w:val="0"/>
        <w:spacing w:line="360" w:lineRule="auto"/>
        <w:ind w:firstLine="240" w:firstLineChars="100"/>
        <w:rPr>
          <w:rFonts w:hint="eastAsia" w:ascii="楷体" w:hAnsi="楷体" w:eastAsia="楷体" w:cs="楷体"/>
          <w:color w:val="FF0000"/>
          <w:sz w:val="30"/>
          <w:szCs w:val="32"/>
        </w:rPr>
      </w:pPr>
      <w:r>
        <w:rPr>
          <w:rFonts w:hint="eastAsia" w:ascii="楷体" w:hAnsi="楷体" w:eastAsia="楷体" w:cs="楷体"/>
          <w:color w:val="auto"/>
          <w:kern w:val="0"/>
          <w:sz w:val="24"/>
          <w:szCs w:val="32"/>
          <w:lang w:val="en-US" w:eastAsia="zh-CN" w:bidi="ar-SA"/>
        </w:rPr>
        <w:t>关于付款周期的约定： 按合同约定</w:t>
      </w:r>
      <w:r>
        <w:rPr>
          <w:rFonts w:hint="eastAsia" w:ascii="楷体" w:hAnsi="楷体" w:eastAsia="楷体" w:cs="楷体"/>
          <w:color w:val="auto"/>
          <w:sz w:val="30"/>
          <w:szCs w:val="32"/>
        </w:rPr>
        <w:t>。</w:t>
      </w:r>
    </w:p>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lang w:eastAsia="zh-CN"/>
        </w:rPr>
        <w:t>八、</w:t>
      </w:r>
      <w:r>
        <w:rPr>
          <w:rFonts w:hint="eastAsia" w:ascii="楷体" w:hAnsi="楷体" w:eastAsia="楷体" w:cs="楷体"/>
          <w:sz w:val="24"/>
          <w:szCs w:val="32"/>
        </w:rPr>
        <w:t>售后服务要求</w:t>
      </w:r>
    </w:p>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1、服务内容：配合主管部门提供咨询服务；</w:t>
      </w:r>
    </w:p>
    <w:p>
      <w:pPr>
        <w:numPr>
          <w:ilvl w:val="0"/>
          <w:numId w:val="0"/>
        </w:numPr>
        <w:adjustRightInd w:val="0"/>
        <w:snapToGrid w:val="0"/>
        <w:spacing w:line="360" w:lineRule="auto"/>
        <w:ind w:firstLine="240" w:firstLineChars="100"/>
        <w:rPr>
          <w:rFonts w:hint="eastAsia" w:ascii="楷体" w:hAnsi="楷体" w:eastAsia="楷体" w:cs="楷体"/>
          <w:sz w:val="24"/>
          <w:szCs w:val="32"/>
          <w:lang w:val="en-US" w:eastAsia="zh-CN"/>
        </w:rPr>
      </w:pPr>
      <w:r>
        <w:rPr>
          <w:rFonts w:hint="eastAsia" w:ascii="楷体" w:hAnsi="楷体" w:eastAsia="楷体" w:cs="楷体"/>
          <w:sz w:val="24"/>
          <w:szCs w:val="32"/>
          <w:lang w:eastAsia="zh-CN"/>
        </w:rPr>
        <w:t>2、服务期限：直至缺陷责任期满。</w:t>
      </w:r>
    </w:p>
    <w:p>
      <w:pPr>
        <w:numPr>
          <w:ilvl w:val="0"/>
          <w:numId w:val="0"/>
        </w:numPr>
        <w:adjustRightInd w:val="0"/>
        <w:snapToGrid w:val="0"/>
        <w:spacing w:line="360" w:lineRule="auto"/>
        <w:ind w:firstLine="240" w:firstLineChars="100"/>
        <w:rPr>
          <w:rFonts w:hint="eastAsia" w:ascii="楷体" w:hAnsi="楷体" w:eastAsia="楷体" w:cs="楷体"/>
          <w:sz w:val="24"/>
          <w:szCs w:val="32"/>
          <w:lang w:val="en-US" w:eastAsia="zh-CN"/>
        </w:rPr>
      </w:pPr>
      <w:r>
        <w:rPr>
          <w:rFonts w:hint="eastAsia" w:ascii="楷体" w:hAnsi="楷体" w:eastAsia="楷体" w:cs="楷体"/>
          <w:sz w:val="24"/>
          <w:szCs w:val="32"/>
          <w:lang w:eastAsia="zh-CN"/>
        </w:rPr>
        <w:t>九、</w:t>
      </w:r>
      <w:r>
        <w:rPr>
          <w:rFonts w:hint="eastAsia" w:ascii="楷体" w:hAnsi="楷体" w:eastAsia="楷体" w:cs="楷体"/>
          <w:sz w:val="24"/>
          <w:szCs w:val="32"/>
        </w:rPr>
        <w:t>供应商资格要求</w:t>
      </w:r>
    </w:p>
    <w:p>
      <w:pPr>
        <w:pStyle w:val="28"/>
        <w:keepNext w:val="0"/>
        <w:keepLines w:val="0"/>
        <w:pageBreakBefore w:val="0"/>
        <w:kinsoku/>
        <w:wordWrap/>
        <w:overflowPunct/>
        <w:topLinePunct w:val="0"/>
        <w:autoSpaceDE/>
        <w:autoSpaceDN/>
        <w:bidi w:val="0"/>
        <w:adjustRightInd/>
        <w:snapToGrid w:val="0"/>
        <w:spacing w:after="156" w:afterLines="50" w:line="620" w:lineRule="exact"/>
        <w:ind w:firstLine="480" w:firstLineChars="200"/>
        <w:contextualSpacing/>
        <w:jc w:val="left"/>
        <w:textAlignment w:val="auto"/>
        <w:rPr>
          <w:rFonts w:hint="eastAsia" w:ascii="楷体" w:hAnsi="楷体" w:eastAsia="楷体" w:cs="楷体"/>
          <w:sz w:val="24"/>
          <w:szCs w:val="32"/>
          <w:lang w:eastAsia="zh-CN"/>
        </w:rPr>
      </w:pPr>
      <w:r>
        <w:rPr>
          <w:rFonts w:hint="eastAsia" w:ascii="楷体" w:hAnsi="楷体" w:eastAsia="楷体" w:cs="楷体"/>
          <w:sz w:val="24"/>
          <w:szCs w:val="32"/>
          <w:lang w:val="en-US" w:eastAsia="zh-CN"/>
        </w:rPr>
        <w:t>1</w:t>
      </w:r>
      <w:r>
        <w:rPr>
          <w:rFonts w:hint="eastAsia" w:ascii="楷体" w:hAnsi="楷体" w:eastAsia="楷体" w:cs="楷体"/>
          <w:sz w:val="24"/>
          <w:szCs w:val="32"/>
        </w:rPr>
        <w:t>.本项目的特定资格要求：（1）具有独立承担民事责任能力的法人、其他组织或自然人，并出具合法有效的统一社会信用代码的营业执照或事业单位法人证书等国家规定的相关证明，自然人参与的提供其身份证明；（2）提供202</w:t>
      </w:r>
      <w:r>
        <w:rPr>
          <w:rFonts w:hint="eastAsia" w:ascii="楷体" w:hAnsi="楷体" w:eastAsia="楷体" w:cs="楷体"/>
          <w:sz w:val="24"/>
          <w:szCs w:val="32"/>
          <w:lang w:val="en-US" w:eastAsia="zh-CN"/>
        </w:rPr>
        <w:t>3</w:t>
      </w:r>
      <w:r>
        <w:rPr>
          <w:rFonts w:hint="eastAsia" w:ascii="楷体" w:hAnsi="楷体" w:eastAsia="楷体" w:cs="楷体"/>
          <w:sz w:val="24"/>
          <w:szCs w:val="32"/>
        </w:rPr>
        <w:t>年1月以来任意1个月缴纳税收的缴费凭据（打印件，加盖单位公章）；依法不需要缴纳的供应商应提供相关文件证明；（3）参加政府采购活动前3年内在经营活动中没有重大违法记录的书面声明；（4）递交</w:t>
      </w:r>
      <w:r>
        <w:rPr>
          <w:rFonts w:hint="eastAsia" w:ascii="楷体" w:hAnsi="楷体" w:eastAsia="楷体" w:cs="楷体"/>
          <w:sz w:val="24"/>
          <w:szCs w:val="32"/>
          <w:lang w:eastAsia="zh-CN"/>
        </w:rPr>
        <w:t>谈判</w:t>
      </w:r>
      <w:r>
        <w:rPr>
          <w:rFonts w:hint="eastAsia" w:ascii="楷体" w:hAnsi="楷体" w:eastAsia="楷体" w:cs="楷体"/>
          <w:sz w:val="24"/>
          <w:szCs w:val="32"/>
        </w:rPr>
        <w:t>文件截止时间前在未被列入失信被执行人、重大税收违法案件当事人名单和政府采购严重违法失信行为记录名单（处罚期限届满的除外），以“信用中国”（www.creditchina.gov.cn）及中国政府采购网（www.ccgp.gov.cn）查询结果为准，提供网页截图并加盖公章；（5）法定代表人授权委托书和被授权人有效身份证（法定代表人直接参加的只须出示法定代表人身份证）；（6）供应商须具备建筑工程施工总承包三级及以上资质，具有合格有效的安全生产许可证；（7）拟派项目经理须具备建筑工程专业二级及以上注册建造师资质，取得安全生产考核合格证（建安B证），在本单位注册，且未担任其他在建项目声明；（8）供应商财务状况报告：202</w:t>
      </w:r>
      <w:r>
        <w:rPr>
          <w:rFonts w:hint="eastAsia" w:ascii="楷体" w:hAnsi="楷体" w:eastAsia="楷体" w:cs="楷体"/>
          <w:sz w:val="24"/>
          <w:szCs w:val="32"/>
          <w:lang w:val="en-US" w:eastAsia="zh-CN"/>
        </w:rPr>
        <w:t>2</w:t>
      </w:r>
      <w:r>
        <w:rPr>
          <w:rFonts w:hint="eastAsia" w:ascii="楷体" w:hAnsi="楷体" w:eastAsia="楷体" w:cs="楷体"/>
          <w:sz w:val="24"/>
          <w:szCs w:val="32"/>
        </w:rPr>
        <w:t>年度审计报告或近3个月内出具的银行资信证明；（9）本项目不接受联合体</w:t>
      </w:r>
      <w:r>
        <w:rPr>
          <w:rFonts w:hint="eastAsia" w:ascii="楷体" w:hAnsi="楷体" w:eastAsia="楷体" w:cs="楷体"/>
          <w:sz w:val="24"/>
          <w:szCs w:val="32"/>
          <w:lang w:eastAsia="zh-CN"/>
        </w:rPr>
        <w:t>谈判</w:t>
      </w:r>
      <w:r>
        <w:rPr>
          <w:rFonts w:hint="eastAsia" w:ascii="楷体" w:hAnsi="楷体" w:eastAsia="楷体" w:cs="楷体"/>
          <w:sz w:val="24"/>
          <w:szCs w:val="32"/>
        </w:rPr>
        <w:t>，单位负责人为同一人或者存在控股、管理关系的不同单位不得同时</w:t>
      </w:r>
      <w:r>
        <w:rPr>
          <w:rFonts w:hint="eastAsia" w:ascii="楷体" w:hAnsi="楷体" w:eastAsia="楷体" w:cs="楷体"/>
          <w:sz w:val="24"/>
          <w:szCs w:val="32"/>
          <w:lang w:eastAsia="zh-CN"/>
        </w:rPr>
        <w:t>谈判。</w:t>
      </w:r>
    </w:p>
    <w:p>
      <w:pPr>
        <w:numPr>
          <w:ilvl w:val="0"/>
          <w:numId w:val="0"/>
        </w:numPr>
        <w:adjustRightInd w:val="0"/>
        <w:snapToGrid w:val="0"/>
        <w:spacing w:line="360" w:lineRule="auto"/>
        <w:ind w:firstLine="240" w:firstLineChars="100"/>
        <w:rPr>
          <w:rFonts w:hint="eastAsia" w:ascii="楷体" w:hAnsi="楷体" w:eastAsia="楷体" w:cs="楷体"/>
          <w:sz w:val="24"/>
          <w:szCs w:val="32"/>
        </w:rPr>
      </w:pPr>
      <w:r>
        <w:rPr>
          <w:rFonts w:hint="eastAsia" w:ascii="楷体" w:hAnsi="楷体" w:eastAsia="楷体" w:cs="楷体"/>
          <w:sz w:val="24"/>
          <w:szCs w:val="32"/>
        </w:rPr>
        <w:t>十、其他要求</w:t>
      </w:r>
    </w:p>
    <w:p>
      <w:pPr>
        <w:numPr>
          <w:ilvl w:val="0"/>
          <w:numId w:val="0"/>
        </w:numPr>
        <w:adjustRightInd w:val="0"/>
        <w:snapToGrid w:val="0"/>
        <w:spacing w:line="360" w:lineRule="auto"/>
        <w:rPr>
          <w:rFonts w:hint="eastAsia" w:ascii="楷体" w:hAnsi="楷体" w:eastAsia="楷体" w:cs="楷体"/>
          <w:sz w:val="24"/>
          <w:szCs w:val="32"/>
          <w:lang w:val="en-US" w:eastAsia="zh-CN"/>
        </w:rPr>
      </w:pPr>
    </w:p>
    <w:p>
      <w:pPr>
        <w:pStyle w:val="2"/>
        <w:ind w:left="0" w:leftChars="0" w:firstLine="0" w:firstLineChars="0"/>
        <w:rPr>
          <w:rFonts w:hint="eastAsia" w:ascii="楷体" w:hAnsi="楷体" w:eastAsia="楷体" w:cs="楷体"/>
          <w:sz w:val="24"/>
          <w:szCs w:val="24"/>
          <w:lang w:val="en-US" w:eastAsia="zh-CN"/>
        </w:rPr>
      </w:pPr>
    </w:p>
    <w:p>
      <w:pPr>
        <w:pStyle w:val="2"/>
        <w:rPr>
          <w:rFonts w:hint="eastAsia" w:ascii="楷体" w:hAnsi="楷体" w:eastAsia="楷体" w:cs="楷体"/>
          <w:sz w:val="24"/>
          <w:szCs w:val="32"/>
          <w:lang w:val="en-US" w:eastAsia="zh-CN"/>
        </w:rPr>
      </w:pPr>
    </w:p>
    <w:sectPr>
      <w:pgSz w:w="11906" w:h="16838"/>
      <w:pgMar w:top="820" w:right="1266" w:bottom="1118"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HiddenHorzOCR">
    <w:altName w:val="MS Mincho"/>
    <w:panose1 w:val="00000000000000000000"/>
    <w:charset w:val="80"/>
    <w:family w:val="auto"/>
    <w:pitch w:val="default"/>
    <w:sig w:usb0="00000000" w:usb1="00000000" w:usb2="00000010" w:usb3="00000000" w:csb0="00020000" w:csb1="00000000"/>
  </w:font>
  <w:font w:name="time">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UyYjlmN2NmMDgzZjI4NGFlNTRhNjdjYTA1MmVmNTUifQ=="/>
  </w:docVars>
  <w:rsids>
    <w:rsidRoot w:val="00FE57E8"/>
    <w:rsid w:val="00234E51"/>
    <w:rsid w:val="003755C4"/>
    <w:rsid w:val="00460365"/>
    <w:rsid w:val="004E27DF"/>
    <w:rsid w:val="005B6843"/>
    <w:rsid w:val="005D0BE4"/>
    <w:rsid w:val="0066365E"/>
    <w:rsid w:val="006C3A4F"/>
    <w:rsid w:val="006D0CE9"/>
    <w:rsid w:val="00992A4F"/>
    <w:rsid w:val="00A626E3"/>
    <w:rsid w:val="00AA5DBC"/>
    <w:rsid w:val="00E2168D"/>
    <w:rsid w:val="00EF109F"/>
    <w:rsid w:val="00FE57E8"/>
    <w:rsid w:val="00FF1073"/>
    <w:rsid w:val="014F0711"/>
    <w:rsid w:val="04001E75"/>
    <w:rsid w:val="05D215EF"/>
    <w:rsid w:val="07DA29F1"/>
    <w:rsid w:val="090F437A"/>
    <w:rsid w:val="0D646FD0"/>
    <w:rsid w:val="0E123096"/>
    <w:rsid w:val="0FAB0EE6"/>
    <w:rsid w:val="10797237"/>
    <w:rsid w:val="10FE13F7"/>
    <w:rsid w:val="12ED3C4A"/>
    <w:rsid w:val="15A54D74"/>
    <w:rsid w:val="16CE3251"/>
    <w:rsid w:val="18A33DA3"/>
    <w:rsid w:val="18E611E1"/>
    <w:rsid w:val="19D76D7C"/>
    <w:rsid w:val="1A6F0441"/>
    <w:rsid w:val="1B3B7780"/>
    <w:rsid w:val="20012D19"/>
    <w:rsid w:val="200E34D5"/>
    <w:rsid w:val="21463165"/>
    <w:rsid w:val="21575429"/>
    <w:rsid w:val="216F2EED"/>
    <w:rsid w:val="219F0AC7"/>
    <w:rsid w:val="21DE514B"/>
    <w:rsid w:val="22665141"/>
    <w:rsid w:val="23F8272D"/>
    <w:rsid w:val="28CB1244"/>
    <w:rsid w:val="2BEF76B5"/>
    <w:rsid w:val="2E1D14C2"/>
    <w:rsid w:val="2FC150DC"/>
    <w:rsid w:val="2FC93918"/>
    <w:rsid w:val="30413EEA"/>
    <w:rsid w:val="328A733E"/>
    <w:rsid w:val="33064502"/>
    <w:rsid w:val="33905E8E"/>
    <w:rsid w:val="345968B4"/>
    <w:rsid w:val="35D119BA"/>
    <w:rsid w:val="362D7FF8"/>
    <w:rsid w:val="36371B12"/>
    <w:rsid w:val="3B5878C5"/>
    <w:rsid w:val="3BF37E36"/>
    <w:rsid w:val="3C615DCD"/>
    <w:rsid w:val="3C7C5835"/>
    <w:rsid w:val="3CEC4769"/>
    <w:rsid w:val="3E3143FD"/>
    <w:rsid w:val="3EB83FFD"/>
    <w:rsid w:val="404C7394"/>
    <w:rsid w:val="41377F7D"/>
    <w:rsid w:val="46607F75"/>
    <w:rsid w:val="46A2233C"/>
    <w:rsid w:val="46C027C2"/>
    <w:rsid w:val="477A6E15"/>
    <w:rsid w:val="47BD086A"/>
    <w:rsid w:val="47BF4078"/>
    <w:rsid w:val="4AD81433"/>
    <w:rsid w:val="4BC863A1"/>
    <w:rsid w:val="4CAB23AE"/>
    <w:rsid w:val="4DEB68FD"/>
    <w:rsid w:val="4F50502B"/>
    <w:rsid w:val="50E27F05"/>
    <w:rsid w:val="52097713"/>
    <w:rsid w:val="52384FEF"/>
    <w:rsid w:val="54300083"/>
    <w:rsid w:val="547F4932"/>
    <w:rsid w:val="56660C90"/>
    <w:rsid w:val="56E61DD1"/>
    <w:rsid w:val="57E52089"/>
    <w:rsid w:val="58180AEB"/>
    <w:rsid w:val="58507E4A"/>
    <w:rsid w:val="5B24111A"/>
    <w:rsid w:val="5E9758D0"/>
    <w:rsid w:val="5E9F7435"/>
    <w:rsid w:val="5F883CE9"/>
    <w:rsid w:val="5FDA449D"/>
    <w:rsid w:val="60A725D1"/>
    <w:rsid w:val="6118527D"/>
    <w:rsid w:val="618476F8"/>
    <w:rsid w:val="62D34B56"/>
    <w:rsid w:val="63225422"/>
    <w:rsid w:val="68CB6C3B"/>
    <w:rsid w:val="68D979E8"/>
    <w:rsid w:val="69CF4947"/>
    <w:rsid w:val="6A330FF7"/>
    <w:rsid w:val="6A4E6484"/>
    <w:rsid w:val="6A651F24"/>
    <w:rsid w:val="6DDD7632"/>
    <w:rsid w:val="6EED0414"/>
    <w:rsid w:val="6F180B0B"/>
    <w:rsid w:val="7004359C"/>
    <w:rsid w:val="70934920"/>
    <w:rsid w:val="71754026"/>
    <w:rsid w:val="71867FE1"/>
    <w:rsid w:val="7309711B"/>
    <w:rsid w:val="764A7FD1"/>
    <w:rsid w:val="78240663"/>
    <w:rsid w:val="78247F45"/>
    <w:rsid w:val="78D03B05"/>
    <w:rsid w:val="7A083C89"/>
    <w:rsid w:val="7A4C482F"/>
    <w:rsid w:val="7A542F12"/>
    <w:rsid w:val="7ACA775B"/>
    <w:rsid w:val="7BC65BA9"/>
    <w:rsid w:val="7C460294"/>
    <w:rsid w:val="7C8E41ED"/>
    <w:rsid w:val="7CAD4FBB"/>
    <w:rsid w:val="7D126BCC"/>
    <w:rsid w:val="7FE2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link w:val="23"/>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autoRedefine/>
    <w:semiHidden/>
    <w:qFormat/>
    <w:uiPriority w:val="99"/>
    <w:pPr>
      <w:spacing w:after="120"/>
      <w:ind w:left="420" w:leftChars="200"/>
    </w:pPr>
  </w:style>
  <w:style w:type="paragraph" w:styleId="6">
    <w:name w:val="Body Text"/>
    <w:basedOn w:val="1"/>
    <w:next w:val="7"/>
    <w:autoRedefine/>
    <w:qFormat/>
    <w:uiPriority w:val="0"/>
    <w:pPr>
      <w:spacing w:after="120" w:afterLines="0"/>
    </w:pPr>
  </w:style>
  <w:style w:type="paragraph" w:styleId="7">
    <w:name w:val="Body Text First Indent"/>
    <w:basedOn w:val="6"/>
    <w:next w:val="8"/>
    <w:autoRedefine/>
    <w:qFormat/>
    <w:uiPriority w:val="0"/>
    <w:pPr>
      <w:ind w:firstLine="420" w:firstLineChars="100"/>
    </w:pPr>
    <w:rPr>
      <w:sz w:val="21"/>
      <w:szCs w:val="24"/>
    </w:rPr>
  </w:style>
  <w:style w:type="paragraph" w:styleId="8">
    <w:name w:val="toc 6"/>
    <w:basedOn w:val="1"/>
    <w:next w:val="1"/>
    <w:autoRedefine/>
    <w:qFormat/>
    <w:uiPriority w:val="0"/>
    <w:pPr>
      <w:ind w:left="1050"/>
      <w:jc w:val="left"/>
    </w:pPr>
    <w:rPr>
      <w:rFonts w:ascii="仿宋_GB2312" w:eastAsia="仿宋_GB2312"/>
      <w:sz w:val="18"/>
      <w:szCs w:val="18"/>
    </w:rPr>
  </w:style>
  <w:style w:type="paragraph" w:styleId="9">
    <w:name w:val="Body Text Indent 2"/>
    <w:basedOn w:val="1"/>
    <w:autoRedefine/>
    <w:qFormat/>
    <w:uiPriority w:val="0"/>
    <w:pPr>
      <w:ind w:firstLine="538" w:firstLineChars="192"/>
    </w:pPr>
    <w:rPr>
      <w:sz w:val="28"/>
    </w:rPr>
  </w:style>
  <w:style w:type="paragraph" w:styleId="10">
    <w:name w:val="Balloon Text"/>
    <w:basedOn w:val="1"/>
    <w:link w:val="25"/>
    <w:autoRedefine/>
    <w:semiHidden/>
    <w:unhideWhenUsed/>
    <w:qFormat/>
    <w:uiPriority w:val="99"/>
    <w:rPr>
      <w:sz w:val="18"/>
      <w:szCs w:val="18"/>
    </w:rPr>
  </w:style>
  <w:style w:type="paragraph" w:styleId="11">
    <w:name w:val="footer"/>
    <w:basedOn w:val="1"/>
    <w:link w:val="22"/>
    <w:autoRedefine/>
    <w:semiHidden/>
    <w:unhideWhenUsed/>
    <w:qFormat/>
    <w:uiPriority w:val="99"/>
    <w:pPr>
      <w:tabs>
        <w:tab w:val="center" w:pos="4153"/>
        <w:tab w:val="right" w:pos="8306"/>
      </w:tabs>
      <w:snapToGrid w:val="0"/>
      <w:jc w:val="left"/>
    </w:pPr>
    <w:rPr>
      <w:sz w:val="18"/>
      <w:szCs w:val="18"/>
    </w:rPr>
  </w:style>
  <w:style w:type="paragraph" w:styleId="12">
    <w:name w:val="header"/>
    <w:basedOn w:val="1"/>
    <w:link w:val="2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qFormat/>
    <w:uiPriority w:val="39"/>
    <w:pPr>
      <w:tabs>
        <w:tab w:val="right" w:leader="dot" w:pos="8715"/>
      </w:tabs>
      <w:ind w:left="991" w:leftChars="472"/>
    </w:pPr>
    <w:rPr>
      <w:rFonts w:ascii="宋体" w:hAnsi="宋体" w:cs="HiddenHorzOCR"/>
      <w:kern w:val="0"/>
      <w:sz w:val="24"/>
    </w:rPr>
  </w:style>
  <w:style w:type="paragraph" w:styleId="1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basedOn w:val="17"/>
    <w:autoRedefine/>
    <w:qFormat/>
    <w:uiPriority w:val="20"/>
    <w:rPr>
      <w:i/>
      <w:iCs/>
    </w:rPr>
  </w:style>
  <w:style w:type="character" w:styleId="19">
    <w:name w:val="Hyperlink"/>
    <w:basedOn w:val="17"/>
    <w:autoRedefine/>
    <w:semiHidden/>
    <w:unhideWhenUsed/>
    <w:qFormat/>
    <w:uiPriority w:val="99"/>
    <w:rPr>
      <w:color w:val="0000FF"/>
      <w:u w:val="single"/>
    </w:rPr>
  </w:style>
  <w:style w:type="character" w:styleId="20">
    <w:name w:val="HTML Cite"/>
    <w:basedOn w:val="17"/>
    <w:autoRedefine/>
    <w:semiHidden/>
    <w:unhideWhenUsed/>
    <w:qFormat/>
    <w:uiPriority w:val="99"/>
    <w:rPr>
      <w:i/>
      <w:iCs/>
    </w:rPr>
  </w:style>
  <w:style w:type="character" w:customStyle="1" w:styleId="21">
    <w:name w:val="页眉 Char"/>
    <w:basedOn w:val="17"/>
    <w:link w:val="12"/>
    <w:autoRedefine/>
    <w:semiHidden/>
    <w:qFormat/>
    <w:uiPriority w:val="99"/>
    <w:rPr>
      <w:sz w:val="18"/>
      <w:szCs w:val="18"/>
    </w:rPr>
  </w:style>
  <w:style w:type="character" w:customStyle="1" w:styleId="22">
    <w:name w:val="页脚 Char"/>
    <w:basedOn w:val="17"/>
    <w:link w:val="11"/>
    <w:autoRedefine/>
    <w:semiHidden/>
    <w:qFormat/>
    <w:uiPriority w:val="99"/>
    <w:rPr>
      <w:sz w:val="18"/>
      <w:szCs w:val="18"/>
    </w:rPr>
  </w:style>
  <w:style w:type="character" w:customStyle="1" w:styleId="23">
    <w:name w:val="标题 3 Char"/>
    <w:basedOn w:val="17"/>
    <w:link w:val="4"/>
    <w:autoRedefine/>
    <w:qFormat/>
    <w:uiPriority w:val="9"/>
    <w:rPr>
      <w:rFonts w:ascii="宋体" w:hAnsi="宋体" w:eastAsia="宋体" w:cs="宋体"/>
      <w:b/>
      <w:bCs/>
      <w:kern w:val="0"/>
      <w:sz w:val="27"/>
      <w:szCs w:val="27"/>
    </w:rPr>
  </w:style>
  <w:style w:type="character" w:customStyle="1" w:styleId="24">
    <w:name w:val="fw_ext"/>
    <w:basedOn w:val="17"/>
    <w:qFormat/>
    <w:uiPriority w:val="0"/>
  </w:style>
  <w:style w:type="character" w:customStyle="1" w:styleId="25">
    <w:name w:val="批注框文本 Char"/>
    <w:basedOn w:val="17"/>
    <w:link w:val="10"/>
    <w:autoRedefine/>
    <w:semiHidden/>
    <w:qFormat/>
    <w:uiPriority w:val="99"/>
    <w:rPr>
      <w:sz w:val="18"/>
      <w:szCs w:val="18"/>
    </w:rPr>
  </w:style>
  <w:style w:type="paragraph" w:customStyle="1" w:styleId="26">
    <w:name w:val="*正文"/>
    <w:basedOn w:val="1"/>
    <w:autoRedefine/>
    <w:qFormat/>
    <w:uiPriority w:val="0"/>
    <w:pPr>
      <w:widowControl/>
      <w:spacing w:line="360" w:lineRule="auto"/>
      <w:ind w:firstLine="200" w:firstLineChars="200"/>
      <w:contextualSpacing/>
    </w:pPr>
    <w:rPr>
      <w:rFonts w:ascii="time" w:hAnsi="time"/>
      <w:kern w:val="0"/>
      <w:sz w:val="24"/>
      <w:lang w:bidi="en-US"/>
    </w:rPr>
  </w:style>
  <w:style w:type="paragraph" w:styleId="27">
    <w:name w:val="List Paragraph"/>
    <w:basedOn w:val="1"/>
    <w:autoRedefine/>
    <w:unhideWhenUsed/>
    <w:qFormat/>
    <w:uiPriority w:val="99"/>
    <w:pPr>
      <w:ind w:firstLine="420" w:firstLineChars="200"/>
    </w:pPr>
  </w:style>
  <w:style w:type="paragraph" w:customStyle="1" w:styleId="2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1346</Words>
  <Characters>1432</Characters>
  <Lines>9</Lines>
  <Paragraphs>2</Paragraphs>
  <TotalTime>5</TotalTime>
  <ScaleCrop>false</ScaleCrop>
  <LinksUpToDate>false</LinksUpToDate>
  <CharactersWithSpaces>1437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2021-09-07T08:01:00Z</dcterms:created>
  <dc:creator>ASUS</dc:creator>
  <cp:lastModifiedBy>记住这个夏天</cp:lastModifiedBy>
  <cp:lastPrinted>2022-06-06T07:51:00Z</cp:lastPrinted>
  <dcterms:modified xsi:type="dcterms:W3CDTF">2024-02-19T09:07:47Z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2695ED9187CA492F88ADE0644018A80B</vt:lpwstr>
  </property>
</Properties>
</file>