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before="130" w:line="480" w:lineRule="auto"/>
        <w:ind w:left="2234"/>
        <w:outlineLvl w:val="0"/>
        <w:rPr>
          <w:rFonts w:ascii="宋体" w:hAnsi="宋体" w:eastAsia="宋体" w:cs="宋体"/>
          <w:sz w:val="40"/>
          <w:szCs w:val="40"/>
        </w:rPr>
      </w:pPr>
      <w:bookmarkStart w:id="0" w:name="_Toc15396"/>
      <w:r>
        <w:rPr>
          <w:rFonts w:ascii="宋体" w:hAnsi="宋体" w:eastAsia="宋体" w:cs="宋体"/>
          <w:spacing w:val="1"/>
          <w:sz w:val="40"/>
          <w:szCs w:val="40"/>
        </w:rPr>
        <w:t>第六</w:t>
      </w:r>
      <w:r>
        <w:rPr>
          <w:rFonts w:ascii="宋体" w:hAnsi="宋体" w:eastAsia="宋体" w:cs="宋体"/>
          <w:sz w:val="40"/>
          <w:szCs w:val="40"/>
        </w:rPr>
        <w:t>部分 采购内容及要求</w:t>
      </w:r>
      <w:bookmarkEnd w:id="0"/>
    </w:p>
    <w:p>
      <w:pPr>
        <w:tabs>
          <w:tab w:val="left" w:pos="2822"/>
        </w:tabs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一、编制主要内容</w:t>
      </w:r>
    </w:p>
    <w:p>
      <w:pPr>
        <w:tabs>
          <w:tab w:val="left" w:pos="2822"/>
        </w:tabs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对我市重点旅游景区交通网络现状及需求进行调研分析，提出旅游交通网络布局规划总体思路、重点任务，提出实现规划目标的保障措施，为榆林市全域旅游发展提供便捷的交通网络。</w:t>
      </w:r>
    </w:p>
    <w:p>
      <w:pPr>
        <w:numPr>
          <w:ilvl w:val="0"/>
          <w:numId w:val="1"/>
        </w:numPr>
        <w:tabs>
          <w:tab w:val="left" w:pos="2822"/>
        </w:tabs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成果要求</w:t>
      </w:r>
    </w:p>
    <w:p>
      <w:pPr>
        <w:pStyle w:val="4"/>
        <w:numPr>
          <w:ilvl w:val="0"/>
          <w:numId w:val="0"/>
        </w:numPr>
        <w:spacing w:line="480" w:lineRule="auto"/>
        <w:ind w:firstLine="480" w:firstLineChars="200"/>
        <w:rPr>
          <w:rFonts w:hint="eastAsia" w:ascii="Arial" w:hAnsi="Arial" w:eastAsia="Arial" w:cs="Arial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Arial"/>
          <w:snapToGrid w:val="0"/>
          <w:color w:val="000000"/>
          <w:sz w:val="24"/>
          <w:szCs w:val="24"/>
          <w:lang w:val="en-US" w:eastAsia="zh-CN" w:bidi="ar-SA"/>
        </w:rPr>
        <w:t>规划研究报告内容需符合国家、省市（或行业）相关标准及规范，并通过相关部门组织的专家评审。</w:t>
      </w:r>
    </w:p>
    <w:p>
      <w:pPr>
        <w:pStyle w:val="4"/>
        <w:numPr>
          <w:ilvl w:val="0"/>
          <w:numId w:val="1"/>
        </w:numPr>
        <w:spacing w:line="480" w:lineRule="auto"/>
        <w:ind w:left="0" w:leftChars="0" w:firstLine="480" w:firstLineChars="200"/>
        <w:rPr>
          <w:rFonts w:hint="eastAsia" w:cs="Arial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cs="Arial"/>
          <w:snapToGrid w:val="0"/>
          <w:color w:val="000000"/>
          <w:sz w:val="24"/>
          <w:szCs w:val="24"/>
          <w:lang w:val="en-US" w:eastAsia="zh-CN" w:bidi="ar-SA"/>
        </w:rPr>
        <w:t>规划研究服务项目</w:t>
      </w:r>
    </w:p>
    <w:p>
      <w:pPr>
        <w:pStyle w:val="4"/>
        <w:numPr>
          <w:ilvl w:val="0"/>
          <w:numId w:val="0"/>
        </w:numPr>
        <w:spacing w:line="480" w:lineRule="auto"/>
        <w:ind w:left="0" w:leftChars="0" w:firstLine="420" w:firstLineChars="175"/>
        <w:rPr>
          <w:rFonts w:hint="default" w:cs="Arial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cs="Arial"/>
          <w:snapToGrid w:val="0"/>
          <w:color w:val="000000"/>
          <w:sz w:val="24"/>
          <w:szCs w:val="24"/>
          <w:lang w:val="en-US" w:eastAsia="zh-CN" w:bidi="ar-SA"/>
        </w:rPr>
        <w:t>外业调查、资料收集、研究报告编制、估算编制、打印装订、税及其他、组织会议、组织评审。</w:t>
      </w:r>
    </w:p>
    <w:p>
      <w:pPr>
        <w:numPr>
          <w:ilvl w:val="0"/>
          <w:numId w:val="0"/>
        </w:numPr>
        <w:tabs>
          <w:tab w:val="left" w:pos="2822"/>
        </w:tabs>
        <w:spacing w:line="360" w:lineRule="auto"/>
        <w:rPr>
          <w:rFonts w:hint="eastAsia" w:ascii="Arial" w:hAnsi="Arial" w:eastAsia="Arial" w:cs="Arial"/>
          <w:snapToGrid w:val="0"/>
          <w:color w:val="000000"/>
          <w:sz w:val="24"/>
          <w:szCs w:val="24"/>
          <w:lang w:val="en-US" w:eastAsia="zh-CN" w:bidi="ar-SA"/>
        </w:rPr>
      </w:pPr>
      <w:r>
        <w:rPr>
          <w:rFonts w:hint="eastAsia" w:ascii="Arial" w:hAnsi="Arial" w:eastAsia="Arial" w:cs="Arial"/>
          <w:snapToGrid w:val="0"/>
          <w:color w:val="000000"/>
          <w:sz w:val="24"/>
          <w:szCs w:val="24"/>
          <w:lang w:val="en-US" w:eastAsia="zh-CN" w:bidi="ar-SA"/>
        </w:rPr>
        <w:tab/>
      </w:r>
    </w:p>
    <w:p>
      <w:pPr>
        <w:pStyle w:val="4"/>
        <w:rPr>
          <w:rFonts w:ascii="宋体" w:hAnsi="宋体" w:eastAsia="宋体" w:cs="宋体"/>
          <w:spacing w:val="-1"/>
          <w:sz w:val="40"/>
          <w:szCs w:val="40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16456E"/>
    <w:multiLevelType w:val="singleLevel"/>
    <w:tmpl w:val="9C1645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DhiZDY0MTExMTVmYjNhMDg5YjMyY2U0MWI0NmIifQ=="/>
  </w:docVars>
  <w:rsids>
    <w:rsidRoot w:val="489743CF"/>
    <w:rsid w:val="4897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2024-03-11T08:51:00Z</dcterms:created>
  <dc:creator>翔子</dc:creator>
  <cp:lastModifiedBy>翔子</cp:lastModifiedBy>
  <dcterms:modified xsi:type="dcterms:W3CDTF">2024-03-11T08:52:04Z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DFC9EAFD7DB04E25AB2989D8FD6675F8_11</vt:lpwstr>
  </property>
</Properties>
</file>