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版本号：YYZFCG竞争性磋商（2025）22号.1B120250409001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榆阳区巴小路红石桥至王圪堵段改建工程重点保护陆生野生动物重要栖息地和迁徙通道报告编制(二次)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YYZFCG竞争性磋商（2025）22号.1B1</w:t>
      </w:r>
      <w:r>
        <w:br/>
      </w:r>
      <w:r>
        <w:br/>
      </w:r>
      <w:r>
        <w:br/>
      </w:r>
    </w:p>
    <w:p>
      <w:pPr>
        <w:pStyle w:val="null3"/>
        <w:jc w:val="center"/>
        <w:outlineLvl w:val="2"/>
      </w:pPr>
      <w:r>
        <w:rPr>
          <w:rFonts w:ascii="仿宋_GB2312" w:hAnsi="仿宋_GB2312" w:cs="仿宋_GB2312" w:eastAsia="仿宋_GB2312"/>
          <w:sz w:val="28"/>
          <w:b/>
        </w:rPr>
        <w:t>榆林市榆阳区交通运输局</w:t>
      </w:r>
    </w:p>
    <w:p>
      <w:pPr>
        <w:pStyle w:val="null3"/>
        <w:jc w:val="center"/>
        <w:outlineLvl w:val="2"/>
      </w:pPr>
      <w:r>
        <w:rPr>
          <w:rFonts w:ascii="仿宋_GB2312" w:hAnsi="仿宋_GB2312" w:cs="仿宋_GB2312" w:eastAsia="仿宋_GB2312"/>
          <w:sz w:val="28"/>
          <w:b/>
        </w:rPr>
        <w:t>榆林市榆阳区政府采购中心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榆林市榆阳区交通运输局</w:t>
      </w:r>
      <w:r>
        <w:rPr>
          <w:rFonts w:ascii="仿宋_GB2312" w:hAnsi="仿宋_GB2312" w:cs="仿宋_GB2312" w:eastAsia="仿宋_GB2312"/>
        </w:rPr>
        <w:t>委托，拟对</w:t>
      </w:r>
      <w:r>
        <w:rPr>
          <w:rFonts w:ascii="仿宋_GB2312" w:hAnsi="仿宋_GB2312" w:cs="仿宋_GB2312" w:eastAsia="仿宋_GB2312"/>
        </w:rPr>
        <w:t>榆阳区巴小路红石桥至王圪堵段改建工程重点保护陆生野生动物重要栖息地和迁徙通道报告编制(二次)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YYZFCG竞争性磋商（2025）22号.1B1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榆阳区巴小路红石桥至王圪堵段改建工程重点保护陆生野生动物重要栖息地和迁徙通道报告编制(二次)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榆阳区巴小路红石桥至王圪堵段改建工程重点保护陆生野生动物重要栖息地和迁徙通道报告编制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采购包1（榆阳区巴小路（红石桥至王圪堵段） 改建工程项目重点保护陆生野生动物 重要栖息地和迁徙通道报告编制）：属于专门面向小微企业采购。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文件：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p>
      <w:pPr>
        <w:pStyle w:val="null3"/>
      </w:pPr>
      <w:r>
        <w:rPr>
          <w:rFonts w:ascii="仿宋_GB2312" w:hAnsi="仿宋_GB2312" w:cs="仿宋_GB2312" w:eastAsia="仿宋_GB2312"/>
        </w:rPr>
        <w:t>2、法定代表人授权书：供应商应授权合法的人员参加投标全过程，其中法定代表人/负责人直接投标，须提交法定代表人/负责人身份证明书和身份证。法定代表人/负责人授权代表参加投标的，须出具法定代表人/负责人授权书及授权代表身份证和在本单位的社会保障资金缴纳证明。</w:t>
      </w:r>
    </w:p>
    <w:p>
      <w:pPr>
        <w:pStyle w:val="null3"/>
      </w:pPr>
      <w:r>
        <w:rPr>
          <w:rFonts w:ascii="仿宋_GB2312" w:hAnsi="仿宋_GB2312" w:cs="仿宋_GB2312" w:eastAsia="仿宋_GB2312"/>
        </w:rPr>
        <w:t>3、社会保障资金缴纳证明：供应商提供上一年度至开标前已缴存的至少三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4、税收缴纳证明：供应商提供上一年度至开标前已缴纳的至少三个月的纳税证明或完税证明，纳税证明或完税证明上应有代收机构或税务机关的公章。依法免税的供应商应提供相关文件证明。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5、商业信誉：供应商应具备良好的商业信誉，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榆林市榆阳区交通运输局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榆林市榆阳区榆林大道苏庄则路口南100米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榆林市榆阳区交通运输局经办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15877581528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榆阳区政务服务中心325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榆阳区政府采购中心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0912-3518917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采购包1：493,050.00元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榆林市榆阳区交通运输局</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榆林市榆阳区交通运输局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榆林市榆阳区交通运输局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榆林市榆阳区政府采购中心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符合投标文件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联系人：谷耀伟</w:t>
      </w:r>
    </w:p>
    <w:p>
      <w:pPr>
        <w:pStyle w:val="null3"/>
      </w:pPr>
      <w:r>
        <w:rPr>
          <w:rFonts w:ascii="仿宋_GB2312" w:hAnsi="仿宋_GB2312" w:cs="仿宋_GB2312" w:eastAsia="仿宋_GB2312"/>
        </w:rPr>
        <w:t>联系电话：15877581528</w:t>
      </w:r>
    </w:p>
    <w:p>
      <w:pPr>
        <w:pStyle w:val="null3"/>
      </w:pPr>
      <w:r>
        <w:rPr>
          <w:rFonts w:ascii="仿宋_GB2312" w:hAnsi="仿宋_GB2312" w:cs="仿宋_GB2312" w:eastAsia="仿宋_GB2312"/>
        </w:rPr>
        <w:t>地址：榆阳区交通局</w:t>
      </w:r>
    </w:p>
    <w:p>
      <w:pPr>
        <w:pStyle w:val="null3"/>
      </w:pPr>
      <w:r>
        <w:rPr>
          <w:rFonts w:ascii="仿宋_GB2312" w:hAnsi="仿宋_GB2312" w:cs="仿宋_GB2312" w:eastAsia="仿宋_GB2312"/>
        </w:rPr>
        <w:t>邮编：719000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项目起于红石桥镇北头，与现有巴小路顺接，沿旧路布设途经红石桥镇、杨窑湾、王连圪堵村，止于王连圪堵水库，路线全长12.278公里。本项目投资估算5144万元，建设资金由省配套和区财政解决。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493,050.00</w:t>
      </w:r>
    </w:p>
    <w:p>
      <w:pPr>
        <w:pStyle w:val="null3"/>
      </w:pPr>
      <w:r>
        <w:rPr>
          <w:rFonts w:ascii="仿宋_GB2312" w:hAnsi="仿宋_GB2312" w:cs="仿宋_GB2312" w:eastAsia="仿宋_GB2312"/>
        </w:rPr>
        <w:t>采购包最高限价（元）: 493,050.00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榆阳区巴小路（红石桥至王圪堵段） 改建工程项目重点保护陆生野生动物 重要栖息地和迁徙通道报告编制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493,050.00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标的名称：榆阳区巴小路（红石桥至王圪堵段） 改建工程项目重点保护陆生野生动物 重要栖息地和迁徙通道报告编制</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按采购需求执行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按采购需求执行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按采购需求执行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榆阳区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自主验收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一次性支付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协商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有效的主体资格证明文件</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和在本单位的社会保障资金缴纳证明。</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供应商提供上一年度至开标前已缴存的至少三个月的社会保障资金缴存单据或社保机构开具的社会保险参保缴费情况证明。依法不需要缴纳社会保障资金的供应商应提供相关文件证明。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供应商提供上一年度至开标前已缴纳的至少三个月的纳税证明或完税证明，纳税证明或完税证明上应有代收机构或税务机关的公章。依法免税的供应商应提供相关文件证明。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商业信誉</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1.响应文件语言 2.响应文件封面、投标函、法定代表人授权委托书三处的项目名称、项目编号、标段（如有） 3.响应文件签署、盖章 4.响应文件组成 5.响应文件有效期 6.开标一览表 7.技术服务要求 8.无其他磋商文件或法规明确规定响应无效的事项 9.合同条款响应</w:t>
            </w:r>
          </w:p>
        </w:tc>
        <w:tc>
          <w:tcPr>
            <w:tcW w:type="dxa" w:w="3322"/>
          </w:tcPr>
          <w:p>
            <w:pPr>
              <w:pStyle w:val="null3"/>
            </w:pPr>
            <w:r>
              <w:rPr>
                <w:rFonts w:ascii="仿宋_GB2312" w:hAnsi="仿宋_GB2312" w:cs="仿宋_GB2312" w:eastAsia="仿宋_GB2312"/>
              </w:rPr>
              <w:t>1.响应文件语言符合磋商文件要求。 2.三处均无遗漏，且与所投项目名称、项目编号、标段（如有）一致。 3.均按磋商文件要求盖章（评分标准中要求提供的证明材料除外）。 4.响应文件应包含以下内容： （1）资格证明文件； （2）符合性证明文件； （3）投标方案。 5.响应文件有效期符合磋商文件的要求。 6.（1）投标报价符合唯一性要求： （2）开标一览表填写符合要求； （3）计量单位、报价货币均符合磋商文件要求； （4）未超出采购预算或磋商文件规定的最高限价。 7.完全理解并接受对合格投标人、合格的服务要求，实质性要求没有负偏离。 8.没有不符合磋商文件规定的被视为无效响应的其他条款。 9.有完全理解并接受磋商文件合同基本条款要求的描述。</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1、拟派技术负责人具有林业（林草）类专业高级职称得2分,未提供不得分。 2、项目团队其他成员每有一人具有林业（林草）类专业高级及以上职称得2分 ，中级职称得1分， 未提供不得分 ，满分8分。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2021年12月1日以来（以合同时间为准）完成类似项目业绩，每提供一项得2分， 未提供不得分。满分8分。 注：响应文件中提供完整的合同复印件加盖供应商公章。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总体实施方案包括但不限于针对本技术服务各项内容的实际情况编制，技术规范能够严格执行现行的国家及行业规范、规程和强制性条文。包含服务思路、服务内容、服务依据、工作流程等项目需要的内容，有整体结构，切中关键问题。 1、方案非常完善可行性很高满足采购文件需求同时且优于采购人需求的得25分； 2、方案全面、详尽、完整、针对性强得23分； 3、方案全面较详尽、完整较可行，实施较便捷得20分； 4、方案内容基本完整、可行、专业，方案完善可行性基本满足采购人需求的得15分； 5、基于本项目现状、背景及采购人需求，方案内容简单的得10分。 6、方案内容不全面详尽、可行性不佳的得5分； 7、方案不满足需求的得3分； 8、未提供不得分。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服务项目进度控制措施</w:t>
            </w:r>
          </w:p>
        </w:tc>
        <w:tc>
          <w:tcPr>
            <w:tcW w:type="dxa" w:w="2492"/>
          </w:tcPr>
          <w:p>
            <w:pPr>
              <w:pStyle w:val="null3"/>
            </w:pPr>
            <w:r>
              <w:rPr>
                <w:rFonts w:ascii="仿宋_GB2312" w:hAnsi="仿宋_GB2312" w:cs="仿宋_GB2312" w:eastAsia="仿宋_GB2312"/>
              </w:rPr>
              <w:t>1、服务项目进度安排、工作计划及相关措施。明显优于采购需求的得13分， 2、服务项目进度安排、工作计划及相关措施科学、合理得10分； 3、服务项目进度安排、工作计划及相关措施基本满足采购需要的得8分； 4、服务项目进度安排、工作计划及相关措施相关措施较合理、实时性较强得5分； 5、措施简单但不影响项目实施的得3分； 6、未提供不得分。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项目重点难点分析、应对措施及相关的合理化建议</w:t>
            </w:r>
          </w:p>
        </w:tc>
        <w:tc>
          <w:tcPr>
            <w:tcW w:type="dxa" w:w="2492"/>
          </w:tcPr>
          <w:p>
            <w:pPr>
              <w:pStyle w:val="null3"/>
            </w:pPr>
            <w:r>
              <w:rPr>
                <w:rFonts w:ascii="仿宋_GB2312" w:hAnsi="仿宋_GB2312" w:cs="仿宋_GB2312" w:eastAsia="仿宋_GB2312"/>
              </w:rPr>
              <w:t>1、项目重点难点分析、应对措施及相关的合理化建议，内容完整准确，思路清晰，贴合实际情况的得10分； 2、项目重点难点分析、应对措施及相关的合理化建议，内容基本完整准确，思路相对清晰，比较贴合实际情况的得8分； 3、项目重点难点分析、应对措施及相关的合理化建议，内容较详细，思路一般得6分；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1、确保成果报告准确的质量保证措施，保证报告的权威性、真实性、准确性，符合相关行业的标准要求。明显优于相关行业标准的得10分； 2、质量保证措施内容完整详尽，责任制度明确、可行性强得8分； 3、质量保证措施内容无缺漏能满足项目需求的得7分； 4、质量保证措施基本符合项目需求的得5分； 5、质量保证措施不完整但不影响项目实施的得3分； 6、未提供不得分。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1、根据项目管理组织架构、内部分工和职责等情况进行打分。组织架构设置合理、内部分工和职责明确的得6分， 2、组织架构设置合理、内部分工和职责不够明确的得3分， 3、未提供不得分。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供应商提供的服务承诺应说明向采购人提供的各项服务内容、质量标准、保密措施、后续服务承诺。以上4项承诺完整提供的得8分，不能完整提供或未提供不得分。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满足磋商文件要求且最后磋商报价最低的供应商的价格为磋商基准价，其价格分为满分。其他供应商的价格分按照下列公式计算：磋商报价得分=（磋商基准价/最后磋商报价）×10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详见附件：法定代表人授权委托书.docx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详见附件：巴小路鸟评合同（模板）.docx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