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版本号：YYZFCG竞争性磋商（2025）82号.1B120250912001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榆阳区党员干部远程教育学习站点网络服务项目(二次)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YYZFCG竞争性磋商（2025）82号.1B1</w:t>
      </w:r>
      <w:r>
        <w:br/>
      </w:r>
      <w:r>
        <w:br/>
      </w:r>
      <w:r>
        <w:br/>
      </w:r>
    </w:p>
    <w:p>
      <w:pPr>
        <w:pStyle w:val="null3"/>
        <w:jc w:val="center"/>
        <w:outlineLvl w:val="2"/>
      </w:pPr>
      <w:r>
        <w:rPr>
          <w:rFonts w:ascii="仿宋_GB2312" w:hAnsi="仿宋_GB2312" w:cs="仿宋_GB2312" w:eastAsia="仿宋_GB2312"/>
          <w:sz w:val="28"/>
          <w:b/>
        </w:rPr>
        <w:t>中共榆林市榆阳区委组织部</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中共榆林市榆阳区委组织部</w:t>
      </w:r>
      <w:r>
        <w:rPr>
          <w:rFonts w:ascii="仿宋_GB2312" w:hAnsi="仿宋_GB2312" w:cs="仿宋_GB2312" w:eastAsia="仿宋_GB2312"/>
        </w:rPr>
        <w:t>委托，拟对</w:t>
      </w:r>
      <w:r>
        <w:rPr>
          <w:rFonts w:ascii="仿宋_GB2312" w:hAnsi="仿宋_GB2312" w:cs="仿宋_GB2312" w:eastAsia="仿宋_GB2312"/>
        </w:rPr>
        <w:t>榆阳区党员干部远程教育学习站点网络服务项目(二次)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YYZFCG竞争性磋商（2025）82号.1B1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榆阳区党员干部远程教育学习站点网络服务项目(二次)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主体资格证明：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 </w:t>
      </w:r>
    </w:p>
    <w:p>
      <w:pPr>
        <w:pStyle w:val="null3"/>
      </w:pPr>
      <w:r>
        <w:rPr>
          <w:rFonts w:ascii="仿宋_GB2312" w:hAnsi="仿宋_GB2312" w:cs="仿宋_GB2312" w:eastAsia="仿宋_GB2312"/>
        </w:rPr>
        <w:t>2、有效法人授权：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 xml:space="preserve">3、财务状况报告：供应商提供2024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 </w:t>
      </w:r>
    </w:p>
    <w:p>
      <w:pPr>
        <w:pStyle w:val="null3"/>
      </w:pPr>
      <w:r>
        <w:rPr>
          <w:rFonts w:ascii="仿宋_GB2312" w:hAnsi="仿宋_GB2312" w:cs="仿宋_GB2312" w:eastAsia="仿宋_GB2312"/>
        </w:rPr>
        <w:t xml:space="preserve">4、社会保障资金缴纳证明：供应商提供2025年1月至开标前已缴存的至少一个月的社会保障资金缴存单据或社保机构开具的社会保险参保缴费情况证明。依法不需要缴纳社会保障资金的供应商应提供相关文件证明。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 xml:space="preserve">5、税收缴纳证明：供应商提供2025年1月至开标前已缴纳的至少一个月的纳税证明或完税证明，纳税证明或完税证明上应有代收机构或税务机关的公章。依法免税的供应商应提供相关文件证明。 </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7、电信业务经营资质：供应商须具备有效的《中华人民共和国增值电信业务经营许可证》，且业务种类必须明确包含互联网接入服务业务 。若供应商为分支机构参与投标，应额外提供所属法人或总公司出具的针对本项目的授权文件，以及法人或总公司的相关资质证明文件，确保其具备合法的投标及服务实施资格。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中共榆林市榆阳区委组织部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榆林市上郡北路13号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中共榆林市榆阳区委组织部经办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17729281899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采购包1：407,164.00元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中共榆林市榆阳区委组织部</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中共榆林市榆阳区委组织部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中共榆林市榆阳区委组织部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现有453个党员远程教育网络学习站点，为进一步加强榆阳区党员干部队伍建设，推动党员干部教育培训常态化、制度化、规范化，特规划本党员干部远程教育项目，通过政府采购引入专业力量，以网络接入和维护服务为核心，搭建覆盖广泛、稳定高效的党员干部远程教育平台，为党员干部提供丰富的学习资源和便捷的学习渠道。 一、项目目标 1.强化党性教育：借助远程教育平台，系统开展党的理论、路线、方针、政策学习，增强党员干部的 “四个意识”、坚定 “四个自信”、做到 “两个维护”。 2.提升综合能力：针对党员干部的工作需求，提供涵盖业务知识、领导能力、法律法规、应急管理等方面的培训内容，全面提升党员干部的综合素质和履职能力。 3.实现全员覆盖：通过网络接入服务，打破地域限制，实现网络覆盖全区村、社区，让不同地区、不同岗位的党员干部都能便捷地参与学习，确保党员干部教育培训全覆盖、无遗漏。 4.保障学习顺畅：以高效的网络维护服务为支撑，确保网络稳定运行，同时提供点播回看功能，保障党员干部学习的连续性和有效性，提高培训效率，避免形式主义，确保学习取得实效。 二、项目内容 1.网络接入服务：实现网络覆盖全区所有村、社区，确保每个村、社区的党员干部都能通过稳定的网络接入远程教育平台。网络接入需满足远程教育对带宽、稳定性等方面的要求，保障视频直播、点播等功能的顺畅运行。 2.网络维护服务：建立快速的故障响应机制，当网络出现故障时，维护人员需在规定时间内到达现场进行处理，故障维护时效不超过 24 小时。定期对网络设备进行巡检和维护，及时发现和排除潜在故障，确保网络设备的正常运行。同时，对网络性能进行监测和优化，保障网络的稳定性和传输速度。 3.运营与服务保障：建立专业的运营管理团队，负责平台的日常维护、课程更新、用户管理、技术支持等工作。定期对平台运行情况进行监测和评估，及时发现和解决问题，确保平台正常运行。 三、项目实施周期与进度安排 1.项目筹备阶段（1-2 个月）：完成项目需求调研、方案设计、供应商招标等工作，确定项目实施团队和合作单位。重点对全区村、社区的网络现状进行调研，制定详细的网络接入方案。 2.网络接入与平台优化阶段（3-4 个月）：按照网络接入方案，完成全区村、社区的网络接入工作，并对远程教育平台的点播回看等功能进行优化和测试。同步开展课程资源的开发、整合和上线工作。 3.试运行阶段（1 个月）：组织部分村、社区的党员干部进行平台试运行，重点测试网络的稳定性、故障维护的及时性以及点播回看功能的有效性，收集用户反馈意见，对网络和平台进行优化和完善。 4.正式运营阶段（长期）：项目正式投入使用，持续提供网络维护服务，保障网络的稳定运行。同时，进行课程更新、运营管理和服务保障工作，根据党员干部的学习需求和反馈情况，不断提升项目质量。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407,164.00</w:t>
      </w:r>
    </w:p>
    <w:p>
      <w:pPr>
        <w:pStyle w:val="null3"/>
      </w:pPr>
      <w:r>
        <w:rPr>
          <w:rFonts w:ascii="仿宋_GB2312" w:hAnsi="仿宋_GB2312" w:cs="仿宋_GB2312" w:eastAsia="仿宋_GB2312"/>
        </w:rPr>
        <w:t>采购包最高限价（元）: 407,164.00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终端站点网络接入及维护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407,164.00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标的名称：终端站点网络接入及维护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党员远程教育接入宽带：采用PON接入方式，提供非对称速率、动态IP地址；高上行速率：50M ,下行速率：500M；提供IPV4/IPV6双栈接入服务。453条。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党员远程教育接入设备：机顶盒及遥控器。10套。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项目涉及单位</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本项目预算价为一年价格，合同一年一签，共三年，按年支付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基本资格条件承诺函.docx 服务内容及服务邀请应答表 特殊资格证明文件.docx 中小企业声明函 信用承诺书.docx 商务应答表 供应商应提交的相关资格证明材料 报价表 资格证明文件.docx 响应文件封面 供应商认为有利于中标的其他情况说明.docx 残疾人福利性单位声明函 服务方案 标的清单 符合性证明文件.docx 法定代表人授权委托书.docx 响应函 实质性条款要求.docx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基本资格条件承诺函.docx 服务内容及服务邀请应答表 特殊资格证明文件.docx 中小企业声明函 信用承诺书.docx 商务应答表 供应商应提交的相关资格证明材料 报价表 资格证明文件.docx 响应文件封面 供应商认为有利于中标的其他情况说明.docx 残疾人福利性单位声明函 服务方案 标的清单 符合性证明文件.docx 响应函 法定代表人授权委托书.docx 实质性条款要求.docx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 xml:space="preserve">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 </w:t>
            </w:r>
          </w:p>
        </w:tc>
        <w:tc>
          <w:tcPr>
            <w:tcW w:type="dxa" w:w="1661"/>
          </w:tcPr>
          <w:p>
            <w:pPr>
              <w:pStyle w:val="null3"/>
            </w:pPr>
            <w:r>
              <w:rPr>
                <w:rFonts w:ascii="仿宋_GB2312" w:hAnsi="仿宋_GB2312" w:cs="仿宋_GB2312" w:eastAsia="仿宋_GB2312"/>
              </w:rPr>
              <w:t>基本资格条件承诺函.docx 特殊资格证明文件.docx 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有效法人授权</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基本资格条件承诺函.docx 特殊资格证明文件.docx 供应商应提交的相关资格证明材料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供应商提供2024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 </w:t>
            </w:r>
          </w:p>
        </w:tc>
        <w:tc>
          <w:tcPr>
            <w:tcW w:type="dxa" w:w="1661"/>
          </w:tcPr>
          <w:p>
            <w:pPr>
              <w:pStyle w:val="null3"/>
            </w:pPr>
            <w:r>
              <w:rPr>
                <w:rFonts w:ascii="仿宋_GB2312" w:hAnsi="仿宋_GB2312" w:cs="仿宋_GB2312" w:eastAsia="仿宋_GB2312"/>
              </w:rPr>
              <w:t>特殊资格证明文件.docx 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供应商提供2025年1月至开标前已缴存的至少一个月的社会保障资金缴存单据或社保机构开具的社会保险参保缴费情况证明。依法不需要缴纳社会保障资金的供应商应提供相关文件证明。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特殊资格证明文件.docx 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供应商提供2025年1月至开标前已缴纳的至少一个月的纳税证明或完税证明，纳税证明或完税证明上应有代收机构或税务机关的公章。依法免税的供应商应提供相关文件证明。 </w:t>
            </w:r>
          </w:p>
        </w:tc>
        <w:tc>
          <w:tcPr>
            <w:tcW w:type="dxa" w:w="1661"/>
          </w:tcPr>
          <w:p>
            <w:pPr>
              <w:pStyle w:val="null3"/>
            </w:pPr>
            <w:r>
              <w:rPr>
                <w:rFonts w:ascii="仿宋_GB2312" w:hAnsi="仿宋_GB2312" w:cs="仿宋_GB2312" w:eastAsia="仿宋_GB2312"/>
              </w:rPr>
              <w:t>特殊资格证明文件.docx 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基本资格条件承诺函.docx 特殊资格证明文件.docx 信用承诺书.docx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电信业务经营资质</w:t>
            </w:r>
          </w:p>
        </w:tc>
        <w:tc>
          <w:tcPr>
            <w:tcW w:type="dxa" w:w="3322"/>
          </w:tcPr>
          <w:p>
            <w:pPr>
              <w:pStyle w:val="null3"/>
            </w:pPr>
            <w:r>
              <w:rPr>
                <w:rFonts w:ascii="仿宋_GB2312" w:hAnsi="仿宋_GB2312" w:cs="仿宋_GB2312" w:eastAsia="仿宋_GB2312"/>
              </w:rPr>
              <w:t>供应商须具备有效的《中华人民共和国增值电信业务经营许可证》，且业务种类必须明确包含互联网接入服务业务 。若供应商为分支机构参与投标，应额外提供所属法人或总公司出具的针对本项目的授权文件，以及法人或总公司的相关资质证明文件，确保其具备合法的投标及服务实施资格。</w:t>
            </w:r>
          </w:p>
        </w:tc>
        <w:tc>
          <w:tcPr>
            <w:tcW w:type="dxa" w:w="1661"/>
          </w:tcPr>
          <w:p>
            <w:pPr>
              <w:pStyle w:val="null3"/>
            </w:pPr>
            <w:r>
              <w:rPr>
                <w:rFonts w:ascii="仿宋_GB2312" w:hAnsi="仿宋_GB2312" w:cs="仿宋_GB2312" w:eastAsia="仿宋_GB2312"/>
              </w:rPr>
              <w:t>特殊资格证明文件.docx 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 响应文件语言 响应文件语言符合磋商文件要求。 2 响应文件封面、投标函、法定代表人授权委托书三处的项目名称、项目编号、标段（如有） 三处均无遗漏，且与所投项目名称、项目编号、标段（如有）一致。 3 响应文件签署、盖章 均按磋商文件要求盖章（评分标准中要求提供的证明材料除外）。 4 响应文件组成 响应文件应包含以下内容： （1）资格证明文件； （2）符合性证明文件； （3）投标方案。 5 响应文件有效期 响应文件有效期符合磋商文件的要求。 6 开标一览表 （1）投标报价符合唯一性要求： （2）开标一览表填写符合要求； （3）计量单位、报价货币均符合磋商文件要求； （4）未超出采购预算或磋商文件规定的最高限价。 7 技术服务要求 完全理解并接受对合格投标人、合格的服务要求，实质性要求没有负偏离。 8 无其他磋商文件或法规明确规定响应无效的事项 没有不符合磋商文件规定的被视为无效响应的其他条款。 9 合同条款响应 有完全理解并接受磋商文件合同基本条款要求的描述。</w:t>
            </w:r>
          </w:p>
        </w:tc>
        <w:tc>
          <w:tcPr>
            <w:tcW w:type="dxa" w:w="1661"/>
          </w:tcPr>
          <w:p>
            <w:pPr>
              <w:pStyle w:val="null3"/>
            </w:pPr>
            <w:r>
              <w:rPr>
                <w:rFonts w:ascii="仿宋_GB2312" w:hAnsi="仿宋_GB2312" w:cs="仿宋_GB2312" w:eastAsia="仿宋_GB2312"/>
              </w:rPr>
              <w:t>符合性证明文件.docx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供应商针对本项目提出总体服务方案，服务方案内容应全面无缺漏，其中（1）有组网方案、技术原理、传输设备对接开通详细说明得6分，不详细不完整得3分；（2）有安装调试、项目进度安排、链路测试验收方案详细说明得6分，不详细不完整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信用承诺书.docx</w:t>
            </w:r>
          </w:p>
          <w:p>
            <w:pPr>
              <w:pStyle w:val="null3"/>
            </w:pPr>
            <w:r>
              <w:rPr>
                <w:rFonts w:ascii="仿宋_GB2312" w:hAnsi="仿宋_GB2312" w:cs="仿宋_GB2312" w:eastAsia="仿宋_GB2312"/>
              </w:rPr>
              <w:t>法定代表人授权委托书.docx</w:t>
            </w:r>
          </w:p>
          <w:p>
            <w:pPr>
              <w:pStyle w:val="null3"/>
            </w:pPr>
            <w:r>
              <w:rPr>
                <w:rFonts w:ascii="仿宋_GB2312" w:hAnsi="仿宋_GB2312" w:cs="仿宋_GB2312" w:eastAsia="仿宋_GB2312"/>
              </w:rPr>
              <w:t>供应商认为有利于中标的其他情况说明.docx</w:t>
            </w:r>
          </w:p>
          <w:p>
            <w:pPr>
              <w:pStyle w:val="null3"/>
            </w:pPr>
            <w:r>
              <w:rPr>
                <w:rFonts w:ascii="仿宋_GB2312" w:hAnsi="仿宋_GB2312" w:cs="仿宋_GB2312" w:eastAsia="仿宋_GB2312"/>
              </w:rPr>
              <w:t>基本资格条件承诺函.docx</w:t>
            </w:r>
          </w:p>
          <w:p>
            <w:pPr>
              <w:pStyle w:val="null3"/>
            </w:pPr>
            <w:r>
              <w:rPr>
                <w:rFonts w:ascii="仿宋_GB2312" w:hAnsi="仿宋_GB2312" w:cs="仿宋_GB2312" w:eastAsia="仿宋_GB2312"/>
              </w:rPr>
              <w:t>实质性条款要求.docx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特殊资格证明文件.docx</w:t>
            </w:r>
          </w:p>
          <w:p>
            <w:pPr>
              <w:pStyle w:val="null3"/>
            </w:pPr>
            <w:r>
              <w:rPr>
                <w:rFonts w:ascii="仿宋_GB2312" w:hAnsi="仿宋_GB2312" w:cs="仿宋_GB2312" w:eastAsia="仿宋_GB2312"/>
              </w:rPr>
              <w:t>符合性证明文件.docx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1、项目负责人具备本科及以上学历得 4 分；项目负责人具备专科及以下学历得 2 分。须提供相关学历证书，未提供不得分；2、供应商拟派本项目团队人员应满足采购人需要并且分工合理、职责明确，其中有团队组织架构、各部门成员构成及职责、团队协作机制详细说明得6分，不详细不完整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w:t>
            </w:r>
          </w:p>
        </w:tc>
        <w:tc>
          <w:tcPr>
            <w:tcW w:type="dxa" w:w="2492"/>
          </w:tcPr>
          <w:p>
            <w:pPr>
              <w:pStyle w:val="null3"/>
            </w:pPr>
            <w:r>
              <w:rPr>
                <w:rFonts w:ascii="仿宋_GB2312" w:hAnsi="仿宋_GB2312" w:cs="仿宋_GB2312" w:eastAsia="仿宋_GB2312"/>
              </w:rPr>
              <w:t>供应商针对本项目提供管理方案，具有明确的管理制度，其中（1）有进度管理制度、质量管理制度、成本管理制度、安全管理制度、合同管理制度、资料管理制度详细说明得3分，不详细不完整得1分；（2）有人员工作考核制度详细说明得1分，不详细不完整不得分；（3）有项目风险管理包括风险识别、风险评估、风险应对措施、风险监控详细说明得2分，不详细不完整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针对应急响应及突发事件有具体可行的应急措施和解决方案及承 诺，能够保障网络线路数据传输的不间断，其中有应急响应机制、线路应急措施、突发事件应急处理措施、应急保障措施、应急处理承诺详细说明得5分，不详细不完整得2分。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出安全保障措施，确保项目实施期间无安全事故，其中有施工安全保障措施、网络安全保障措施、设备材料安全保障措施、数据安全保障措施、应急安全保障措施详细说明得10分，不详细不完整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供应商针对本项目提出总体售后服务方案，售后服务方案内容应全面无缺漏，其中有售后服务能力、投入售合服务人员配置情况、日常维护、故障响应及应对措施详细说明得8分，不详细不完整得4分。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针对各供应商通信保障服务措施的合理性、详细程度、可行性进行赋分，其中有通信保障总体架构、通信保障措施、日常运维管理保障详细说明得8分，不详细不完整得4分。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线路的故障诊断、故障恢复及维护管理方案</w:t>
            </w:r>
          </w:p>
        </w:tc>
        <w:tc>
          <w:tcPr>
            <w:tcW w:type="dxa" w:w="2492"/>
          </w:tcPr>
          <w:p>
            <w:pPr>
              <w:pStyle w:val="null3"/>
            </w:pPr>
            <w:r>
              <w:rPr>
                <w:rFonts w:ascii="仿宋_GB2312" w:hAnsi="仿宋_GB2312" w:cs="仿宋_GB2312" w:eastAsia="仿宋_GB2312"/>
              </w:rPr>
              <w:t>针对各供应商提供线路的故障诊断、故障恢复及维护管理方案的合理性、详细程度、可行性进行赋分，其中有故障诊断方案、故障恢复方案、维护管理方案、应急维护方案、维护优化方案详细说明得5分，不详细不完整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供应商针对本项目提供详细维护方案，其中有维护组织架构与职责、维护计划与安排、维护工具与技术支持、维护质量保证措施详细说明得5分，不详细不完整得2分。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供应商制定的安全保密措施科学合理、全面可行，有线路安全保密措施、人员安全管理、应急响应与灾难恢复详细说明得6分，不详细不完整得2分。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 2022 年6 月至今（以合同签订日期为准）类似项目业绩；每提供 1 份计 1 分，最高得 5 分。业绩证明（以合同或中标通知书为准，须在投标文件中附以上证明材料的扫描件加盖单位公章）弄虚作假者，取消其中标资格。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1.满足招标文件实质性要求且最终报价最低的供应商的价格为基准价，其价格分为满分20 分。 2.报价得分=（基准价/投标报价） × 20 的公式计算得分。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详见附件：信用承诺书.docx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详见附件：供应商认为有利于中标的其他情况说明.docx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详见附件：实质性条款要求.docx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详见附件：特殊资格证明文件.docx</w:t>
      </w:r>
    </w:p>
    <w:p>
      <w:pPr>
        <w:pStyle w:val="null3"/>
        <w:ind w:firstLine="960"/>
      </w:pPr>
      <w:r>
        <w:rPr>
          <w:rFonts w:ascii="仿宋_GB2312" w:hAnsi="仿宋_GB2312" w:cs="仿宋_GB2312" w:eastAsia="仿宋_GB2312"/>
        </w:rPr>
        <w:t>详见附件：符合性证明文件.docx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