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府谷火车站孤山川大桥建设工程影响高石崖站水文监测分析评价报告编制</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府谷火车站孤山川大桥建设工程影响高石崖站水文监测分析评价报告编制</w:t>
      </w:r>
    </w:p>
    <w:p>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采购项目预算：740539.00元</w:t>
      </w:r>
    </w:p>
    <w:p>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谈判</w:t>
      </w:r>
    </w:p>
    <w:p>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eastAsia="宋体" w:cs="宋体"/>
          <w:color w:val="auto"/>
          <w:sz w:val="28"/>
          <w:szCs w:val="36"/>
          <w:highlight w:val="none"/>
          <w:lang w:val="en-US" w:eastAsia="zh-CN"/>
        </w:rPr>
        <w:t>服务期限：</w:t>
      </w:r>
      <w:r>
        <w:rPr>
          <w:rFonts w:hint="eastAsia" w:ascii="宋体" w:hAnsi="宋体" w:cs="宋体"/>
          <w:color w:val="auto"/>
          <w:sz w:val="28"/>
          <w:szCs w:val="36"/>
          <w:highlight w:val="none"/>
          <w:lang w:val="en-US" w:eastAsia="zh-CN"/>
        </w:rPr>
        <w:t>60日历天</w:t>
      </w:r>
      <w:r>
        <w:rPr>
          <w:rFonts w:hint="eastAsia" w:ascii="宋体" w:hAnsi="宋体" w:eastAsia="宋体" w:cs="宋体"/>
          <w:color w:val="auto"/>
          <w:sz w:val="28"/>
          <w:szCs w:val="36"/>
          <w:highlight w:val="none"/>
          <w:lang w:val="en-US" w:eastAsia="zh-CN"/>
        </w:rPr>
        <w:t>。</w:t>
      </w:r>
    </w:p>
    <w:p>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项目地址：府谷县孤山川。</w:t>
      </w:r>
    </w:p>
    <w:p>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p>
    <w:p>
      <w:pPr>
        <w:numPr>
          <w:ilvl w:val="0"/>
          <w:numId w:val="0"/>
        </w:numPr>
        <w:spacing w:line="360" w:lineRule="auto"/>
        <w:rPr>
          <w:rFonts w:hint="eastAsia" w:ascii="宋体" w:hAnsi="宋体" w:eastAsia="宋体" w:cs="宋体"/>
          <w:color w:val="auto"/>
          <w:sz w:val="28"/>
          <w:szCs w:val="36"/>
          <w:lang w:val="en-US" w:eastAsia="zh-CN"/>
        </w:rPr>
      </w:pPr>
      <w:r>
        <w:rPr>
          <w:rFonts w:hint="eastAsia" w:ascii="宋体" w:hAnsi="宋体" w:cs="宋体"/>
          <w:b w:val="0"/>
          <w:bCs w:val="0"/>
          <w:color w:val="auto"/>
          <w:sz w:val="28"/>
          <w:szCs w:val="36"/>
          <w:lang w:val="en-US" w:eastAsia="zh-CN"/>
        </w:rPr>
        <w:t>府谷火车站孤山川大桥建设工程影响高石崖站水文监测分析评价报告编制</w:t>
      </w:r>
      <w:r>
        <w:rPr>
          <w:rFonts w:hint="eastAsia" w:ascii="宋体" w:hAnsi="宋体" w:eastAsia="宋体" w:cs="宋体"/>
          <w:color w:val="auto"/>
          <w:sz w:val="28"/>
          <w:szCs w:val="36"/>
          <w:lang w:val="en-US" w:eastAsia="zh-CN"/>
        </w:rPr>
        <w:t>。</w:t>
      </w:r>
    </w:p>
    <w:p>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pPr>
        <w:rPr>
          <w:rFonts w:hint="eastAsia" w:ascii="宋体" w:hAnsi="宋体" w:eastAsia="宋体" w:cs="宋体"/>
          <w:sz w:val="52"/>
          <w:szCs w:val="52"/>
        </w:rPr>
      </w:pPr>
      <w:r>
        <w:rPr>
          <w:rFonts w:hint="eastAsia" w:ascii="宋体" w:hAnsi="宋体" w:eastAsia="宋体" w:cs="宋体"/>
          <w:sz w:val="52"/>
          <w:szCs w:val="52"/>
        </w:rPr>
        <w:br w:type="page"/>
      </w:r>
    </w:p>
    <w:p>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府谷火车站孤山川大桥建设工程影响高石崖站水文监测分析评价报告编制工程</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府谷火车站孤山川大桥建设工程影响高石崖站水文监测分析评价报告编制</w:t>
      </w:r>
      <w:r>
        <w:rPr>
          <w:rFonts w:hint="eastAsia" w:ascii="宋体" w:hAnsi="宋体" w:eastAsia="宋体" w:cs="宋体"/>
          <w:snapToGrid w:val="0"/>
          <w:color w:val="auto"/>
          <w:kern w:val="0"/>
          <w:sz w:val="28"/>
          <w:szCs w:val="28"/>
        </w:rPr>
        <w:t>”承办达成合同如下：</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合同签订后支付50%预付款，提供分析报告，经审计完成后拨付剩余工程款。</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pPr>
        <w:pStyle w:val="2"/>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pPr>
        <w:spacing w:line="360" w:lineRule="auto"/>
        <w:ind w:firstLine="240" w:firstLineChars="100"/>
        <w:rPr>
          <w:rFonts w:hint="eastAsia" w:ascii="宋体" w:hAnsi="宋体" w:eastAsia="宋体" w:cs="宋体"/>
          <w:color w:val="auto"/>
          <w:sz w:val="24"/>
          <w:szCs w:val="24"/>
        </w:rPr>
      </w:pPr>
    </w:p>
    <w:p>
      <w:pPr>
        <w:adjustRightInd w:val="0"/>
        <w:snapToGrid w:val="0"/>
        <w:spacing w:line="360" w:lineRule="auto"/>
        <w:ind w:firstLine="560" w:firstLineChars="200"/>
        <w:rPr>
          <w:rFonts w:hint="eastAsia" w:ascii="宋体" w:hAnsi="宋体" w:eastAsia="宋体" w:cs="宋体"/>
          <w:color w:val="auto"/>
          <w:sz w:val="28"/>
          <w:szCs w:val="28"/>
        </w:rPr>
      </w:pP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pPr>
        <w:pStyle w:val="4"/>
        <w:rPr>
          <w:rFonts w:hint="eastAsia"/>
        </w:rPr>
      </w:pP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pPr>
        <w:spacing w:line="360" w:lineRule="auto"/>
        <w:ind w:firstLine="3360" w:firstLineChars="1400"/>
        <w:rPr>
          <w:rFonts w:hint="eastAsia" w:ascii="宋体" w:hAnsi="宋体" w:eastAsia="宋体" w:cs="宋体"/>
          <w:color w:val="auto"/>
          <w:sz w:val="24"/>
          <w:szCs w:val="24"/>
        </w:rPr>
      </w:pPr>
    </w:p>
    <w:p>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pPr>
        <w:spacing w:line="360" w:lineRule="auto"/>
        <w:ind w:firstLine="3840" w:firstLineChars="1600"/>
        <w:rPr>
          <w:rFonts w:hint="eastAsia" w:ascii="宋体" w:hAnsi="宋体" w:eastAsia="宋体" w:cs="宋体"/>
          <w:color w:val="auto"/>
          <w:sz w:val="24"/>
          <w:szCs w:val="24"/>
        </w:rPr>
      </w:pPr>
    </w:p>
    <w:p>
      <w:pPr>
        <w:pStyle w:val="3"/>
        <w:rPr>
          <w:rFonts w:hint="eastAsia" w:ascii="宋体" w:hAnsi="宋体" w:eastAsia="宋体" w:cs="宋体"/>
          <w:color w:val="auto"/>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spacing w:line="360" w:lineRule="auto"/>
        <w:ind w:firstLine="560" w:firstLineChars="200"/>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验收主体：府谷县住房和城乡建设局 </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pPr>
        <w:shd w:val="clear"/>
        <w:spacing w:line="360" w:lineRule="auto"/>
        <w:ind w:firstLine="560" w:firstLineChars="200"/>
        <w:rPr>
          <w:rFonts w:hint="eastAsia" w:ascii="宋体" w:hAnsi="宋体" w:eastAsia="宋体" w:cs="宋体"/>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合同签订后支付50%预付款，提供分析报告，经审计完成后拨付剩余工程款。</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1、采购单位：府谷县住房和城乡建设局</w:t>
      </w:r>
    </w:p>
    <w:p>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2、采购单位地址：陕西省榆林市府谷县金世纪大楼东辅楼B座</w:t>
      </w:r>
    </w:p>
    <w:p>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郭工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0912-</w:t>
      </w:r>
      <w:r>
        <w:rPr>
          <w:rFonts w:hint="eastAsia" w:ascii="宋体" w:hAnsi="宋体" w:eastAsia="宋体" w:cs="宋体"/>
          <w:kern w:val="2"/>
          <w:sz w:val="28"/>
          <w:szCs w:val="28"/>
          <w:lang w:val="en-US" w:eastAsia="zh-CN" w:bidi="ar-SA"/>
        </w:rPr>
        <w:t>8720593</w:t>
      </w:r>
    </w:p>
    <w:p>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府谷县住房和城乡建设局</w:t>
      </w:r>
    </w:p>
    <w:p>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2023年</w:t>
      </w:r>
      <w:r>
        <w:rPr>
          <w:rFonts w:hint="eastAsia" w:ascii="宋体" w:hAnsi="宋体" w:cs="宋体"/>
          <w:kern w:val="2"/>
          <w:sz w:val="28"/>
          <w:szCs w:val="28"/>
          <w:lang w:val="en-US" w:eastAsia="zh-CN" w:bidi="ar-SA"/>
        </w:rPr>
        <w:t>12</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w:t>
      </w:r>
      <w:bookmarkStart w:id="6" w:name="_GoBack"/>
      <w:bookmarkEnd w:id="6"/>
      <w:r>
        <w:rPr>
          <w:rFonts w:hint="eastAsia" w:ascii="宋体" w:hAnsi="宋体" w:cs="宋体"/>
          <w:kern w:val="2"/>
          <w:sz w:val="28"/>
          <w:szCs w:val="28"/>
          <w:lang w:val="en-US" w:eastAsia="zh-CN" w:bidi="ar-SA"/>
        </w:rPr>
        <w:t>8</w:t>
      </w:r>
      <w:r>
        <w:rPr>
          <w:rFonts w:hint="eastAsia" w:ascii="宋体" w:hAnsi="宋体" w:eastAsia="宋体" w:cs="宋体"/>
          <w:kern w:val="2"/>
          <w:sz w:val="28"/>
          <w:szCs w:val="28"/>
          <w:lang w:val="en-US" w:eastAsia="zh-CN" w:bidi="ar-SA"/>
        </w:rPr>
        <w:t>日</w:t>
      </w:r>
    </w:p>
    <w:p>
      <w:pPr>
        <w:rPr>
          <w:rFonts w:hint="eastAsia" w:ascii="宋体" w:hAnsi="宋体" w:eastAsia="宋体" w:cs="宋体"/>
        </w:rPr>
      </w:pPr>
    </w:p>
    <w:p/>
    <w:p/>
    <w:p/>
    <w:p/>
    <w:p/>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ZTNmNTkwMjBkZWUxNzU4MDI2NThhMzQ4ODVmNDMifQ=="/>
  </w:docVars>
  <w:rsids>
    <w:rsidRoot w:val="17335238"/>
    <w:rsid w:val="09E36A17"/>
    <w:rsid w:val="0AA55524"/>
    <w:rsid w:val="0D0C53E6"/>
    <w:rsid w:val="14187330"/>
    <w:rsid w:val="156A35F2"/>
    <w:rsid w:val="17335238"/>
    <w:rsid w:val="1F136AA8"/>
    <w:rsid w:val="20CE2C87"/>
    <w:rsid w:val="2F8F1C84"/>
    <w:rsid w:val="32A14B14"/>
    <w:rsid w:val="388A34DF"/>
    <w:rsid w:val="3A750BFE"/>
    <w:rsid w:val="40D7128C"/>
    <w:rsid w:val="4B840262"/>
    <w:rsid w:val="4BBC5C4E"/>
    <w:rsid w:val="52377DDC"/>
    <w:rsid w:val="59C562A9"/>
    <w:rsid w:val="5B0B62AA"/>
    <w:rsid w:val="5B13515F"/>
    <w:rsid w:val="5CD32DF8"/>
    <w:rsid w:val="5FFC2665"/>
    <w:rsid w:val="6DCA5B51"/>
    <w:rsid w:val="6F8F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2023-11-30T08:59:00Z</dcterms:created>
  <dc:creator>从何说起</dc:creator>
  <cp:lastModifiedBy>阿莉</cp:lastModifiedBy>
  <dcterms:modified xsi:type="dcterms:W3CDTF">2023-12-18T08:04:19Z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6403F9BACD804CC7A2C87CBC708FE720_11</vt:lpwstr>
  </property>
</Properties>
</file>