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  <w:t>府谷县财政局第三方</w:t>
      </w:r>
    </w:p>
    <w:p>
      <w:pPr>
        <w:jc w:val="center"/>
        <w:rPr>
          <w:rFonts w:hint="eastAsia" w:ascii="仿宋" w:hAnsi="仿宋" w:eastAsia="仿宋" w:cs="仿宋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  <w:t>拍卖服务机构项目需求文件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一、服务项目名称：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府谷县财政局第三方拍卖服务机构项目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二、服务项目预算、资金构成和服务方式：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1、服务项目预算：（见上传附件）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2、资金来源：财政拨款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3、服务方式：公开招标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三、项目实施时间、地点、工程概况、履行期限及方式：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240" w:lineRule="auto"/>
        <w:textAlignment w:val="auto"/>
        <w:rPr>
          <w:rFonts w:hint="default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1、项目实施时间：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服务期：二年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240" w:lineRule="auto"/>
        <w:textAlignment w:val="auto"/>
        <w:rPr>
          <w:rFonts w:hint="default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2、项目实施地点：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服务人指定地点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3、项目概况：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根据《行政事业性国有资产</w:t>
      </w:r>
      <w:r>
        <w:rPr>
          <w:rFonts w:hint="default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管理条例》（国务院令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第738</w:t>
      </w:r>
      <w:r>
        <w:rPr>
          <w:rFonts w:hint="default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号）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、《行政单位国</w:t>
      </w:r>
      <w:r>
        <w:rPr>
          <w:rFonts w:hint="default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有资产管理暂行办法》（财政部令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第</w:t>
      </w:r>
      <w:r>
        <w:rPr>
          <w:rFonts w:hint="default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35号）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《事业单位国有资产管理暂行办法》（财政部令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第</w:t>
      </w:r>
      <w:r>
        <w:rPr>
          <w:rFonts w:hint="default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default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号）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和《陕西省行政事业单位国有资产管理实施办法》</w:t>
      </w:r>
      <w:r>
        <w:rPr>
          <w:rFonts w:hint="default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（陕财办资〔20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23</w:t>
      </w:r>
      <w:r>
        <w:rPr>
          <w:rFonts w:hint="default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〕1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11</w:t>
      </w:r>
      <w:r>
        <w:rPr>
          <w:rFonts w:hint="default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号）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等规定，拟对今后2年内大额资产处置需经第三方拍卖机构公开处置。经研究决定，现需向社会公开招标第三方拍卖服务机构。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四、合同模板：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 xml:space="preserve">甲方（客户方）：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 xml:space="preserve">乙方（服务方）：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根据《中华人民共和国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民法典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 xml:space="preserve">》、《采购法》及其他有关法律、法规，遵循平等、自愿、公平和诚信的原则，双方就下述项目范围与相关服务事项协商一致，订立本合同。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  <w:t xml:space="preserve">一、 </w:t>
      </w: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  <w:lang w:val="en-US" w:eastAsia="zh-CN"/>
        </w:rPr>
        <w:t>服务</w:t>
      </w: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 xml:space="preserve">  1、见下表</w:t>
      </w:r>
    </w:p>
    <w:tbl>
      <w:tblPr>
        <w:tblStyle w:val="8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5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5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24"/>
                <w:szCs w:val="24"/>
                <w:lang w:val="en-US" w:eastAsia="zh-CN"/>
              </w:rPr>
              <w:t>资产拍卖</w:t>
            </w:r>
          </w:p>
        </w:tc>
        <w:tc>
          <w:tcPr>
            <w:tcW w:w="5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3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32"/>
                <w:sz w:val="24"/>
                <w:szCs w:val="24"/>
              </w:rPr>
            </w:pPr>
          </w:p>
        </w:tc>
        <w:tc>
          <w:tcPr>
            <w:tcW w:w="5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3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2、如果乙方在工作中因自身过错而发生任何错误或遗漏，乙方应无条件更正，而不另外收费，并对因此而对甲方造成的损失承担赔偿责任。若因甲方原因造成工作的延误，将由甲方承担相应的损失。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  <w:t>二、 服务费的支付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snapToGrid w:val="0"/>
          <w:color w:val="auto"/>
          <w:kern w:val="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结算方式：见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采购第三方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拍卖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服务机构的具体要求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  <w:t>三、 争议处理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甲乙双方如对协议条款规定的理解有异议，或者对与协议有关的事项发生争议，双方应本着友好合作的精神进行协商。协商不能解决的，任何一方可向仲裁委员会提起仲裁。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  <w:t>、 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1、本合同中所用的标题仅为方便而设，而不影响对本合同的解释。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2、本合同未尽事宜，由甲乙双方协商后产生书面文件，作为本合同的补充条款，具备与本合同同等法律效力。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甲方（签章）                            乙方（签章）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代表签字：                              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地点：                                  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日期：                                  日期：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五、对供应商的要求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1、在中华人民共和国境内注册的，具有独立法人资格的供应商；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5、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有依法缴纳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instrText xml:space="preserve">HYPERLINK "http://www.so.com/s?q=%E7%A8%8E%E6%94%B6&amp;ie=utf-8&amp;src=internal_wenda_recommend_textn" \t "https://wenda.so.com/q/_blank" </w:instrTex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税收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和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instrText xml:space="preserve">HYPERLINK "http://www.so.com/s?q=%E7%A4%BE%E4%BC%9A%E4%BF%9D%E9%9A%9C%E8%B5%84%E9%87%91&amp;ie=utf-8&amp;src=internal_wenda_recommend_textn" \t "https://wenda.so.com/q/_blank" </w:instrTex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社会保障资金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6、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参加政府采购活动前三年内，在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instrText xml:space="preserve">HYPERLINK "http://www.so.com/s?q=%E7%BB%8F%E8%90%A5%E6%B4%BB%E5%8A%A8&amp;ie=utf-8&amp;src=internal_wenda_recommend_textn" \t "https://wenda.so.com/q/_blank" </w:instrTex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经营活动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7、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法律、行政法规规定的其他条件。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240" w:lineRule="auto"/>
        <w:textAlignment w:val="auto"/>
        <w:rPr>
          <w:rFonts w:hint="default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付款方式：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签订合同后，按照规定完</w:t>
      </w:r>
      <w:bookmarkStart w:id="0" w:name="_GoBack"/>
      <w:bookmarkEnd w:id="0"/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成拍卖项目，一次性付清。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七、服务单位、服务单位地址、项目联系人及联系电话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1、服务单位：府谷县财政局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2、服务单位地址：府谷县财税中心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3、项目联系人：王维       联系电话：09128734099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firstLine="5760" w:firstLineChars="2400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firstLine="5760" w:firstLineChars="2400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NTQ5NDJiYTJjMTMzY2I4ZGU0OTc2MjVjOGZjNmQifQ=="/>
  </w:docVars>
  <w:rsids>
    <w:rsidRoot w:val="0BA62149"/>
    <w:rsid w:val="0089072F"/>
    <w:rsid w:val="05167E8D"/>
    <w:rsid w:val="08CE1B86"/>
    <w:rsid w:val="08F22630"/>
    <w:rsid w:val="0AFF2040"/>
    <w:rsid w:val="0BA62149"/>
    <w:rsid w:val="0BE57961"/>
    <w:rsid w:val="0DD95C10"/>
    <w:rsid w:val="12AF3DC1"/>
    <w:rsid w:val="18D06104"/>
    <w:rsid w:val="1E741A32"/>
    <w:rsid w:val="309520D2"/>
    <w:rsid w:val="32352BCE"/>
    <w:rsid w:val="32736B57"/>
    <w:rsid w:val="343F2506"/>
    <w:rsid w:val="34D06D46"/>
    <w:rsid w:val="363500D6"/>
    <w:rsid w:val="3A87368A"/>
    <w:rsid w:val="3B715517"/>
    <w:rsid w:val="3D9B0810"/>
    <w:rsid w:val="3DCB3446"/>
    <w:rsid w:val="3E67796F"/>
    <w:rsid w:val="3EAB1CA9"/>
    <w:rsid w:val="3FD137DE"/>
    <w:rsid w:val="487A2378"/>
    <w:rsid w:val="495674B8"/>
    <w:rsid w:val="4DB00BF4"/>
    <w:rsid w:val="4EC61873"/>
    <w:rsid w:val="50990CF8"/>
    <w:rsid w:val="58557B6D"/>
    <w:rsid w:val="59F60964"/>
    <w:rsid w:val="5AF15B05"/>
    <w:rsid w:val="5C567C66"/>
    <w:rsid w:val="637A1FC2"/>
    <w:rsid w:val="638515C0"/>
    <w:rsid w:val="63CE320B"/>
    <w:rsid w:val="64E71A85"/>
    <w:rsid w:val="6C7F6931"/>
    <w:rsid w:val="6CD076F2"/>
    <w:rsid w:val="6D090D00"/>
    <w:rsid w:val="738203BA"/>
    <w:rsid w:val="75FB0083"/>
    <w:rsid w:val="78F461CB"/>
    <w:rsid w:val="7E276FBD"/>
    <w:rsid w:val="7FB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5">
    <w:name w:val="Body Text Indent"/>
    <w:basedOn w:val="1"/>
    <w:qFormat/>
    <w:uiPriority w:val="0"/>
    <w:pPr>
      <w:ind w:left="1083" w:leftChars="30" w:hanging="1020" w:hangingChars="425"/>
    </w:pPr>
    <w:rPr>
      <w:rFonts w:ascii="宋体" w:hAnsi="宋体"/>
      <w:sz w:val="24"/>
    </w:rPr>
  </w:style>
  <w:style w:type="paragraph" w:styleId="6">
    <w:name w:val="Body Text First Indent"/>
    <w:basedOn w:val="4"/>
    <w:autoRedefine/>
    <w:qFormat/>
    <w:uiPriority w:val="0"/>
    <w:pPr>
      <w:adjustRightInd w:val="0"/>
      <w:ind w:firstLine="420"/>
      <w:jc w:val="left"/>
      <w:textAlignment w:val="baseline"/>
    </w:pPr>
    <w:rPr>
      <w:kern w:val="0"/>
      <w:sz w:val="21"/>
    </w:rPr>
  </w:style>
  <w:style w:type="paragraph" w:styleId="7">
    <w:name w:val="Body Text First Indent 2"/>
    <w:basedOn w:val="5"/>
    <w:next w:val="6"/>
    <w:autoRedefine/>
    <w:unhideWhenUsed/>
    <w:qFormat/>
    <w:uiPriority w:val="99"/>
    <w:pPr>
      <w:ind w:firstLine="420" w:firstLineChars="200"/>
    </w:pPr>
  </w:style>
  <w:style w:type="paragraph" w:customStyle="1" w:styleId="10">
    <w:name w:val="正文缩进1"/>
    <w:basedOn w:val="1"/>
    <w:qFormat/>
    <w:uiPriority w:val="0"/>
    <w:pPr>
      <w:ind w:firstLine="420" w:firstLineChars="200"/>
    </w:pPr>
  </w:style>
  <w:style w:type="character" w:customStyle="1" w:styleId="11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1459</Words>
  <Characters>1523</Characters>
  <Lines>0</Lines>
  <Paragraphs>0</Paragraphs>
  <TotalTime>3</TotalTime>
  <ScaleCrop>false</ScaleCrop>
  <LinksUpToDate>false</LinksUpToDate>
  <CharactersWithSpaces>1685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2022-08-01T01:46:00Z</dcterms:created>
  <dc:creator>暖暖</dc:creator>
  <cp:lastModifiedBy>王   维</cp:lastModifiedBy>
  <cp:lastPrinted>2023-12-07T05:57:00Z</cp:lastPrinted>
  <dcterms:modified xsi:type="dcterms:W3CDTF">2024-01-02T01:10:07Z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FEE8F2F653BD47DAA3A5B566A112E6B4_13</vt:lpwstr>
  </property>
</Properties>
</file>