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采购项目编号：SCZK2023-CS-2693/001</w:t>
      </w:r>
    </w:p>
    <w:p>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靖边县经开区重点项目沿线裸露沙土绿化工程项目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pPr>
        <w:pStyle w:val="23"/>
        <w:rPr>
          <w:rFonts w:hint="eastAsia" w:ascii="仿宋" w:hAnsi="仿宋" w:eastAsia="仿宋" w:cs="仿宋"/>
          <w:b/>
          <w:bCs/>
          <w:sz w:val="30"/>
          <w:szCs w:val="30"/>
        </w:rPr>
      </w:pPr>
    </w:p>
    <w:p>
      <w:pPr>
        <w:pStyle w:val="23"/>
        <w:rPr>
          <w:rFonts w:hint="eastAsia"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rPr>
        <w:t>二</w:t>
      </w:r>
      <w:r>
        <w:rPr>
          <w:rFonts w:hint="eastAsia" w:ascii="仿宋" w:hAnsi="仿宋" w:eastAsia="仿宋" w:cs="仿宋"/>
          <w:b/>
          <w:bCs/>
          <w:sz w:val="30"/>
          <w:szCs w:val="30"/>
          <w:lang w:eastAsia="zh-CN"/>
        </w:rPr>
        <w:t>四</w:t>
      </w:r>
      <w:r>
        <w:rPr>
          <w:rFonts w:hint="eastAsia" w:ascii="仿宋" w:hAnsi="仿宋" w:eastAsia="仿宋" w:cs="仿宋"/>
          <w:b/>
          <w:bCs/>
          <w:sz w:val="30"/>
          <w:szCs w:val="30"/>
          <w:lang w:val="zh-CN"/>
        </w:rPr>
        <w:t>年一月</w:t>
      </w:r>
    </w:p>
    <w:p>
      <w:pPr>
        <w:rPr>
          <w:rFonts w:hint="eastAsia" w:ascii="仿宋" w:hAnsi="仿宋" w:eastAsia="仿宋" w:cs="仿宋"/>
          <w:b/>
          <w:sz w:val="32"/>
          <w:szCs w:val="32"/>
        </w:rPr>
      </w:pPr>
      <w:r>
        <w:rPr>
          <w:rFonts w:hint="eastAsia" w:ascii="仿宋" w:hAnsi="仿宋" w:eastAsia="仿宋" w:cs="仿宋"/>
          <w:b/>
          <w:sz w:val="32"/>
          <w:szCs w:val="32"/>
        </w:rPr>
        <w:br w:type="page"/>
      </w:r>
    </w:p>
    <w:p>
      <w:pPr>
        <w:pStyle w:val="5"/>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61"/>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pPr>
        <w:rPr>
          <w:rFonts w:hint="eastAsia" w:ascii="仿宋" w:hAnsi="仿宋" w:eastAsia="仿宋" w:cs="仿宋"/>
          <w:szCs w:val="20"/>
        </w:rPr>
      </w:pPr>
      <w:r>
        <w:rPr>
          <w:rFonts w:hint="eastAsia" w:ascii="仿宋" w:hAnsi="仿宋" w:eastAsia="仿宋" w:cs="仿宋"/>
          <w:szCs w:val="20"/>
        </w:rPr>
        <w:br w:type="page"/>
      </w:r>
    </w:p>
    <w:p>
      <w:pPr>
        <w:pStyle w:val="23"/>
        <w:rPr>
          <w:rFonts w:hint="eastAsia" w:ascii="仿宋" w:hAnsi="仿宋" w:eastAsia="仿宋" w:cs="仿宋"/>
        </w:rPr>
        <w:sectPr>
          <w:headerReference r:id="rId3" w:type="first"/>
          <w:footerReference r:id="rId5" w:type="first"/>
          <w:footerReference r:id="rId4" w:type="default"/>
          <w:pgSz w:w="11906" w:h="16838"/>
          <w:pgMar w:top="1440" w:right="1800" w:bottom="1440" w:left="1800" w:header="851" w:footer="992" w:gutter="0"/>
          <w:cols w:space="720" w:num="1"/>
          <w:titlePg/>
          <w:docGrid w:linePitch="312" w:charSpace="0"/>
        </w:sectPr>
      </w:pPr>
    </w:p>
    <w:p>
      <w:pPr>
        <w:pStyle w:val="46"/>
        <w:spacing w:line="360" w:lineRule="auto"/>
        <w:rPr>
          <w:rStyle w:val="208"/>
          <w:rFonts w:hint="eastAsia" w:ascii="仿宋" w:hAnsi="仿宋" w:eastAsia="仿宋" w:cs="仿宋"/>
          <w:sz w:val="36"/>
          <w:szCs w:val="36"/>
        </w:rPr>
      </w:pPr>
      <w:bookmarkStart w:id="0" w:name="_Toc58504445"/>
      <w:bookmarkStart w:id="1" w:name="_Toc415499894"/>
      <w:bookmarkStart w:id="2" w:name="_Toc21755"/>
      <w:bookmarkStart w:id="3" w:name="_Toc68590965"/>
      <w:bookmarkStart w:id="4" w:name="_Toc492955413"/>
      <w:bookmarkStart w:id="5" w:name="_Toc177189234"/>
      <w:bookmarkStart w:id="6" w:name="_Toc70687138"/>
      <w:bookmarkStart w:id="7" w:name="_Toc500747060"/>
      <w:bookmarkStart w:id="8" w:name="_Toc177817333"/>
      <w:bookmarkStart w:id="9" w:name="_Toc503063420"/>
      <w:bookmarkStart w:id="10" w:name="_Toc177995472"/>
      <w:bookmarkStart w:id="11" w:name="_Toc496324577"/>
      <w:bookmarkStart w:id="12" w:name="_Toc176882541"/>
      <w:bookmarkStart w:id="13" w:name="_Toc500746964"/>
      <w:bookmarkStart w:id="14" w:name="_Toc53722839"/>
      <w:bookmarkStart w:id="15" w:name="_Toc500747187"/>
      <w:bookmarkStart w:id="16" w:name="_Toc499711882"/>
      <w:bookmarkStart w:id="17" w:name="_Toc499711041"/>
      <w:bookmarkStart w:id="18" w:name="_Toc385992325"/>
      <w:bookmarkStart w:id="19" w:name="_Toc385992324"/>
      <w:r>
        <w:rPr>
          <w:rStyle w:val="208"/>
          <w:rFonts w:hint="eastAsia" w:ascii="仿宋" w:hAnsi="仿宋" w:eastAsia="仿宋" w:cs="仿宋"/>
          <w:sz w:val="36"/>
          <w:szCs w:val="36"/>
        </w:rPr>
        <w:t>第一章  磋商公告</w:t>
      </w:r>
      <w:bookmarkEnd w:id="0"/>
      <w:bookmarkEnd w:id="1"/>
      <w:bookmarkEnd w:id="2"/>
      <w:bookmarkEnd w:id="3"/>
    </w:p>
    <w:p>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靖边县经开区重点项目沿线裸露沙土绿化工程项目</w:t>
      </w:r>
      <w:r>
        <w:rPr>
          <w:rFonts w:hint="eastAsia" w:ascii="仿宋" w:hAnsi="仿宋" w:eastAsia="仿宋" w:cs="仿宋"/>
          <w:b/>
          <w:sz w:val="28"/>
          <w:szCs w:val="28"/>
        </w:rPr>
        <w:t>竞争性磋商公告</w:t>
      </w:r>
    </w:p>
    <w:p>
      <w:pPr>
        <w:pStyle w:val="9"/>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靖边县经开区重点项目沿线裸露沙土绿化工程项目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w:t>
      </w:r>
      <w:r>
        <w:rPr>
          <w:rFonts w:hint="eastAsia" w:ascii="仿宋" w:hAnsi="仿宋" w:eastAsia="仿宋" w:cs="仿宋"/>
          <w:highlight w:val="none"/>
          <w:u w:val="single"/>
          <w:shd w:val="clear" w:color="auto" w:fill="FFFFFF"/>
          <w:lang w:val="en-US" w:eastAsia="zh-CN"/>
        </w:rPr>
        <w:t>4</w:t>
      </w:r>
      <w:r>
        <w:rPr>
          <w:rFonts w:hint="eastAsia" w:ascii="仿宋" w:hAnsi="仿宋" w:eastAsia="仿宋" w:cs="仿宋"/>
          <w:highlight w:val="none"/>
          <w:u w:val="single"/>
          <w:shd w:val="clear" w:color="auto" w:fill="FFFFFF"/>
        </w:rPr>
        <w:t>年</w:t>
      </w:r>
      <w:r>
        <w:rPr>
          <w:rFonts w:hint="eastAsia" w:ascii="仿宋" w:hAnsi="仿宋" w:eastAsia="仿宋" w:cs="仿宋"/>
          <w:highlight w:val="none"/>
          <w:u w:val="single"/>
          <w:shd w:val="clear" w:color="auto" w:fill="FFFFFF"/>
          <w:lang w:val="en-US" w:eastAsia="zh-CN"/>
        </w:rPr>
        <w:t xml:space="preserve">  01</w:t>
      </w:r>
      <w:r>
        <w:rPr>
          <w:rFonts w:hint="eastAsia" w:ascii="仿宋" w:hAnsi="仿宋" w:eastAsia="仿宋" w:cs="仿宋"/>
          <w:highlight w:val="none"/>
          <w:u w:val="single"/>
          <w:shd w:val="clear" w:color="auto" w:fill="FFFFFF"/>
        </w:rPr>
        <w:t>月</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13</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SCZK2023-CS-2693/001</w:t>
      </w:r>
    </w:p>
    <w:p>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靖边县经开区重点项目沿线裸露沙土绿化工程项目</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w:t>
      </w:r>
      <w:r>
        <w:rPr>
          <w:rFonts w:hint="eastAsia" w:ascii="仿宋" w:hAnsi="仿宋" w:eastAsia="仿宋" w:cs="仿宋"/>
          <w:sz w:val="24"/>
          <w:lang w:val="en-US" w:eastAsia="zh-CN"/>
        </w:rPr>
        <w:t>1563657.93</w:t>
      </w:r>
      <w:r>
        <w:rPr>
          <w:rFonts w:hint="eastAsia" w:ascii="仿宋" w:hAnsi="仿宋" w:eastAsia="仿宋" w:cs="仿宋"/>
          <w:sz w:val="24"/>
        </w:rPr>
        <w:t>元</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合同包1（</w:t>
      </w:r>
      <w:r>
        <w:rPr>
          <w:rFonts w:hint="eastAsia" w:ascii="仿宋" w:hAnsi="仿宋" w:eastAsia="仿宋" w:cs="仿宋"/>
          <w:sz w:val="24"/>
          <w:u w:val="single"/>
          <w:lang w:eastAsia="zh-CN"/>
        </w:rPr>
        <w:t>靖边县经开区重点项目沿线裸露沙土绿化工程项目</w:t>
      </w:r>
      <w:r>
        <w:rPr>
          <w:rFonts w:hint="eastAsia" w:ascii="仿宋" w:hAnsi="仿宋" w:eastAsia="仿宋" w:cs="仿宋"/>
          <w:sz w:val="24"/>
        </w:rPr>
        <w:t xml:space="preserve">） </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w:t>
      </w:r>
      <w:r>
        <w:rPr>
          <w:rFonts w:hint="eastAsia" w:ascii="仿宋" w:hAnsi="仿宋" w:eastAsia="仿宋" w:cs="仿宋"/>
          <w:sz w:val="24"/>
          <w:lang w:val="en-US" w:eastAsia="zh-CN"/>
        </w:rPr>
        <w:t>1563657.93</w:t>
      </w:r>
      <w:r>
        <w:rPr>
          <w:rFonts w:hint="eastAsia" w:ascii="仿宋" w:hAnsi="仿宋" w:eastAsia="仿宋" w:cs="仿宋"/>
          <w:sz w:val="24"/>
        </w:rPr>
        <w:t>元</w:t>
      </w:r>
    </w:p>
    <w:p>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lang w:val="en-US" w:eastAsia="zh-CN"/>
        </w:rPr>
        <w:t>合同包最高限价：1563657.93元</w:t>
      </w:r>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049"/>
        <w:gridCol w:w="1072"/>
        <w:gridCol w:w="1253"/>
        <w:gridCol w:w="1684"/>
        <w:gridCol w:w="1640"/>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vAlign w:val="center"/>
          </w:tcPr>
          <w:p>
            <w:pPr>
              <w:jc w:val="center"/>
              <w:rPr>
                <w:rFonts w:hint="eastAsia" w:ascii="仿宋" w:hAnsi="仿宋" w:eastAsia="仿宋" w:cs="仿宋"/>
                <w:b/>
                <w:sz w:val="24"/>
              </w:rPr>
            </w:pPr>
            <w:r>
              <w:rPr>
                <w:rFonts w:hint="eastAsia" w:ascii="仿宋" w:hAnsi="仿宋" w:eastAsia="仿宋" w:cs="仿宋"/>
                <w:b/>
                <w:sz w:val="24"/>
              </w:rPr>
              <w:t>品目号</w:t>
            </w:r>
          </w:p>
        </w:tc>
        <w:tc>
          <w:tcPr>
            <w:tcW w:w="1049" w:type="dxa"/>
            <w:vAlign w:val="center"/>
          </w:tcPr>
          <w:p>
            <w:pPr>
              <w:jc w:val="center"/>
              <w:rPr>
                <w:rFonts w:hint="eastAsia" w:ascii="仿宋" w:hAnsi="仿宋" w:eastAsia="仿宋" w:cs="仿宋"/>
                <w:b/>
                <w:sz w:val="24"/>
              </w:rPr>
            </w:pPr>
            <w:r>
              <w:rPr>
                <w:rFonts w:hint="eastAsia" w:ascii="仿宋" w:hAnsi="仿宋" w:eastAsia="仿宋" w:cs="仿宋"/>
                <w:b/>
                <w:sz w:val="24"/>
              </w:rPr>
              <w:t>品目名称</w:t>
            </w:r>
          </w:p>
        </w:tc>
        <w:tc>
          <w:tcPr>
            <w:tcW w:w="1072" w:type="dxa"/>
            <w:vAlign w:val="center"/>
          </w:tcPr>
          <w:p>
            <w:pPr>
              <w:jc w:val="center"/>
              <w:rPr>
                <w:rFonts w:hint="eastAsia" w:ascii="仿宋" w:hAnsi="仿宋" w:eastAsia="仿宋" w:cs="仿宋"/>
                <w:b/>
                <w:sz w:val="24"/>
              </w:rPr>
            </w:pPr>
            <w:r>
              <w:rPr>
                <w:rFonts w:hint="eastAsia" w:ascii="仿宋" w:hAnsi="仿宋" w:eastAsia="仿宋" w:cs="仿宋"/>
                <w:b/>
                <w:sz w:val="24"/>
              </w:rPr>
              <w:t>采购标的</w:t>
            </w:r>
          </w:p>
        </w:tc>
        <w:tc>
          <w:tcPr>
            <w:tcW w:w="1253" w:type="dxa"/>
            <w:vAlign w:val="center"/>
          </w:tcPr>
          <w:p>
            <w:pPr>
              <w:jc w:val="center"/>
              <w:rPr>
                <w:rFonts w:hint="eastAsia" w:ascii="仿宋" w:hAnsi="仿宋" w:eastAsia="仿宋" w:cs="仿宋"/>
                <w:b/>
                <w:sz w:val="24"/>
              </w:rPr>
            </w:pPr>
            <w:r>
              <w:rPr>
                <w:rFonts w:hint="eastAsia" w:ascii="仿宋" w:hAnsi="仿宋" w:eastAsia="仿宋" w:cs="仿宋"/>
                <w:b/>
                <w:sz w:val="24"/>
              </w:rPr>
              <w:t>数量</w:t>
            </w:r>
          </w:p>
          <w:p>
            <w:pPr>
              <w:jc w:val="center"/>
              <w:rPr>
                <w:rFonts w:hint="eastAsia" w:ascii="仿宋" w:hAnsi="仿宋" w:eastAsia="仿宋" w:cs="仿宋"/>
                <w:b/>
                <w:sz w:val="24"/>
              </w:rPr>
            </w:pPr>
            <w:r>
              <w:rPr>
                <w:rFonts w:hint="eastAsia" w:ascii="仿宋" w:hAnsi="仿宋" w:eastAsia="仿宋" w:cs="仿宋"/>
                <w:b/>
                <w:sz w:val="24"/>
              </w:rPr>
              <w:t>（单位）</w:t>
            </w:r>
          </w:p>
        </w:tc>
        <w:tc>
          <w:tcPr>
            <w:tcW w:w="1684" w:type="dxa"/>
            <w:vAlign w:val="center"/>
          </w:tcPr>
          <w:p>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40" w:type="dxa"/>
            <w:vAlign w:val="center"/>
          </w:tcPr>
          <w:p>
            <w:pPr>
              <w:jc w:val="center"/>
              <w:rPr>
                <w:rFonts w:hint="eastAsia" w:ascii="仿宋" w:hAnsi="仿宋" w:eastAsia="仿宋" w:cs="仿宋"/>
                <w:b/>
                <w:sz w:val="24"/>
              </w:rPr>
            </w:pPr>
            <w:r>
              <w:rPr>
                <w:rFonts w:hint="eastAsia" w:ascii="仿宋" w:hAnsi="仿宋" w:eastAsia="仿宋" w:cs="仿宋"/>
                <w:b/>
                <w:sz w:val="24"/>
              </w:rPr>
              <w:t>品目预算（元）</w:t>
            </w:r>
          </w:p>
        </w:tc>
        <w:tc>
          <w:tcPr>
            <w:tcW w:w="1640" w:type="dxa"/>
            <w:vAlign w:val="center"/>
          </w:tcPr>
          <w:p>
            <w:pPr>
              <w:jc w:val="center"/>
              <w:rPr>
                <w:rFonts w:hint="eastAsia" w:ascii="仿宋" w:hAnsi="仿宋" w:eastAsia="仿宋" w:cs="仿宋"/>
                <w:b/>
                <w:sz w:val="24"/>
              </w:rPr>
            </w:pPr>
            <w:r>
              <w:rPr>
                <w:rFonts w:hint="eastAsia" w:ascii="仿宋" w:hAnsi="仿宋" w:eastAsia="仿宋" w:cs="仿宋"/>
                <w:b/>
                <w:sz w:val="24"/>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8" w:type="dxa"/>
            <w:vAlign w:val="center"/>
          </w:tcPr>
          <w:p>
            <w:pPr>
              <w:jc w:val="center"/>
              <w:rPr>
                <w:rFonts w:hint="eastAsia" w:ascii="仿宋" w:hAnsi="仿宋" w:eastAsia="仿宋" w:cs="仿宋"/>
                <w:sz w:val="24"/>
              </w:rPr>
            </w:pPr>
            <w:r>
              <w:rPr>
                <w:rFonts w:hint="eastAsia" w:ascii="仿宋" w:hAnsi="仿宋" w:eastAsia="仿宋" w:cs="仿宋"/>
                <w:sz w:val="24"/>
              </w:rPr>
              <w:t>1-1</w:t>
            </w:r>
          </w:p>
        </w:tc>
        <w:tc>
          <w:tcPr>
            <w:tcW w:w="1049" w:type="dxa"/>
            <w:vAlign w:val="center"/>
          </w:tcPr>
          <w:p>
            <w:pPr>
              <w:jc w:val="center"/>
              <w:rPr>
                <w:rFonts w:hint="eastAsia" w:ascii="仿宋" w:hAnsi="仿宋" w:eastAsia="仿宋" w:cs="仿宋"/>
                <w:sz w:val="24"/>
              </w:rPr>
            </w:pPr>
            <w:r>
              <w:rPr>
                <w:rFonts w:hint="eastAsia" w:ascii="仿宋" w:hAnsi="仿宋" w:eastAsia="仿宋" w:cs="仿宋"/>
                <w:sz w:val="24"/>
              </w:rPr>
              <w:t>土地绿化工程施工</w:t>
            </w:r>
          </w:p>
        </w:tc>
        <w:tc>
          <w:tcPr>
            <w:tcW w:w="1072" w:type="dxa"/>
            <w:vAlign w:val="center"/>
          </w:tcPr>
          <w:p>
            <w:pPr>
              <w:jc w:val="center"/>
              <w:rPr>
                <w:rFonts w:hint="eastAsia" w:ascii="仿宋" w:hAnsi="仿宋" w:eastAsia="仿宋" w:cs="仿宋"/>
                <w:sz w:val="24"/>
              </w:rPr>
            </w:pPr>
            <w:r>
              <w:rPr>
                <w:rFonts w:hint="eastAsia" w:ascii="仿宋" w:hAnsi="仿宋" w:eastAsia="仿宋" w:cs="仿宋"/>
                <w:sz w:val="24"/>
              </w:rPr>
              <w:t>1563657.93</w:t>
            </w:r>
          </w:p>
        </w:tc>
        <w:tc>
          <w:tcPr>
            <w:tcW w:w="1253" w:type="dxa"/>
            <w:vAlign w:val="center"/>
          </w:tcPr>
          <w:p>
            <w:pPr>
              <w:jc w:val="center"/>
              <w:rPr>
                <w:rFonts w:hint="eastAsia" w:ascii="仿宋" w:hAnsi="仿宋" w:eastAsia="仿宋" w:cs="仿宋"/>
                <w:sz w:val="24"/>
              </w:rPr>
            </w:pPr>
            <w:r>
              <w:rPr>
                <w:rFonts w:hint="eastAsia" w:ascii="仿宋" w:hAnsi="仿宋" w:eastAsia="仿宋" w:cs="仿宋"/>
                <w:sz w:val="24"/>
              </w:rPr>
              <w:t>1（项）</w:t>
            </w:r>
          </w:p>
        </w:tc>
        <w:tc>
          <w:tcPr>
            <w:tcW w:w="1684" w:type="dxa"/>
            <w:vAlign w:val="center"/>
          </w:tcPr>
          <w:p>
            <w:pPr>
              <w:jc w:val="center"/>
              <w:rPr>
                <w:rFonts w:hint="eastAsia" w:ascii="仿宋" w:hAnsi="仿宋" w:eastAsia="仿宋" w:cs="仿宋"/>
                <w:sz w:val="24"/>
              </w:rPr>
            </w:pPr>
            <w:r>
              <w:rPr>
                <w:rFonts w:hint="eastAsia" w:ascii="仿宋" w:hAnsi="仿宋" w:eastAsia="仿宋" w:cs="仿宋"/>
                <w:sz w:val="24"/>
              </w:rPr>
              <w:t>详见竞争性磋商文件</w:t>
            </w:r>
          </w:p>
        </w:tc>
        <w:tc>
          <w:tcPr>
            <w:tcW w:w="1640" w:type="dxa"/>
            <w:vAlign w:val="center"/>
          </w:tcPr>
          <w:p>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1563657.93</w:t>
            </w:r>
          </w:p>
        </w:tc>
        <w:tc>
          <w:tcPr>
            <w:tcW w:w="1640" w:type="dxa"/>
            <w:vAlign w:val="center"/>
          </w:tcPr>
          <w:p>
            <w:pPr>
              <w:jc w:val="center"/>
              <w:rPr>
                <w:rFonts w:hint="default" w:ascii="仿宋" w:hAnsi="仿宋" w:eastAsia="仿宋" w:cs="仿宋"/>
                <w:sz w:val="24"/>
                <w:lang w:val="en-US" w:eastAsia="zh-CN"/>
              </w:rPr>
            </w:pPr>
            <w:r>
              <w:rPr>
                <w:rFonts w:hint="eastAsia" w:ascii="仿宋" w:hAnsi="仿宋" w:eastAsia="仿宋" w:cs="仿宋"/>
                <w:sz w:val="24"/>
                <w:lang w:val="en-US" w:eastAsia="zh-CN"/>
              </w:rPr>
              <w:t>1563657.93</w:t>
            </w:r>
          </w:p>
        </w:tc>
      </w:tr>
    </w:tbl>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不接受</w:t>
      </w:r>
      <w:r>
        <w:rPr>
          <w:rFonts w:hint="eastAsia" w:ascii="仿宋" w:hAnsi="仿宋" w:eastAsia="仿宋" w:cs="仿宋"/>
          <w:sz w:val="24"/>
        </w:rPr>
        <w:t>联合体投标。</w:t>
      </w:r>
    </w:p>
    <w:p>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rPr>
        <w:t>合同履行期限</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合同签订后50天</w:t>
      </w:r>
      <w:r>
        <w:rPr>
          <w:rFonts w:hint="eastAsia" w:ascii="仿宋" w:hAnsi="仿宋" w:eastAsia="仿宋" w:cs="仿宋"/>
          <w:sz w:val="24"/>
          <w:highlight w:val="none"/>
        </w:rPr>
        <w:t>。</w:t>
      </w:r>
    </w:p>
    <w:p>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二、申请人的资格要求</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highlight w:val="none"/>
        </w:rPr>
        <w:t>1、满足《中华人民共和国政府采购法》第</w:t>
      </w:r>
      <w:r>
        <w:rPr>
          <w:rFonts w:hint="eastAsia" w:ascii="仿宋" w:hAnsi="仿宋" w:eastAsia="仿宋" w:cs="仿宋"/>
          <w:sz w:val="24"/>
        </w:rPr>
        <w:t>二十二条规定；</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本项目专门面向中小企业采购，供应商应按要求提供中小企业声明函或残疾人福利性单位声明函或监狱企业证明函。</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3.1、</w:t>
      </w:r>
      <w:r>
        <w:rPr>
          <w:rFonts w:hint="eastAsia" w:ascii="仿宋" w:hAnsi="仿宋" w:eastAsia="仿宋" w:cs="仿宋"/>
          <w:kern w:val="2"/>
          <w:sz w:val="24"/>
          <w:szCs w:val="24"/>
          <w:lang w:val="en-US" w:eastAsia="zh-CN" w:bidi="ar-SA"/>
        </w:rPr>
        <w:t>供应商在“信用中国”网站（www.creditchina.gov.cn）或（“中国执行信息公开网”网站（http://zxgk.court.gov.cn/shixin/））和中国政府采购网（www.ccgp.gov.cn）上未被列入失信被执行人、重大税收违法失信主体、政府采购严重违法失信行为记录名单（提供网站截图）；</w:t>
      </w:r>
    </w:p>
    <w:p>
      <w:pPr>
        <w:spacing w:line="520" w:lineRule="exact"/>
        <w:ind w:firstLine="480" w:firstLineChars="200"/>
        <w:rPr>
          <w:rFonts w:hint="eastAsia" w:ascii="仿宋" w:hAnsi="仿宋" w:eastAsia="仿宋" w:cs="仿宋"/>
          <w:sz w:val="24"/>
          <w:u w:val="none"/>
        </w:rPr>
      </w:pPr>
      <w:r>
        <w:rPr>
          <w:rFonts w:hint="eastAsia" w:ascii="仿宋" w:hAnsi="仿宋" w:eastAsia="仿宋" w:cs="仿宋"/>
          <w:sz w:val="24"/>
        </w:rPr>
        <w:t>3.2</w:t>
      </w:r>
      <w:r>
        <w:rPr>
          <w:rFonts w:hint="eastAsia" w:ascii="仿宋" w:hAnsi="仿宋" w:eastAsia="仿宋" w:cs="仿宋"/>
          <w:kern w:val="2"/>
          <w:sz w:val="24"/>
          <w:szCs w:val="24"/>
          <w:lang w:val="en-US" w:eastAsia="zh-CN" w:bidi="ar-SA"/>
        </w:rPr>
        <w:t>供应商</w:t>
      </w:r>
      <w:r>
        <w:rPr>
          <w:rFonts w:hint="eastAsia" w:ascii="仿宋" w:hAnsi="仿宋" w:eastAsia="仿宋" w:cs="仿宋"/>
          <w:sz w:val="24"/>
        </w:rPr>
        <w:t>须具有</w:t>
      </w:r>
      <w:r>
        <w:rPr>
          <w:rFonts w:hint="eastAsia" w:ascii="仿宋" w:hAnsi="仿宋" w:eastAsia="仿宋" w:cs="仿宋"/>
          <w:sz w:val="24"/>
          <w:u w:val="none"/>
        </w:rPr>
        <w:t>独立承担民事责任的能力（提供有效的营业执照或自然人的身份证明）；</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3.3</w:t>
      </w:r>
      <w:r>
        <w:rPr>
          <w:rFonts w:hint="eastAsia" w:ascii="仿宋" w:hAnsi="仿宋" w:eastAsia="仿宋" w:cs="仿宋"/>
          <w:kern w:val="2"/>
          <w:sz w:val="24"/>
          <w:szCs w:val="24"/>
          <w:lang w:val="en-US" w:eastAsia="zh-CN" w:bidi="ar-SA"/>
        </w:rPr>
        <w:t>供应商须具有良好的商业信誉和健全的财务会计制度（提供投标供应商2022年度经审计的财务报告复印件（包括资产负债表、现金流量表、利润表）或开标截止时间前任意三个月公司的财务报表或本年度基本开户银行出具的资信证明）；</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3.4有依法缴纳税收和社会保障资金的良好记录；</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r>
        <w:rPr>
          <w:rFonts w:hint="eastAsia" w:ascii="仿宋" w:hAnsi="仿宋" w:eastAsia="仿宋" w:cs="仿宋"/>
          <w:sz w:val="24"/>
        </w:rPr>
        <w:t>供应商应提供自磋商响应文件递交截止时间前近六个月中任何一个月缴税的凭证，时间以税款所属时期为准（银行出具的缴税凭证或税务机关出具的证明的复印件，并加盖本单位公章）</w:t>
      </w:r>
      <w:r>
        <w:rPr>
          <w:rFonts w:hint="eastAsia" w:ascii="仿宋" w:hAnsi="仿宋" w:eastAsia="仿宋" w:cs="仿宋"/>
          <w:kern w:val="2"/>
          <w:sz w:val="24"/>
          <w:szCs w:val="24"/>
          <w:lang w:val="en-US" w:eastAsia="zh-CN" w:bidi="ar-SA"/>
        </w:rPr>
        <w:t>，依法免税的供应商，应提供相应文件证明其依法免税；</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供应商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3.5具备履行合同所必需的设备和专业技术能力承诺书 </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3.6参加政府采购活动前三年内，在经营活动中没有重大违法记录（提供书面申明）；</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拟派项目负责人具备园林绿化相关专业中级及以上职称及在本企业近一年内连续三个月已缴存的社保缴费情况证明（其中五险一金任意一项即可）。依法不需要缴纳社会保障资金的应提供相关文件证明，且未担任其他在建工程项目的项目负责人。</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3.8投标人不得存在下列情形之一：</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pPr>
        <w:spacing w:line="520" w:lineRule="exact"/>
        <w:ind w:firstLine="480" w:firstLineChars="200"/>
        <w:rPr>
          <w:rFonts w:hint="eastAsia" w:ascii="仿宋" w:hAnsi="仿宋" w:eastAsia="仿宋" w:cs="仿宋"/>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3.9</w:t>
      </w:r>
      <w:r>
        <w:rPr>
          <w:rFonts w:hint="eastAsia" w:ascii="仿宋" w:hAnsi="仿宋" w:eastAsia="仿宋" w:cs="仿宋"/>
          <w:sz w:val="24"/>
        </w:rPr>
        <w:t>需</w:t>
      </w:r>
      <w:r>
        <w:rPr>
          <w:rFonts w:hint="eastAsia" w:ascii="仿宋" w:hAnsi="仿宋" w:eastAsia="仿宋" w:cs="仿宋"/>
          <w:sz w:val="24"/>
          <w:lang w:eastAsia="zh-CN"/>
        </w:rPr>
        <w:t>在全国公共资源交易中心平台（陕西省）（http://www.sxggzyjy.cn/）上免费获取招标文件</w:t>
      </w:r>
      <w:r>
        <w:rPr>
          <w:rFonts w:hint="eastAsia" w:ascii="仿宋" w:hAnsi="仿宋" w:eastAsia="仿宋" w:cs="仿宋"/>
          <w:sz w:val="24"/>
        </w:rPr>
        <w:t>，</w:t>
      </w:r>
      <w:r>
        <w:rPr>
          <w:rFonts w:hint="eastAsia" w:ascii="仿宋" w:hAnsi="仿宋" w:eastAsia="仿宋" w:cs="仿宋"/>
          <w:sz w:val="24"/>
          <w:lang w:eastAsia="zh-CN"/>
        </w:rPr>
        <w:t>未在指定渠道获取或已报名但未在规定时间内下载磋商</w:t>
      </w:r>
      <w:r>
        <w:rPr>
          <w:rFonts w:hint="eastAsia" w:ascii="仿宋" w:hAnsi="仿宋" w:eastAsia="仿宋" w:cs="仿宋"/>
          <w:sz w:val="24"/>
        </w:rPr>
        <w:t>文件的</w:t>
      </w:r>
      <w:r>
        <w:rPr>
          <w:rFonts w:hint="eastAsia" w:ascii="仿宋" w:hAnsi="仿宋" w:eastAsia="仿宋" w:cs="仿宋"/>
          <w:sz w:val="24"/>
          <w:lang w:eastAsia="zh-CN"/>
        </w:rPr>
        <w:t>投标人</w:t>
      </w:r>
      <w:r>
        <w:rPr>
          <w:rFonts w:hint="eastAsia" w:ascii="仿宋" w:hAnsi="仿宋" w:eastAsia="仿宋" w:cs="仿宋"/>
          <w:sz w:val="24"/>
        </w:rPr>
        <w:t>均无资格参加投标。</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三、获取采购文件</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01月09</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至 202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15</w:t>
      </w:r>
      <w:r>
        <w:rPr>
          <w:rFonts w:hint="eastAsia" w:ascii="仿宋" w:hAnsi="仿宋" w:eastAsia="仿宋" w:cs="仿宋"/>
          <w:sz w:val="24"/>
          <w:highlight w:val="none"/>
        </w:rPr>
        <w:t>日 ，每天上午 00:00:00 至 12:00:00 ，下午 12:00:00 至 23:59:00 （北京时间）</w:t>
      </w:r>
    </w:p>
    <w:p>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w:t>
      </w:r>
      <w:r>
        <w:rPr>
          <w:rFonts w:hint="eastAsia" w:ascii="仿宋" w:hAnsi="仿宋" w:eastAsia="仿宋" w:cs="仿宋"/>
          <w:sz w:val="24"/>
          <w:lang w:val="en-US" w:eastAsia="zh-CN"/>
        </w:rPr>
        <w:t>0</w:t>
      </w:r>
    </w:p>
    <w:p>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四、响应文件提交</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截止时间：202</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01月30日</w:t>
      </w:r>
      <w:r>
        <w:rPr>
          <w:rFonts w:hint="eastAsia" w:ascii="仿宋" w:hAnsi="仿宋" w:eastAsia="仿宋" w:cs="仿宋"/>
          <w:sz w:val="24"/>
          <w:lang w:val="en-US" w:eastAsia="zh-CN"/>
        </w:rPr>
        <w:t>13时30分00秒 （北京时间）</w:t>
      </w:r>
    </w:p>
    <w:p>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时间： 2024年01月30日13时30分00秒 （北京时间）</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地点：线上开启</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lang w:eastAsia="zh-CN"/>
        </w:rPr>
        <w:t>六</w:t>
      </w:r>
      <w:r>
        <w:rPr>
          <w:rFonts w:hint="eastAsia" w:ascii="仿宋" w:hAnsi="仿宋" w:eastAsia="仿宋" w:cs="仿宋"/>
          <w:sz w:val="24"/>
        </w:rPr>
        <w:t>、公告期限</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lang w:eastAsia="zh-CN"/>
        </w:rPr>
        <w:t>七</w:t>
      </w:r>
      <w:r>
        <w:rPr>
          <w:rFonts w:hint="eastAsia" w:ascii="仿宋" w:hAnsi="仿宋" w:eastAsia="仿宋" w:cs="仿宋"/>
          <w:sz w:val="24"/>
        </w:rPr>
        <w:t>、其他补充事宜</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1.4《财政部 国家发展改革委 信息产业部 关于印发无线局域网产品政府采购实施意见的通知》（财库〔2005〕366号）、《国家互联网信息办公室 工业和信息化部 公安部 财政部 国家认证认可监督管理委员会关于调整网络安全专用产品安全管理有关事项的公告》（2023年第1号）。</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1.5 《陕西省财政厅关于加快推进我省中小企业政府采购信用融资工作的通知》（陕财办采〔2020〕15 号）、陕西省财政厅关于印发《陕西省中小企业政府采购信用融资办法》（陕财办采〔2018〕23 号）</w:t>
      </w:r>
      <w:r>
        <w:rPr>
          <w:rFonts w:hint="eastAsia" w:ascii="仿宋" w:hAnsi="仿宋" w:eastAsia="仿宋" w:cs="仿宋"/>
          <w:sz w:val="24"/>
          <w:lang w:eastAsia="zh-CN"/>
        </w:rPr>
        <w:t>、</w:t>
      </w:r>
      <w:r>
        <w:rPr>
          <w:rFonts w:hint="eastAsia" w:ascii="仿宋" w:hAnsi="仿宋" w:eastAsia="仿宋" w:cs="仿宋"/>
          <w:sz w:val="24"/>
          <w:lang w:val="en-US" w:eastAsia="zh-CN"/>
        </w:rPr>
        <w:t>《榆林市财政局关于进一步加大政府采购支持中小企业力度的通知》（榆政财采发〔2022〕10号）。</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若享受以上政策优惠的企业，提供相应声明函或品目清单范围内产品的有效认证证书。</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w:t>
      </w:r>
      <w:r>
        <w:rPr>
          <w:rFonts w:hint="eastAsia" w:ascii="仿宋" w:hAnsi="仿宋" w:eastAsia="仿宋" w:cs="仿宋"/>
          <w:shd w:val="clear" w:color="auto" w:fill="FFFFFF"/>
        </w:rPr>
        <w:t>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CA锁购买：榆林市市民大厦三楼E18、E19窗口,联系电话：0912-3452148。</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4、请各投标供应商获取招标文件后，按照陕西省财政厅《关于政府采购供应商注册登记有关事项的通知》要求，通过陕西省政府采购网（http://www.ccgp-shaanxi.gov.cn/）注册登记加入陕西省政府采购供应商库。</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lang w:eastAsia="zh-CN"/>
        </w:rPr>
        <w:t>八</w:t>
      </w:r>
      <w:r>
        <w:rPr>
          <w:rFonts w:hint="eastAsia" w:ascii="仿宋" w:hAnsi="仿宋" w:eastAsia="仿宋" w:cs="仿宋"/>
          <w:sz w:val="24"/>
        </w:rPr>
        <w:t>、对本次采购提出询问，请按以下方式联系。</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rPr>
        <w:t>1、</w:t>
      </w:r>
      <w:r>
        <w:rPr>
          <w:rFonts w:hint="eastAsia" w:ascii="仿宋" w:hAnsi="仿宋" w:eastAsia="仿宋" w:cs="仿宋"/>
          <w:sz w:val="24"/>
          <w:highlight w:val="none"/>
        </w:rPr>
        <w:t xml:space="preserve">采购人信息 </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名称：靖边县经济技术开发区管委会        </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地址：陕西省靖边县杨桥畔镇沙石峁村       </w:t>
      </w:r>
    </w:p>
    <w:p>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联系方式：13399126016</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地址：西安市高新二路2号山西证券大厦</w:t>
      </w:r>
      <w:r>
        <w:rPr>
          <w:rFonts w:hint="eastAsia" w:ascii="仿宋" w:hAnsi="仿宋" w:eastAsia="仿宋" w:cs="仿宋"/>
          <w:sz w:val="24"/>
          <w:lang w:val="en-US" w:eastAsia="zh-CN"/>
        </w:rPr>
        <w:t>21</w:t>
      </w:r>
      <w:r>
        <w:rPr>
          <w:rFonts w:hint="eastAsia" w:ascii="仿宋" w:hAnsi="仿宋" w:eastAsia="仿宋" w:cs="仿宋"/>
          <w:sz w:val="24"/>
        </w:rPr>
        <w:t>层</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kern w:val="0"/>
          <w:sz w:val="24"/>
          <w:lang w:val="en-US" w:eastAsia="zh-CN"/>
        </w:rPr>
        <w:t>0912-3683703</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kern w:val="0"/>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46"/>
        <w:spacing w:line="360" w:lineRule="auto"/>
        <w:rPr>
          <w:rStyle w:val="208"/>
          <w:rFonts w:hint="eastAsia" w:ascii="仿宋" w:hAnsi="仿宋" w:eastAsia="仿宋" w:cs="仿宋"/>
          <w:sz w:val="36"/>
          <w:szCs w:val="36"/>
        </w:rPr>
      </w:pPr>
      <w:bookmarkStart w:id="20" w:name="_Toc256342142"/>
      <w:bookmarkStart w:id="21" w:name="_Toc249515277"/>
      <w:bookmarkStart w:id="22" w:name="_Toc230099796"/>
      <w:bookmarkStart w:id="23" w:name="_Toc230013631"/>
      <w:bookmarkStart w:id="24" w:name="_Toc184043011"/>
      <w:bookmarkStart w:id="25" w:name="_Toc415499895"/>
      <w:bookmarkStart w:id="26" w:name="_Toc232395211"/>
      <w:bookmarkStart w:id="27" w:name="_Toc249525158"/>
      <w:bookmarkStart w:id="28" w:name="_Toc21126"/>
      <w:bookmarkStart w:id="29" w:name="_Toc232176271"/>
      <w:bookmarkStart w:id="30" w:name="_Toc249515389"/>
      <w:bookmarkStart w:id="31" w:name="_Toc58504446"/>
      <w:bookmarkStart w:id="32" w:name="_Toc230583540"/>
      <w:bookmarkStart w:id="33" w:name="_Toc68590966"/>
      <w:bookmarkStart w:id="34" w:name="_Toc176882542"/>
      <w:bookmarkStart w:id="35" w:name="_Toc499711042"/>
      <w:bookmarkStart w:id="36" w:name="_Toc184043012"/>
      <w:bookmarkStart w:id="37" w:name="_Toc70687139"/>
      <w:bookmarkStart w:id="38" w:name="_Toc499711883"/>
      <w:bookmarkStart w:id="39" w:name="_Toc249515278"/>
      <w:bookmarkStart w:id="40" w:name="_Toc177817334"/>
      <w:bookmarkStart w:id="41" w:name="_Toc256342143"/>
      <w:bookmarkStart w:id="42" w:name="_Toc500747061"/>
      <w:bookmarkStart w:id="43" w:name="_Toc249515390"/>
      <w:bookmarkStart w:id="44" w:name="_Toc500747188"/>
      <w:bookmarkStart w:id="45" w:name="_Toc230099797"/>
      <w:bookmarkStart w:id="46" w:name="_Toc177189235"/>
      <w:bookmarkStart w:id="47" w:name="_Toc249525159"/>
      <w:bookmarkStart w:id="48" w:name="_Toc500746965"/>
      <w:bookmarkStart w:id="49" w:name="_Toc53722840"/>
      <w:bookmarkStart w:id="50" w:name="_Toc492955414"/>
      <w:bookmarkStart w:id="51" w:name="_Toc232395212"/>
      <w:bookmarkStart w:id="52" w:name="_Toc230583541"/>
      <w:bookmarkStart w:id="53" w:name="_Toc230013632"/>
      <w:bookmarkStart w:id="54" w:name="_Toc496324578"/>
      <w:bookmarkStart w:id="55" w:name="_Toc503063421"/>
      <w:bookmarkStart w:id="56" w:name="_Toc232176272"/>
      <w:bookmarkStart w:id="57" w:name="_Toc177995473"/>
      <w:r>
        <w:rPr>
          <w:rStyle w:val="208"/>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82"/>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rPr>
      </w:pPr>
    </w:p>
    <w:p>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080" w:type="dxa"/>
            <w:vAlign w:val="center"/>
          </w:tcPr>
          <w:p>
            <w:pPr>
              <w:pStyle w:val="29"/>
              <w:snapToGrid w:val="0"/>
              <w:spacing w:line="360" w:lineRule="exact"/>
              <w:jc w:val="center"/>
              <w:rPr>
                <w:rFonts w:hint="eastAsia" w:ascii="仿宋" w:hAnsi="仿宋" w:eastAsia="仿宋" w:cs="仿宋"/>
                <w:b/>
                <w:sz w:val="24"/>
                <w:szCs w:val="24"/>
              </w:rPr>
            </w:pPr>
            <w:bookmarkStart w:id="59" w:name="_Hlt14560610"/>
            <w:bookmarkEnd w:id="59"/>
            <w:bookmarkStart w:id="60" w:name="_Toc499711885"/>
            <w:bookmarkStart w:id="61" w:name="_Toc500747190"/>
            <w:bookmarkStart w:id="62" w:name="_Toc492955416"/>
            <w:bookmarkStart w:id="63" w:name="_Toc499711044"/>
            <w:bookmarkStart w:id="64" w:name="_Toc385992326"/>
            <w:bookmarkStart w:id="65" w:name="_Toc500746967"/>
            <w:bookmarkStart w:id="66" w:name="_Toc496324580"/>
            <w:bookmarkStart w:id="67" w:name="_Toc503063423"/>
            <w:bookmarkStart w:id="68" w:name="_Toc500747063"/>
            <w:bookmarkStart w:id="69" w:name="_Toc389620165"/>
            <w:r>
              <w:rPr>
                <w:rFonts w:hint="eastAsia" w:ascii="仿宋" w:hAnsi="仿宋" w:eastAsia="仿宋" w:cs="仿宋"/>
                <w:b/>
                <w:sz w:val="24"/>
                <w:szCs w:val="24"/>
              </w:rPr>
              <w:t>条款号</w:t>
            </w:r>
          </w:p>
        </w:tc>
        <w:tc>
          <w:tcPr>
            <w:tcW w:w="7650" w:type="dxa"/>
            <w:vAlign w:val="center"/>
          </w:tcPr>
          <w:p>
            <w:pPr>
              <w:pStyle w:val="29"/>
              <w:snapToGrid w:val="0"/>
              <w:spacing w:line="360" w:lineRule="exact"/>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pPr>
              <w:pStyle w:val="29"/>
              <w:snapToGrid w:val="0"/>
              <w:spacing w:line="360" w:lineRule="exact"/>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靖边县经开区重点项目沿线裸露沙土绿化工程项目</w:t>
            </w:r>
          </w:p>
          <w:p>
            <w:pPr>
              <w:pStyle w:val="29"/>
              <w:snapToGrid w:val="0"/>
              <w:spacing w:line="360" w:lineRule="exact"/>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SCZK2023-CS-2693/001</w:t>
            </w:r>
          </w:p>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资金来源：财政资金</w:t>
            </w:r>
          </w:p>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1563657.93</w:t>
            </w:r>
            <w:r>
              <w:rPr>
                <w:rFonts w:hint="eastAsia" w:ascii="仿宋" w:hAnsi="仿宋" w:eastAsia="仿宋" w:cs="仿宋"/>
                <w:sz w:val="24"/>
                <w:szCs w:val="24"/>
              </w:rPr>
              <w:t>元</w:t>
            </w:r>
          </w:p>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采购方式：竞争性磋商</w:t>
            </w:r>
          </w:p>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项目所属行业：建筑业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采购人：靖边县经济技术开发区管委会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邀请供应商的方式：</w:t>
            </w:r>
          </w:p>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 （1）发布磋商公告</w:t>
            </w:r>
          </w:p>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符合相应资格条件的供应商</w:t>
            </w:r>
          </w:p>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pPr>
              <w:pStyle w:val="15"/>
              <w:adjustRightInd/>
              <w:snapToGrid w:val="0"/>
              <w:spacing w:line="360" w:lineRule="exact"/>
              <w:rPr>
                <w:rFonts w:hint="eastAsia" w:ascii="仿宋" w:hAnsi="仿宋" w:eastAsia="仿宋" w:cs="仿宋"/>
                <w:color w:val="auto"/>
                <w:kern w:val="2"/>
              </w:rPr>
            </w:pPr>
            <w:r>
              <w:rPr>
                <w:rFonts w:hint="eastAsia" w:ascii="仿宋" w:hAnsi="仿宋" w:eastAsia="仿宋" w:cs="仿宋"/>
                <w:color w:val="auto"/>
                <w:kern w:val="2"/>
              </w:rPr>
              <w:t>对供应商的资格要求：</w:t>
            </w:r>
            <w:r>
              <w:rPr>
                <w:rFonts w:hint="eastAsia" w:ascii="仿宋" w:hAnsi="仿宋" w:eastAsia="仿宋" w:cs="仿宋"/>
                <w:color w:val="auto"/>
                <w:kern w:val="2"/>
                <w:lang w:eastAsia="zh-CN"/>
              </w:rPr>
              <w:t>见</w:t>
            </w:r>
            <w:r>
              <w:rPr>
                <w:rFonts w:hint="eastAsia" w:ascii="仿宋" w:hAnsi="仿宋" w:eastAsia="仿宋" w:cs="仿宋"/>
                <w:color w:val="auto"/>
                <w:kern w:val="2"/>
              </w:rPr>
              <w:t xml:space="preserve">磋商公告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pPr>
              <w:pStyle w:val="15"/>
              <w:adjustRightInd/>
              <w:snapToGrid w:val="0"/>
              <w:spacing w:line="360" w:lineRule="exact"/>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pPr>
              <w:pStyle w:val="15"/>
              <w:adjustRightInd/>
              <w:snapToGrid w:val="0"/>
              <w:spacing w:line="360" w:lineRule="exact"/>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pPr>
              <w:pStyle w:val="15"/>
              <w:adjustRightInd/>
              <w:snapToGrid w:val="0"/>
              <w:spacing w:line="360" w:lineRule="exact"/>
              <w:rPr>
                <w:rFonts w:hint="eastAsia" w:ascii="仿宋" w:hAnsi="仿宋" w:eastAsia="仿宋" w:cs="仿宋"/>
                <w:color w:val="auto"/>
                <w:u w:val="single"/>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是</w:t>
            </w:r>
          </w:p>
          <w:p>
            <w:pPr>
              <w:pStyle w:val="15"/>
              <w:adjustRightInd/>
              <w:snapToGrid w:val="0"/>
              <w:spacing w:line="360" w:lineRule="exact"/>
              <w:rPr>
                <w:rFonts w:hint="eastAsia" w:ascii="仿宋" w:hAnsi="仿宋" w:eastAsia="仿宋" w:cs="仿宋"/>
                <w:color w:val="auto"/>
                <w:u w:val="single"/>
              </w:rPr>
            </w:pPr>
            <w:r>
              <w:rPr>
                <w:rFonts w:hint="eastAsia" w:ascii="仿宋" w:hAnsi="仿宋" w:eastAsia="仿宋" w:cs="仿宋"/>
                <w:color w:val="auto"/>
              </w:rPr>
              <w:t>项目所属行业：</w:t>
            </w:r>
            <w:r>
              <w:rPr>
                <w:rFonts w:hint="eastAsia" w:ascii="仿宋" w:hAnsi="仿宋" w:eastAsia="仿宋" w:cs="仿宋"/>
                <w:color w:val="auto"/>
                <w:u w:val="single"/>
              </w:rPr>
              <w:t>建筑业</w:t>
            </w:r>
          </w:p>
          <w:p>
            <w:pPr>
              <w:pStyle w:val="15"/>
              <w:adjustRightInd/>
              <w:snapToGrid w:val="0"/>
              <w:spacing w:line="360" w:lineRule="exact"/>
              <w:rPr>
                <w:rFonts w:hint="default" w:ascii="仿宋" w:hAnsi="仿宋" w:eastAsia="仿宋" w:cs="仿宋"/>
                <w:color w:val="auto"/>
                <w:u w:val="single"/>
                <w:lang w:val="en-US" w:eastAsia="zh-CN"/>
              </w:rPr>
            </w:pPr>
            <w:r>
              <w:rPr>
                <w:rFonts w:hint="eastAsia" w:ascii="仿宋" w:hAnsi="仿宋" w:eastAsia="仿宋" w:cs="仿宋"/>
                <w:color w:val="auto"/>
                <w:u w:val="none"/>
                <w:lang w:eastAsia="zh-CN"/>
              </w:rPr>
              <w:t>项目最高限价：</w:t>
            </w:r>
            <w:r>
              <w:rPr>
                <w:rFonts w:hint="eastAsia" w:ascii="仿宋" w:hAnsi="仿宋" w:eastAsia="仿宋" w:cs="仿宋"/>
                <w:sz w:val="24"/>
                <w:lang w:val="en-US" w:eastAsia="zh-CN"/>
              </w:rPr>
              <w:t>1563657.93元</w:t>
            </w:r>
            <w:r>
              <w:rPr>
                <w:rFonts w:hint="eastAsia" w:ascii="仿宋" w:hAnsi="仿宋" w:eastAsia="仿宋" w:cs="仿宋"/>
                <w:color w:val="auto"/>
                <w:u w:val="single"/>
                <w:lang w:val="en-US" w:eastAsia="zh-CN"/>
              </w:rPr>
              <w:t xml:space="preserve">        </w:t>
            </w:r>
            <w:r>
              <w:rPr>
                <w:rFonts w:hint="eastAsia"/>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pPr>
              <w:snapToGrid w:val="0"/>
              <w:spacing w:line="360" w:lineRule="exact"/>
              <w:rPr>
                <w:rFonts w:hint="eastAsia" w:ascii="仿宋" w:hAnsi="仿宋" w:eastAsia="仿宋" w:cs="仿宋"/>
                <w:sz w:val="24"/>
              </w:rPr>
            </w:pPr>
            <w:r>
              <w:rPr>
                <w:rFonts w:hint="eastAsia" w:ascii="仿宋" w:hAnsi="仿宋" w:eastAsia="仿宋" w:cs="仿宋"/>
                <w:sz w:val="24"/>
              </w:rPr>
              <w:t>1. 报价方式：供应商应按采购人提供的工程内容自主报价。</w:t>
            </w:r>
          </w:p>
          <w:p>
            <w:pPr>
              <w:snapToGrid w:val="0"/>
              <w:spacing w:line="360" w:lineRule="exact"/>
              <w:rPr>
                <w:rFonts w:hint="eastAsia" w:ascii="仿宋" w:hAnsi="仿宋" w:eastAsia="仿宋" w:cs="仿宋"/>
                <w:sz w:val="24"/>
              </w:rPr>
            </w:pPr>
            <w:r>
              <w:rPr>
                <w:rFonts w:hint="eastAsia" w:ascii="仿宋" w:hAnsi="仿宋" w:eastAsia="仿宋" w:cs="仿宋"/>
                <w:sz w:val="24"/>
              </w:rPr>
              <w:t>2. 项目报价为包括完成本工程项目的工程费、材料设备费、</w:t>
            </w:r>
            <w:r>
              <w:rPr>
                <w:rFonts w:hint="eastAsia" w:ascii="仿宋" w:hAnsi="仿宋" w:eastAsia="仿宋" w:cs="仿宋"/>
                <w:sz w:val="24"/>
                <w:lang w:eastAsia="zh-CN"/>
              </w:rPr>
              <w:t>施工费</w:t>
            </w:r>
            <w:r>
              <w:rPr>
                <w:rFonts w:hint="eastAsia" w:ascii="仿宋" w:hAnsi="仿宋" w:eastAsia="仿宋" w:cs="仿宋"/>
                <w:sz w:val="24"/>
              </w:rPr>
              <w:t>等</w:t>
            </w:r>
            <w:r>
              <w:rPr>
                <w:rFonts w:hint="eastAsia" w:ascii="仿宋" w:hAnsi="仿宋" w:eastAsia="仿宋" w:cs="仿宋"/>
                <w:sz w:val="24"/>
                <w:lang w:eastAsia="zh-CN"/>
              </w:rPr>
              <w:t>其他在采购活动中所产生的费用。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p>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14.1</w:t>
            </w:r>
          </w:p>
          <w:p>
            <w:pPr>
              <w:pStyle w:val="29"/>
              <w:snapToGrid w:val="0"/>
              <w:spacing w:line="360" w:lineRule="exact"/>
              <w:rPr>
                <w:rFonts w:hint="eastAsia" w:ascii="仿宋" w:hAnsi="仿宋" w:eastAsia="仿宋" w:cs="仿宋"/>
                <w:sz w:val="24"/>
                <w:szCs w:val="24"/>
              </w:rPr>
            </w:pPr>
          </w:p>
        </w:tc>
        <w:tc>
          <w:tcPr>
            <w:tcW w:w="7650" w:type="dxa"/>
            <w:vAlign w:val="center"/>
          </w:tcPr>
          <w:p>
            <w:pPr>
              <w:snapToGrid w:val="0"/>
              <w:spacing w:line="360" w:lineRule="exact"/>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pPr>
              <w:snapToGrid w:val="0"/>
              <w:spacing w:line="360" w:lineRule="exact"/>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pPr>
              <w:pStyle w:val="29"/>
              <w:snapToGrid w:val="0"/>
              <w:spacing w:line="360" w:lineRule="exact"/>
              <w:rPr>
                <w:rFonts w:hint="eastAsia" w:ascii="仿宋" w:hAnsi="仿宋" w:eastAsia="仿宋" w:cs="仿宋"/>
                <w:sz w:val="24"/>
                <w:szCs w:val="24"/>
              </w:rPr>
            </w:pPr>
            <w:r>
              <w:rPr>
                <w:rFonts w:hint="eastAsia" w:ascii="仿宋" w:hAnsi="仿宋" w:eastAsia="仿宋" w:cs="仿宋"/>
                <w:sz w:val="24"/>
                <w:szCs w:val="24"/>
              </w:rPr>
              <w:t>磋商有效期：自响应文件递交之日起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仿宋" w:hAnsi="仿宋" w:eastAsia="仿宋" w:cs="仿宋"/>
                <w:kern w:val="2"/>
                <w:sz w:val="21"/>
                <w:szCs w:val="24"/>
                <w:lang w:val="en-US" w:eastAsia="zh-CN" w:bidi="ar-SA"/>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pPr>
              <w:pStyle w:val="29"/>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本项目所要求递交响应文件为电子版文件，须按照磋商文件要求在指定网站进行上传，所上传内容需满足磋商文件要求。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pPr>
              <w:pStyle w:val="29"/>
              <w:snapToGrid w:val="0"/>
              <w:spacing w:line="360" w:lineRule="exact"/>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18.1</w:t>
            </w:r>
          </w:p>
        </w:tc>
        <w:tc>
          <w:tcPr>
            <w:tcW w:w="7650" w:type="dxa"/>
            <w:vAlign w:val="center"/>
          </w:tcPr>
          <w:p>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响应文件递交截止时间：202</w:t>
            </w:r>
            <w:r>
              <w:rPr>
                <w:rFonts w:hint="eastAsia" w:ascii="仿宋" w:hAnsi="仿宋" w:eastAsia="仿宋" w:cs="仿宋"/>
                <w:kern w:val="24"/>
                <w:sz w:val="24"/>
                <w:szCs w:val="21"/>
                <w:highlight w:val="none"/>
                <w:lang w:val="en-US" w:eastAsia="zh-CN"/>
              </w:rPr>
              <w:t>4</w:t>
            </w:r>
            <w:r>
              <w:rPr>
                <w:rFonts w:hint="eastAsia" w:ascii="仿宋" w:hAnsi="仿宋" w:eastAsia="仿宋" w:cs="仿宋"/>
                <w:kern w:val="24"/>
                <w:sz w:val="24"/>
                <w:szCs w:val="21"/>
                <w:highlight w:val="none"/>
              </w:rPr>
              <w:t>年</w:t>
            </w:r>
            <w:r>
              <w:rPr>
                <w:rFonts w:hint="eastAsia" w:ascii="仿宋" w:hAnsi="仿宋" w:eastAsia="仿宋" w:cs="仿宋"/>
                <w:kern w:val="24"/>
                <w:sz w:val="24"/>
                <w:szCs w:val="21"/>
                <w:highlight w:val="none"/>
                <w:lang w:val="en-US" w:eastAsia="zh-CN"/>
              </w:rPr>
              <w:t>01</w:t>
            </w:r>
            <w:r>
              <w:rPr>
                <w:rFonts w:hint="eastAsia" w:ascii="仿宋" w:hAnsi="仿宋" w:eastAsia="仿宋" w:cs="仿宋"/>
                <w:kern w:val="24"/>
                <w:sz w:val="24"/>
                <w:szCs w:val="21"/>
                <w:highlight w:val="none"/>
              </w:rPr>
              <w:t>月</w:t>
            </w:r>
            <w:r>
              <w:rPr>
                <w:rFonts w:hint="eastAsia" w:ascii="仿宋" w:hAnsi="仿宋" w:eastAsia="仿宋" w:cs="仿宋"/>
                <w:kern w:val="24"/>
                <w:sz w:val="24"/>
                <w:szCs w:val="21"/>
                <w:highlight w:val="none"/>
                <w:lang w:val="en-US" w:eastAsia="zh-CN"/>
              </w:rPr>
              <w:t>30</w:t>
            </w:r>
            <w:r>
              <w:rPr>
                <w:rFonts w:hint="eastAsia" w:ascii="仿宋" w:hAnsi="仿宋" w:eastAsia="仿宋" w:cs="仿宋"/>
                <w:kern w:val="24"/>
                <w:sz w:val="24"/>
                <w:szCs w:val="21"/>
                <w:highlight w:val="none"/>
              </w:rPr>
              <w:t>日</w:t>
            </w:r>
            <w:r>
              <w:rPr>
                <w:rFonts w:hint="eastAsia" w:ascii="仿宋" w:hAnsi="仿宋" w:eastAsia="仿宋" w:cs="仿宋"/>
                <w:kern w:val="24"/>
                <w:sz w:val="24"/>
                <w:szCs w:val="21"/>
                <w:highlight w:val="none"/>
                <w:lang w:val="en-US" w:eastAsia="zh-CN"/>
              </w:rPr>
              <w:t>13</w:t>
            </w:r>
            <w:r>
              <w:rPr>
                <w:rFonts w:hint="eastAsia" w:ascii="仿宋" w:hAnsi="仿宋" w:eastAsia="仿宋" w:cs="仿宋"/>
                <w:kern w:val="24"/>
                <w:sz w:val="24"/>
                <w:szCs w:val="21"/>
                <w:highlight w:val="none"/>
              </w:rPr>
              <w:t>：</w:t>
            </w:r>
            <w:r>
              <w:rPr>
                <w:rFonts w:hint="eastAsia" w:ascii="仿宋" w:hAnsi="仿宋" w:eastAsia="仿宋" w:cs="仿宋"/>
                <w:kern w:val="24"/>
                <w:sz w:val="24"/>
                <w:szCs w:val="21"/>
                <w:highlight w:val="none"/>
                <w:lang w:val="en-US" w:eastAsia="zh-CN"/>
              </w:rPr>
              <w:t>3</w:t>
            </w:r>
            <w:r>
              <w:rPr>
                <w:rFonts w:hint="eastAsia" w:ascii="仿宋" w:hAnsi="仿宋" w:eastAsia="仿宋" w:cs="仿宋"/>
                <w:kern w:val="24"/>
                <w:sz w:val="24"/>
                <w:szCs w:val="21"/>
                <w:highlight w:val="none"/>
              </w:rPr>
              <w:t>0（北京时间）。</w:t>
            </w:r>
          </w:p>
          <w:p>
            <w:pPr>
              <w:tabs>
                <w:tab w:val="left" w:pos="588"/>
              </w:tabs>
              <w:snapToGrid w:val="0"/>
              <w:spacing w:line="360" w:lineRule="exact"/>
              <w:rPr>
                <w:rFonts w:hint="eastAsia" w:ascii="仿宋" w:hAnsi="仿宋" w:eastAsia="仿宋" w:cs="仿宋"/>
                <w:sz w:val="24"/>
                <w:highlight w:val="none"/>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9"/>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pPr>
              <w:snapToGrid w:val="0"/>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rPr>
              <w:t xml:space="preserve"> </w:t>
            </w:r>
            <w:r>
              <w:rPr>
                <w:rFonts w:hint="eastAsia" w:ascii="仿宋" w:hAnsi="仿宋" w:eastAsia="仿宋" w:cs="仿宋"/>
                <w:bCs/>
                <w:sz w:val="24"/>
                <w:u w:val="single"/>
              </w:rPr>
              <w:t xml:space="preserve">3 </w:t>
            </w:r>
            <w:r>
              <w:rPr>
                <w:rFonts w:hint="eastAsia" w:ascii="仿宋" w:hAnsi="仿宋" w:eastAsia="仿宋" w:cs="仿宋"/>
                <w:sz w:val="24"/>
              </w:rPr>
              <w:t>人组成，其中评审专家</w:t>
            </w:r>
            <w:r>
              <w:rPr>
                <w:rFonts w:hint="eastAsia" w:ascii="仿宋" w:hAnsi="仿宋" w:eastAsia="仿宋" w:cs="仿宋"/>
                <w:sz w:val="24"/>
                <w:u w:val="single"/>
              </w:rPr>
              <w:t xml:space="preserve"> 2 </w:t>
            </w:r>
            <w:r>
              <w:rPr>
                <w:rFonts w:hint="eastAsia" w:ascii="仿宋" w:hAnsi="仿宋" w:eastAsia="仿宋" w:cs="仿宋"/>
                <w:sz w:val="24"/>
              </w:rPr>
              <w:t>人，采购人代表</w:t>
            </w:r>
            <w:r>
              <w:rPr>
                <w:rFonts w:hint="eastAsia" w:ascii="仿宋" w:hAnsi="仿宋" w:eastAsia="仿宋" w:cs="仿宋"/>
                <w:sz w:val="24"/>
                <w:u w:val="single"/>
              </w:rPr>
              <w:t xml:space="preserve"> 1 </w:t>
            </w:r>
            <w:r>
              <w:rPr>
                <w:rFonts w:hint="eastAsia" w:ascii="仿宋" w:hAnsi="仿宋" w:eastAsia="仿宋" w:cs="仿宋"/>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snapToGrid w:val="0"/>
              <w:spacing w:line="360" w:lineRule="exact"/>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pPr>
              <w:snapToGrid w:val="0"/>
              <w:spacing w:line="360" w:lineRule="exact"/>
              <w:jc w:val="left"/>
              <w:rPr>
                <w:rFonts w:hint="eastAsia" w:ascii="仿宋" w:hAnsi="仿宋" w:eastAsia="仿宋" w:cs="仿宋"/>
              </w:rPr>
            </w:pPr>
            <w:r>
              <w:rPr>
                <w:rFonts w:hint="eastAsia" w:ascii="仿宋" w:hAnsi="仿宋" w:eastAsia="仿宋" w:cs="仿宋"/>
                <w:sz w:val="24"/>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jc w:val="center"/>
              <w:rPr>
                <w:rFonts w:hint="eastAsia" w:ascii="仿宋" w:hAnsi="仿宋" w:eastAsia="仿宋" w:cs="仿宋"/>
                <w:color w:val="auto"/>
                <w:kern w:val="2"/>
                <w:sz w:val="24"/>
                <w:szCs w:val="24"/>
                <w:highlight w:val="none"/>
                <w:lang w:val="en-US" w:eastAsia="zh-CN" w:bidi="ar-SA"/>
              </w:rPr>
            </w:pPr>
            <w:bookmarkStart w:id="70" w:name="_Toc176882543"/>
            <w:bookmarkStart w:id="71" w:name="_Toc230013633"/>
            <w:bookmarkStart w:id="72" w:name="_Toc177189236"/>
            <w:bookmarkStart w:id="73" w:name="_Toc230583542"/>
            <w:bookmarkStart w:id="74" w:name="_Toc230099798"/>
            <w:bookmarkStart w:id="75" w:name="_Toc232176273"/>
            <w:bookmarkStart w:id="76" w:name="_Toc184043013"/>
            <w:bookmarkStart w:id="77" w:name="_Toc177995474"/>
            <w:bookmarkStart w:id="78" w:name="_Toc70687140"/>
            <w:bookmarkStart w:id="79" w:name="_Toc53722841"/>
            <w:bookmarkStart w:id="80" w:name="_Toc249515279"/>
            <w:bookmarkStart w:id="81" w:name="_Toc232395213"/>
            <w:bookmarkStart w:id="82" w:name="_Toc249515391"/>
            <w:bookmarkStart w:id="83" w:name="_Toc177817335"/>
            <w:bookmarkStart w:id="84" w:name="_Toc256342144"/>
            <w:bookmarkStart w:id="85" w:name="_Toc249525160"/>
            <w:r>
              <w:rPr>
                <w:rFonts w:hint="eastAsia" w:ascii="仿宋" w:hAnsi="仿宋" w:eastAsia="仿宋" w:cs="仿宋"/>
                <w:color w:val="auto"/>
                <w:sz w:val="24"/>
                <w:highlight w:val="none"/>
                <w:lang w:val="en-US" w:eastAsia="zh-CN"/>
              </w:rPr>
              <w:t>33.1</w:t>
            </w:r>
          </w:p>
        </w:tc>
        <w:tc>
          <w:tcPr>
            <w:tcW w:w="76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w:t>
            </w:r>
            <w:r>
              <w:rPr>
                <w:rFonts w:hint="eastAsia" w:ascii="仿宋" w:hAnsi="仿宋" w:eastAsia="仿宋" w:cs="仿宋"/>
                <w:sz w:val="24"/>
                <w:lang w:eastAsia="zh-CN"/>
              </w:rPr>
              <w:t>（</w:t>
            </w:r>
            <w:r>
              <w:rPr>
                <w:rFonts w:hint="eastAsia" w:ascii="仿宋" w:hAnsi="仿宋" w:eastAsia="仿宋" w:cs="仿宋"/>
                <w:sz w:val="24"/>
                <w:lang w:val="en-US" w:eastAsia="zh-CN"/>
              </w:rPr>
              <w:t>具体操作指点及信用承诺书格式见附件）</w:t>
            </w:r>
            <w:r>
              <w:rPr>
                <w:rFonts w:hint="eastAsia" w:ascii="仿宋" w:hAnsi="仿宋" w:eastAsia="仿宋" w:cs="仿宋"/>
                <w:sz w:val="24"/>
              </w:rPr>
              <w:t>，并载明承诺事由，投标人、投标人委托代理人员、投标信用的承诺事由为“项目名称及标段”。操作指南见附件。如信用承诺公示迟报、漏报的列入不良行为记录。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z w:val="24"/>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color w:val="auto"/>
                <w:sz w:val="24"/>
                <w:highlight w:val="none"/>
                <w:lang w:val="en-US" w:eastAsia="zh-CN"/>
              </w:rPr>
              <w:t>34.1</w:t>
            </w:r>
          </w:p>
        </w:tc>
        <w:tc>
          <w:tcPr>
            <w:tcW w:w="7650" w:type="dxa"/>
            <w:vAlign w:val="center"/>
          </w:tcPr>
          <w:p>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pPr>
              <w:numPr>
                <w:ilvl w:val="0"/>
                <w:numId w:val="6"/>
              </w:numPr>
              <w:spacing w:line="360" w:lineRule="auto"/>
              <w:rPr>
                <w:rFonts w:hint="eastAsia" w:ascii="仿宋" w:hAnsi="仿宋" w:eastAsia="仿宋" w:cs="仿宋"/>
                <w:b/>
                <w:sz w:val="24"/>
              </w:rPr>
            </w:pPr>
            <w:r>
              <w:rPr>
                <w:rFonts w:hint="eastAsia" w:ascii="仿宋" w:hAnsi="仿宋" w:eastAsia="仿宋" w:cs="仿宋"/>
                <w:b/>
                <w:sz w:val="24"/>
              </w:rPr>
              <w:t>不见面开标流程</w:t>
            </w:r>
          </w:p>
          <w:p>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pPr>
              <w:pStyle w:val="23"/>
              <w:rPr>
                <w:rFonts w:hint="eastAsia" w:ascii="仿宋" w:hAnsi="仿宋" w:eastAsia="仿宋" w:cs="仿宋"/>
                <w:kern w:val="2"/>
                <w:sz w:val="24"/>
                <w:szCs w:val="24"/>
                <w:lang w:val="en-US" w:eastAsia="zh-CN" w:bidi="ar-SA"/>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35</w:t>
            </w:r>
          </w:p>
        </w:tc>
        <w:tc>
          <w:tcPr>
            <w:tcW w:w="7650" w:type="dxa"/>
            <w:vAlign w:val="center"/>
          </w:tcPr>
          <w:p>
            <w:pPr>
              <w:adjustRightInd w:val="0"/>
              <w:snapToGrid w:val="0"/>
              <w:spacing w:line="300" w:lineRule="auto"/>
              <w:rPr>
                <w:rFonts w:hint="eastAsia" w:ascii="仿宋" w:hAnsi="仿宋" w:eastAsia="仿宋" w:cs="仿宋"/>
                <w:b/>
                <w:bCs/>
                <w:sz w:val="24"/>
                <w:lang w:eastAsia="zh-CN"/>
              </w:rPr>
            </w:pPr>
            <w:r>
              <w:rPr>
                <w:rFonts w:hint="eastAsia" w:ascii="仿宋" w:hAnsi="仿宋" w:eastAsia="仿宋" w:cs="仿宋"/>
                <w:b/>
                <w:bCs/>
                <w:sz w:val="24"/>
              </w:rPr>
              <w:t>中小企业</w:t>
            </w:r>
            <w:r>
              <w:rPr>
                <w:rFonts w:hint="eastAsia" w:ascii="仿宋" w:hAnsi="仿宋" w:eastAsia="仿宋" w:cs="仿宋"/>
                <w:b/>
                <w:bCs/>
                <w:sz w:val="24"/>
                <w:lang w:eastAsia="zh-CN"/>
              </w:rPr>
              <w:t>行业类别及</w:t>
            </w:r>
            <w:r>
              <w:rPr>
                <w:rFonts w:hint="eastAsia" w:ascii="仿宋" w:hAnsi="仿宋" w:eastAsia="仿宋" w:cs="仿宋"/>
                <w:b/>
                <w:bCs/>
                <w:sz w:val="24"/>
              </w:rPr>
              <w:t>规模的划分标准：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一）中小企业行业类型：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spacing w:line="300" w:lineRule="auto"/>
              <w:rPr>
                <w:rFonts w:hint="eastAsia" w:ascii="仿宋" w:hAnsi="仿宋" w:eastAsia="仿宋" w:cs="仿宋"/>
                <w:sz w:val="24"/>
                <w:lang w:eastAsia="zh-CN"/>
              </w:rPr>
            </w:pPr>
            <w:r>
              <w:rPr>
                <w:rFonts w:hint="eastAsia" w:ascii="仿宋" w:hAnsi="仿宋" w:eastAsia="仿宋" w:cs="仿宋"/>
                <w:sz w:val="24"/>
                <w:lang w:eastAsia="zh-CN"/>
              </w:rPr>
              <w:t>（二）</w:t>
            </w:r>
            <w:r>
              <w:rPr>
                <w:rFonts w:hint="eastAsia" w:ascii="仿宋" w:hAnsi="仿宋" w:eastAsia="仿宋" w:cs="仿宋"/>
                <w:sz w:val="24"/>
              </w:rPr>
              <w:t>各行业划分标准具体为：</w:t>
            </w:r>
          </w:p>
          <w:p>
            <w:pPr>
              <w:spacing w:line="360" w:lineRule="auto"/>
              <w:rPr>
                <w:rFonts w:hint="eastAsia" w:ascii="仿宋" w:hAnsi="仿宋" w:eastAsia="仿宋" w:cs="仿宋"/>
                <w:sz w:val="24"/>
              </w:rPr>
            </w:pPr>
            <w:r>
              <w:rPr>
                <w:rFonts w:hint="eastAsia" w:ascii="仿宋" w:hAnsi="仿宋" w:eastAsia="仿宋" w:cs="仿宋"/>
                <w:sz w:val="24"/>
              </w:rPr>
              <w:t>1、农、林、牧、渔业。营业收入20000万元以下的为中小微型企业。其中，营业收入500万元及以上的为中型企业,营业收入50万元及以上的为小型企业，营业收入50万元以下的为微型企业。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pPr>
              <w:pStyle w:val="23"/>
              <w:rPr>
                <w:rFonts w:hint="eastAsia" w:ascii="仿宋" w:hAnsi="仿宋" w:eastAsia="仿宋" w:cs="仿宋"/>
                <w:kern w:val="2"/>
                <w:sz w:val="24"/>
                <w:szCs w:val="24"/>
                <w:lang w:val="en-US" w:eastAsia="zh-CN" w:bidi="ar-SA"/>
              </w:rPr>
            </w:pPr>
            <w:r>
              <w:rPr>
                <w:rFonts w:hint="eastAsia" w:ascii="仿宋" w:hAnsi="仿宋" w:eastAsia="仿宋" w:cs="仿宋"/>
                <w:sz w:val="24"/>
              </w:rPr>
              <w:t>16、其他未列明行业。从业人员300人以下的为中小微型企业。其中，从业人员100人及以上的为中型企业;从业人员10人及以上的为小型企业；从业人员10人以下的为微型企业。　</w:t>
            </w:r>
          </w:p>
        </w:tc>
      </w:tr>
    </w:tbl>
    <w:p>
      <w:pPr>
        <w:rPr>
          <w:rFonts w:hint="eastAsia" w:ascii="仿宋" w:hAnsi="仿宋" w:eastAsia="仿宋" w:cs="仿宋"/>
          <w:sz w:val="30"/>
          <w:szCs w:val="30"/>
        </w:rPr>
      </w:pPr>
      <w:r>
        <w:rPr>
          <w:rFonts w:hint="eastAsia" w:ascii="仿宋" w:hAnsi="仿宋" w:eastAsia="仿宋" w:cs="仿宋"/>
          <w:sz w:val="30"/>
          <w:szCs w:val="30"/>
        </w:rPr>
        <w:br w:type="page"/>
      </w:r>
    </w:p>
    <w:p>
      <w:pPr>
        <w:pStyle w:val="82"/>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pPr>
        <w:pStyle w:val="82"/>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pPr>
        <w:rPr>
          <w:rFonts w:hint="eastAsia" w:ascii="仿宋" w:hAnsi="仿宋" w:eastAsia="仿宋" w:cs="仿宋"/>
        </w:rPr>
      </w:pPr>
    </w:p>
    <w:p>
      <w:pPr>
        <w:pStyle w:val="6"/>
        <w:rPr>
          <w:rFonts w:hint="eastAsia" w:ascii="仿宋" w:hAnsi="仿宋" w:eastAsia="仿宋" w:cs="仿宋"/>
          <w:b/>
          <w:sz w:val="24"/>
          <w:szCs w:val="21"/>
        </w:rPr>
      </w:pPr>
      <w:bookmarkStart w:id="88" w:name="_Hlt14560612"/>
      <w:bookmarkEnd w:id="88"/>
      <w:bookmarkStart w:id="89" w:name="_Toc184043014"/>
      <w:bookmarkStart w:id="90" w:name="_Toc249515280"/>
      <w:bookmarkStart w:id="91" w:name="_Toc249525161"/>
      <w:bookmarkStart w:id="92" w:name="_Toc249515392"/>
      <w:bookmarkStart w:id="93" w:name="_Toc25504"/>
      <w:r>
        <w:rPr>
          <w:rFonts w:hint="eastAsia" w:ascii="仿宋" w:hAnsi="仿宋" w:eastAsia="仿宋" w:cs="仿宋"/>
          <w:b/>
          <w:sz w:val="24"/>
          <w:szCs w:val="21"/>
        </w:rPr>
        <w:t>1.     项目说明</w:t>
      </w:r>
      <w:bookmarkEnd w:id="89"/>
      <w:bookmarkEnd w:id="90"/>
      <w:bookmarkEnd w:id="91"/>
      <w:bookmarkEnd w:id="92"/>
      <w:bookmarkEnd w:id="93"/>
    </w:p>
    <w:p>
      <w:pPr>
        <w:pStyle w:val="68"/>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pPr>
        <w:pStyle w:val="6"/>
        <w:rPr>
          <w:rFonts w:hint="eastAsia" w:ascii="仿宋" w:hAnsi="仿宋" w:eastAsia="仿宋" w:cs="仿宋"/>
          <w:b/>
          <w:sz w:val="24"/>
          <w:szCs w:val="21"/>
        </w:rPr>
      </w:pPr>
      <w:bookmarkStart w:id="94" w:name="_Toc31509"/>
      <w:bookmarkStart w:id="95" w:name="_Toc249525162"/>
      <w:bookmarkStart w:id="96" w:name="_Toc249515393"/>
      <w:bookmarkStart w:id="97" w:name="_Toc249515281"/>
      <w:bookmarkStart w:id="98" w:name="_Toc70687142"/>
      <w:bookmarkStart w:id="99" w:name="_Toc184043015"/>
      <w:r>
        <w:rPr>
          <w:rFonts w:hint="eastAsia" w:ascii="仿宋" w:hAnsi="仿宋" w:eastAsia="仿宋" w:cs="仿宋"/>
          <w:b/>
          <w:sz w:val="24"/>
          <w:szCs w:val="21"/>
        </w:rPr>
        <w:t>2.     定义</w:t>
      </w:r>
      <w:bookmarkEnd w:id="94"/>
      <w:bookmarkEnd w:id="95"/>
      <w:bookmarkEnd w:id="96"/>
      <w:bookmarkEnd w:id="97"/>
      <w:bookmarkEnd w:id="98"/>
      <w:bookmarkEnd w:id="99"/>
    </w:p>
    <w:p>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pPr>
        <w:pStyle w:val="23"/>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pPr>
        <w:pStyle w:val="23"/>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pPr>
        <w:pStyle w:val="23"/>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磋商小组：指依据《中华人民共和国政府采购法》和财政部《政府采购竞争性磋商采购方式管理暂行办法》有关规定组建，依法依规履行其职责和义务的机构。</w:t>
      </w:r>
    </w:p>
    <w:p>
      <w:pPr>
        <w:pStyle w:val="6"/>
        <w:rPr>
          <w:rFonts w:hint="eastAsia" w:ascii="仿宋" w:hAnsi="仿宋" w:eastAsia="仿宋" w:cs="仿宋"/>
          <w:b/>
          <w:sz w:val="24"/>
          <w:szCs w:val="21"/>
        </w:rPr>
      </w:pPr>
      <w:bookmarkStart w:id="100" w:name="_Toc23705"/>
      <w:bookmarkStart w:id="101" w:name="_Toc385992329"/>
      <w:bookmarkStart w:id="102" w:name="_Toc70687143"/>
      <w:bookmarkStart w:id="103" w:name="_Toc184043016"/>
      <w:bookmarkStart w:id="104" w:name="_Toc249515282"/>
      <w:bookmarkStart w:id="105" w:name="_Toc249525163"/>
      <w:bookmarkStart w:id="106" w:name="_Toc249515394"/>
      <w:bookmarkStart w:id="107" w:name="_Toc389620168"/>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3.2.1  供应商应当未被列入失信被执行人、重大</w:t>
      </w:r>
      <w:r>
        <w:rPr>
          <w:rFonts w:hint="eastAsia" w:ascii="仿宋" w:hAnsi="仿宋" w:eastAsia="仿宋" w:cs="仿宋"/>
          <w:sz w:val="24"/>
        </w:rPr>
        <w:t>税收违法失信主体</w:t>
      </w:r>
      <w:r>
        <w:rPr>
          <w:rFonts w:hint="eastAsia" w:ascii="仿宋" w:hAnsi="仿宋" w:eastAsia="仿宋" w:cs="仿宋"/>
          <w:kern w:val="24"/>
          <w:sz w:val="24"/>
          <w:szCs w:val="21"/>
        </w:rPr>
        <w:t>、政府采购严重违法失信行为记录名单，否则不得参与政府采购活动。</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 xml:space="preserve">3.2.2  信用信息查询的时间：自采购文件发售之日起至资格审查结束之前。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3.2.3  查询渠道：“信用中国”网站（www.creditchina.gov.cn）和中国政府采购网（www.ccgp.gov.cn）；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3.2.4  信用信息查询记录和证据留存具体方式：将经查询存在不良信用记录的潜在供应商的查询结果网页截图作为查询记录和证据，与其他采购文件一并保存；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3.2.5  信用信息的使用规则：采购人或采购代理机构若发现参与本项目政府采购活动的供应商在存在不良信用记录的，将信用信息查询记录提交给磋商小组，作无效文件进行处理。</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pPr>
        <w:pStyle w:val="23"/>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pPr>
        <w:pStyle w:val="23"/>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pPr>
        <w:pStyle w:val="23"/>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pPr>
        <w:pStyle w:val="23"/>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pPr>
        <w:pStyle w:val="23"/>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pPr>
        <w:pStyle w:val="23"/>
        <w:ind w:left="840" w:hanging="840" w:hangingChars="350"/>
        <w:rPr>
          <w:rFonts w:hint="eastAsia" w:ascii="仿宋" w:hAnsi="仿宋" w:eastAsia="仿宋" w:cs="仿宋"/>
          <w:kern w:val="24"/>
          <w:sz w:val="24"/>
          <w:szCs w:val="21"/>
        </w:rPr>
      </w:pPr>
      <w:bookmarkStart w:id="108" w:name="_Toc385992330"/>
      <w:bookmarkStart w:id="109" w:name="_Toc249515395"/>
      <w:bookmarkStart w:id="110" w:name="_Toc184043017"/>
      <w:bookmarkStart w:id="111" w:name="_Toc70687144"/>
      <w:bookmarkStart w:id="112" w:name="_Toc249525164"/>
      <w:bookmarkStart w:id="113" w:name="_Toc249515283"/>
      <w:bookmarkStart w:id="114" w:name="_Toc389620169"/>
      <w:bookmarkStart w:id="115" w:name="_Toc26580"/>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若前附表中写明专门面向中小企业采购的，如供应商未按要求出具《中小企业声明函》或残疾人福利性单位声明函或监狱企业证明函，其响应文件将被认定为无效。</w:t>
      </w:r>
    </w:p>
    <w:p>
      <w:pPr>
        <w:pStyle w:val="6"/>
        <w:rPr>
          <w:rFonts w:hint="eastAsia" w:ascii="仿宋" w:hAnsi="仿宋" w:eastAsia="仿宋" w:cs="仿宋"/>
          <w:b/>
          <w:sz w:val="24"/>
          <w:szCs w:val="21"/>
        </w:rPr>
      </w:pPr>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pPr>
        <w:pStyle w:val="23"/>
        <w:rPr>
          <w:rFonts w:hint="eastAsia" w:ascii="仿宋" w:hAnsi="仿宋" w:eastAsia="仿宋" w:cs="仿宋"/>
        </w:rPr>
      </w:pPr>
    </w:p>
    <w:p>
      <w:pPr>
        <w:pStyle w:val="82"/>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pPr>
        <w:rPr>
          <w:rFonts w:hint="eastAsia" w:ascii="仿宋" w:hAnsi="仿宋" w:eastAsia="仿宋" w:cs="仿宋"/>
        </w:rPr>
      </w:pPr>
    </w:p>
    <w:p>
      <w:pPr>
        <w:pStyle w:val="6"/>
        <w:numPr>
          <w:ilvl w:val="0"/>
          <w:numId w:val="7"/>
        </w:numPr>
        <w:rPr>
          <w:rFonts w:hint="eastAsia" w:ascii="仿宋" w:hAnsi="仿宋" w:eastAsia="仿宋" w:cs="仿宋"/>
          <w:b/>
          <w:sz w:val="24"/>
          <w:szCs w:val="21"/>
        </w:rPr>
      </w:pPr>
      <w:bookmarkStart w:id="117" w:name="_Toc128"/>
      <w:bookmarkStart w:id="118" w:name="_Toc70687146"/>
      <w:bookmarkStart w:id="119" w:name="_Toc184043019"/>
      <w:bookmarkStart w:id="120" w:name="_Toc385992332"/>
      <w:bookmarkStart w:id="121" w:name="_Toc249515397"/>
      <w:bookmarkStart w:id="122" w:name="_Toc389620171"/>
      <w:bookmarkStart w:id="123" w:name="_Toc249525166"/>
      <w:bookmarkStart w:id="124" w:name="_Toc249515285"/>
      <w:r>
        <w:rPr>
          <w:rFonts w:hint="eastAsia" w:ascii="仿宋" w:hAnsi="仿宋" w:eastAsia="仿宋" w:cs="仿宋"/>
          <w:b/>
          <w:sz w:val="24"/>
          <w:szCs w:val="21"/>
        </w:rPr>
        <w:t xml:space="preserve">    通知</w:t>
      </w:r>
      <w:bookmarkEnd w:id="117"/>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pPr>
        <w:pStyle w:val="6"/>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磋商文件用以阐明供应商所需提供的服务、工程或货物以及其它类似的义务、采购响应程序和合同条款。磋商文件包括如下五章内容：</w:t>
      </w:r>
    </w:p>
    <w:p>
      <w:pPr>
        <w:pStyle w:val="23"/>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pPr>
        <w:pStyle w:val="23"/>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pPr>
        <w:pStyle w:val="23"/>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pPr>
        <w:pStyle w:val="23"/>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pPr>
        <w:pStyle w:val="23"/>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pPr>
        <w:pStyle w:val="23"/>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pPr>
        <w:pStyle w:val="6"/>
        <w:rPr>
          <w:rFonts w:hint="eastAsia" w:ascii="仿宋" w:hAnsi="仿宋" w:eastAsia="仿宋" w:cs="仿宋"/>
          <w:b/>
          <w:sz w:val="24"/>
          <w:szCs w:val="21"/>
        </w:rPr>
      </w:pPr>
      <w:bookmarkStart w:id="126" w:name="_Toc70687147"/>
      <w:bookmarkStart w:id="127" w:name="_Toc184043020"/>
      <w:bookmarkStart w:id="128" w:name="_Toc249515286"/>
      <w:bookmarkStart w:id="129" w:name="_Toc249515398"/>
      <w:bookmarkStart w:id="130" w:name="_Toc385992333"/>
      <w:bookmarkStart w:id="131" w:name="_Toc249525167"/>
      <w:bookmarkStart w:id="132" w:name="_Toc389620172"/>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pPr>
        <w:tabs>
          <w:tab w:val="left" w:pos="588"/>
        </w:tabs>
        <w:spacing w:line="360" w:lineRule="auto"/>
        <w:ind w:left="840" w:hanging="840" w:hangingChars="350"/>
        <w:rPr>
          <w:rFonts w:hint="eastAsia" w:ascii="仿宋" w:hAnsi="仿宋" w:eastAsia="仿宋" w:cs="仿宋"/>
          <w:sz w:val="24"/>
        </w:rPr>
      </w:pPr>
      <w:bookmarkStart w:id="134" w:name="_Toc385992334"/>
      <w:bookmarkStart w:id="135" w:name="_Toc70687148"/>
      <w:bookmarkStart w:id="136" w:name="_Toc389620173"/>
      <w:r>
        <w:rPr>
          <w:rFonts w:hint="eastAsia" w:ascii="仿宋" w:hAnsi="仿宋" w:eastAsia="仿宋" w:cs="仿宋"/>
          <w:sz w:val="24"/>
        </w:rPr>
        <w:t xml:space="preserve">7.1    </w:t>
      </w:r>
      <w:bookmarkEnd w:id="134"/>
      <w:bookmarkEnd w:id="135"/>
      <w:bookmarkEnd w:id="136"/>
      <w:bookmarkStart w:id="137" w:name="_Toc500747065"/>
      <w:bookmarkStart w:id="138" w:name="_Toc492955418"/>
      <w:bookmarkStart w:id="139" w:name="_Toc500746969"/>
      <w:bookmarkStart w:id="140" w:name="_Toc389620174"/>
      <w:bookmarkStart w:id="141" w:name="_Toc499711046"/>
      <w:bookmarkStart w:id="142" w:name="_Toc70687149"/>
      <w:bookmarkStart w:id="143" w:name="_Toc500747192"/>
      <w:bookmarkStart w:id="144" w:name="_Toc385992335"/>
      <w:bookmarkStart w:id="145" w:name="_Toc496324582"/>
      <w:bookmarkStart w:id="146" w:name="_Toc53722843"/>
      <w:bookmarkStart w:id="147" w:name="_Toc499711887"/>
      <w:bookmarkStart w:id="148" w:name="_Toc503063425"/>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pPr>
        <w:pStyle w:val="23"/>
        <w:rPr>
          <w:rFonts w:hint="eastAsia" w:ascii="仿宋" w:hAnsi="仿宋" w:eastAsia="仿宋" w:cs="仿宋"/>
        </w:rPr>
      </w:pPr>
    </w:p>
    <w:p>
      <w:pPr>
        <w:pStyle w:val="82"/>
        <w:spacing w:before="24" w:after="24"/>
        <w:ind w:left="3313"/>
        <w:rPr>
          <w:rFonts w:hint="eastAsia" w:ascii="仿宋" w:hAnsi="仿宋" w:eastAsia="仿宋" w:cs="仿宋"/>
          <w:sz w:val="30"/>
          <w:szCs w:val="30"/>
        </w:rPr>
      </w:pPr>
      <w:bookmarkStart w:id="149" w:name="_Toc232395215"/>
      <w:bookmarkStart w:id="150" w:name="_Toc177189238"/>
      <w:bookmarkStart w:id="151" w:name="_Toc177817337"/>
      <w:bookmarkStart w:id="152" w:name="_Toc68590971"/>
      <w:bookmarkStart w:id="153" w:name="_Toc249525169"/>
      <w:bookmarkStart w:id="154" w:name="_Toc230099800"/>
      <w:bookmarkStart w:id="155" w:name="_Toc249515288"/>
      <w:bookmarkStart w:id="156" w:name="_Toc230013635"/>
      <w:bookmarkStart w:id="157" w:name="_Toc232176275"/>
      <w:bookmarkStart w:id="158" w:name="_Toc184043022"/>
      <w:bookmarkStart w:id="159" w:name="_Toc177995476"/>
      <w:bookmarkStart w:id="160" w:name="_Toc230583544"/>
      <w:bookmarkStart w:id="161" w:name="_Toc256342146"/>
      <w:bookmarkStart w:id="162" w:name="_Toc176882545"/>
      <w:bookmarkStart w:id="163" w:name="_Toc249515400"/>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6"/>
        <w:rPr>
          <w:rFonts w:hint="eastAsia" w:ascii="仿宋" w:hAnsi="仿宋" w:eastAsia="仿宋" w:cs="仿宋"/>
          <w:b/>
          <w:sz w:val="24"/>
          <w:szCs w:val="21"/>
        </w:rPr>
      </w:pPr>
      <w:bookmarkStart w:id="164" w:name="_Toc249515289"/>
      <w:bookmarkStart w:id="165" w:name="_Toc184043023"/>
      <w:bookmarkStart w:id="166" w:name="_Toc249515401"/>
      <w:bookmarkStart w:id="167" w:name="_Toc249525170"/>
      <w:bookmarkStart w:id="168" w:name="_Toc30150"/>
      <w:bookmarkStart w:id="169" w:name="_Toc70687150"/>
      <w:bookmarkStart w:id="170" w:name="_Toc385992337"/>
      <w:bookmarkStart w:id="171" w:name="_Toc389620176"/>
      <w:r>
        <w:rPr>
          <w:rFonts w:hint="eastAsia" w:ascii="仿宋" w:hAnsi="仿宋" w:eastAsia="仿宋" w:cs="仿宋"/>
          <w:b/>
          <w:sz w:val="24"/>
          <w:szCs w:val="21"/>
        </w:rPr>
        <w:t>8.     响应文件语言</w:t>
      </w:r>
      <w:bookmarkEnd w:id="164"/>
      <w:bookmarkEnd w:id="165"/>
      <w:bookmarkEnd w:id="166"/>
      <w:bookmarkEnd w:id="167"/>
      <w:bookmarkEnd w:id="168"/>
      <w:bookmarkEnd w:id="169"/>
    </w:p>
    <w:p>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pPr>
        <w:pStyle w:val="6"/>
        <w:rPr>
          <w:rFonts w:hint="eastAsia" w:ascii="仿宋" w:hAnsi="仿宋" w:eastAsia="仿宋" w:cs="仿宋"/>
          <w:b/>
          <w:sz w:val="24"/>
          <w:szCs w:val="21"/>
        </w:rPr>
      </w:pPr>
      <w:bookmarkStart w:id="172" w:name="_Toc249515402"/>
      <w:bookmarkStart w:id="173" w:name="_Toc18327"/>
      <w:bookmarkStart w:id="174" w:name="_Toc184043024"/>
      <w:bookmarkStart w:id="175" w:name="_Toc249515290"/>
      <w:bookmarkStart w:id="176" w:name="_Toc249525171"/>
      <w:bookmarkStart w:id="177" w:name="_Toc70687151"/>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pPr>
        <w:pStyle w:val="6"/>
        <w:rPr>
          <w:rFonts w:hint="eastAsia" w:ascii="仿宋" w:hAnsi="仿宋" w:eastAsia="仿宋" w:cs="仿宋"/>
          <w:b/>
          <w:sz w:val="24"/>
          <w:szCs w:val="21"/>
        </w:rPr>
      </w:pPr>
      <w:bookmarkStart w:id="178" w:name="_Toc389620177"/>
      <w:bookmarkStart w:id="179" w:name="_Toc70687152"/>
      <w:bookmarkStart w:id="180" w:name="_Toc249515291"/>
      <w:bookmarkStart w:id="181" w:name="_Toc385992338"/>
      <w:bookmarkStart w:id="182" w:name="_Toc249515403"/>
      <w:bookmarkStart w:id="183" w:name="_Toc249525172"/>
      <w:bookmarkStart w:id="184" w:name="_Toc184043025"/>
      <w:bookmarkStart w:id="185" w:name="_Toc29318"/>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pPr>
        <w:pStyle w:val="6"/>
        <w:rPr>
          <w:rFonts w:hint="eastAsia" w:ascii="仿宋" w:hAnsi="仿宋" w:eastAsia="仿宋" w:cs="仿宋"/>
          <w:b/>
          <w:sz w:val="24"/>
          <w:szCs w:val="21"/>
        </w:rPr>
      </w:pPr>
      <w:bookmarkStart w:id="186" w:name="_Toc385992339"/>
      <w:bookmarkStart w:id="187" w:name="_Toc249515404"/>
      <w:bookmarkStart w:id="188" w:name="_Toc249525173"/>
      <w:bookmarkStart w:id="189" w:name="_Toc70687153"/>
      <w:bookmarkStart w:id="190" w:name="_Toc26312"/>
      <w:bookmarkStart w:id="191" w:name="_Toc389620178"/>
      <w:bookmarkStart w:id="192" w:name="_Toc249515292"/>
      <w:bookmarkStart w:id="193" w:name="_Toc184043026"/>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pPr>
        <w:pStyle w:val="6"/>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工程、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供应商应在响应分项报价表中详细列出所报项目单价（如适用）和总价，并由法定代表人或其授权代表签署并加盖公章。响应分项报价表上的价格应按磋商文件第六章的格式填写。</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工程、货物、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w:t>
      </w:r>
      <w:r>
        <w:rPr>
          <w:rFonts w:hint="eastAsia" w:ascii="仿宋" w:hAnsi="仿宋" w:eastAsia="仿宋" w:cs="仿宋"/>
          <w:kern w:val="24"/>
          <w:sz w:val="24"/>
          <w:szCs w:val="21"/>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pPr>
        <w:pStyle w:val="6"/>
        <w:rPr>
          <w:rFonts w:hint="eastAsia" w:ascii="仿宋" w:hAnsi="仿宋" w:eastAsia="仿宋" w:cs="仿宋"/>
          <w:b/>
          <w:sz w:val="24"/>
          <w:szCs w:val="21"/>
        </w:rPr>
      </w:pPr>
      <w:bookmarkStart w:id="195" w:name="_Toc184043028"/>
      <w:bookmarkStart w:id="196" w:name="_Toc389620180"/>
      <w:bookmarkStart w:id="197" w:name="_Toc20687"/>
      <w:bookmarkStart w:id="198" w:name="_Toc249515406"/>
      <w:bookmarkStart w:id="199" w:name="_Toc70687155"/>
      <w:bookmarkStart w:id="200" w:name="_Toc385992341"/>
      <w:bookmarkStart w:id="201" w:name="_Toc249515294"/>
      <w:bookmarkStart w:id="202" w:name="_Toc249525175"/>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pPr>
        <w:pStyle w:val="6"/>
        <w:ind w:firstLine="0" w:firstLineChars="0"/>
        <w:rPr>
          <w:rFonts w:hint="eastAsia" w:ascii="仿宋" w:hAnsi="仿宋" w:eastAsia="仿宋" w:cs="仿宋"/>
          <w:sz w:val="24"/>
          <w:szCs w:val="24"/>
          <w:lang w:eastAsia="zh-CN"/>
        </w:rPr>
      </w:pPr>
      <w:bookmarkStart w:id="205" w:name="止观"/>
      <w:bookmarkEnd w:id="205"/>
      <w:r>
        <w:rPr>
          <w:rFonts w:hint="eastAsia" w:ascii="仿宋" w:hAnsi="仿宋" w:eastAsia="仿宋" w:cs="仿宋"/>
          <w:b/>
          <w:sz w:val="24"/>
          <w:szCs w:val="21"/>
        </w:rPr>
        <w:t xml:space="preserve">14.    </w:t>
      </w:r>
      <w:r>
        <w:rPr>
          <w:rFonts w:hint="eastAsia" w:ascii="仿宋" w:hAnsi="仿宋" w:eastAsia="仿宋" w:cs="仿宋"/>
          <w:sz w:val="24"/>
          <w:szCs w:val="24"/>
        </w:rPr>
        <w:t>投标</w:t>
      </w:r>
      <w:r>
        <w:rPr>
          <w:rFonts w:hint="eastAsia" w:ascii="仿宋" w:hAnsi="仿宋" w:eastAsia="仿宋" w:cs="仿宋"/>
          <w:sz w:val="24"/>
          <w:szCs w:val="24"/>
          <w:lang w:eastAsia="zh-CN"/>
        </w:rPr>
        <w:t>信用承诺书</w:t>
      </w:r>
    </w:p>
    <w:p>
      <w:pPr>
        <w:numPr>
          <w:ilvl w:val="0"/>
          <w:numId w:val="0"/>
        </w:numPr>
        <w:tabs>
          <w:tab w:val="left" w:pos="588"/>
        </w:tabs>
        <w:spacing w:line="360" w:lineRule="auto"/>
        <w:rPr>
          <w:rFonts w:hint="eastAsia" w:ascii="仿宋" w:hAnsi="仿宋" w:eastAsia="仿宋" w:cs="仿宋"/>
          <w:kern w:val="24"/>
          <w:sz w:val="24"/>
          <w:szCs w:val="21"/>
        </w:rPr>
      </w:pPr>
      <w:bookmarkStart w:id="206" w:name="_Ref467306302"/>
      <w:r>
        <w:rPr>
          <w:rFonts w:hint="eastAsia" w:ascii="仿宋" w:hAnsi="仿宋" w:eastAsia="仿宋" w:cs="仿宋"/>
          <w:sz w:val="24"/>
        </w:rPr>
        <w:t>1</w:t>
      </w:r>
      <w:r>
        <w:rPr>
          <w:rFonts w:hint="eastAsia" w:ascii="仿宋" w:hAnsi="仿宋" w:eastAsia="仿宋" w:cs="仿宋"/>
          <w:sz w:val="24"/>
          <w:lang w:val="en-US" w:eastAsia="zh-CN"/>
        </w:rPr>
        <w:t>4</w:t>
      </w:r>
      <w:r>
        <w:rPr>
          <w:rFonts w:hint="eastAsia" w:ascii="仿宋" w:hAnsi="仿宋" w:eastAsia="仿宋" w:cs="仿宋"/>
          <w:sz w:val="24"/>
        </w:rPr>
        <w:t>.1</w:t>
      </w:r>
      <w:bookmarkEnd w:id="206"/>
      <w:r>
        <w:rPr>
          <w:rFonts w:hint="eastAsia" w:ascii="仿宋" w:hAnsi="仿宋" w:eastAsia="仿宋" w:cs="仿宋"/>
          <w:sz w:val="24"/>
        </w:rPr>
        <w:t xml:space="preserve">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pPr>
        <w:pStyle w:val="6"/>
        <w:rPr>
          <w:rFonts w:hint="eastAsia" w:ascii="仿宋" w:hAnsi="仿宋" w:eastAsia="仿宋" w:cs="仿宋"/>
          <w:b/>
          <w:sz w:val="24"/>
          <w:szCs w:val="21"/>
        </w:rPr>
      </w:pPr>
      <w:bookmarkStart w:id="207" w:name="_Toc7949"/>
      <w:bookmarkStart w:id="208" w:name="_Toc249515296"/>
      <w:bookmarkStart w:id="209" w:name="_Toc249515408"/>
      <w:bookmarkStart w:id="210" w:name="_Toc249525177"/>
      <w:r>
        <w:rPr>
          <w:rFonts w:hint="eastAsia" w:ascii="仿宋" w:hAnsi="仿宋" w:eastAsia="仿宋" w:cs="仿宋"/>
          <w:b/>
          <w:sz w:val="24"/>
          <w:szCs w:val="21"/>
        </w:rPr>
        <w:t>15.    磋商有效期</w:t>
      </w:r>
      <w:bookmarkEnd w:id="207"/>
      <w:bookmarkEnd w:id="208"/>
      <w:bookmarkEnd w:id="209"/>
      <w:bookmarkEnd w:id="210"/>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同意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pPr>
        <w:pStyle w:val="6"/>
        <w:rPr>
          <w:rFonts w:hint="eastAsia" w:ascii="仿宋" w:hAnsi="仿宋" w:eastAsia="仿宋" w:cs="仿宋"/>
          <w:b/>
          <w:sz w:val="24"/>
          <w:szCs w:val="21"/>
        </w:rPr>
      </w:pPr>
      <w:bookmarkStart w:id="211" w:name="_Toc249515297"/>
      <w:bookmarkStart w:id="212" w:name="_Toc385992346"/>
      <w:bookmarkStart w:id="213" w:name="_Toc389620185"/>
      <w:bookmarkStart w:id="214" w:name="_Toc70687160"/>
      <w:bookmarkStart w:id="215" w:name="_Toc249515409"/>
      <w:bookmarkStart w:id="216" w:name="_Toc16612"/>
      <w:bookmarkStart w:id="217" w:name="_Toc249525178"/>
      <w:bookmarkStart w:id="218" w:name="_Toc184043033"/>
      <w:r>
        <w:rPr>
          <w:rFonts w:hint="eastAsia" w:ascii="仿宋" w:hAnsi="仿宋" w:eastAsia="仿宋" w:cs="仿宋"/>
          <w:b/>
          <w:sz w:val="24"/>
          <w:szCs w:val="21"/>
        </w:rPr>
        <w:t>16.    响应文件的制作和签署</w:t>
      </w:r>
      <w:bookmarkEnd w:id="211"/>
      <w:bookmarkEnd w:id="212"/>
      <w:bookmarkEnd w:id="213"/>
      <w:bookmarkEnd w:id="214"/>
      <w:bookmarkEnd w:id="215"/>
      <w:bookmarkEnd w:id="216"/>
      <w:bookmarkEnd w:id="217"/>
      <w:bookmarkEnd w:id="218"/>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任何行间插字、涂改或增删，必须由响应文件签字人将姓或首字母在旁边签字才有效。</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tabs>
          <w:tab w:val="left" w:pos="588"/>
        </w:tabs>
        <w:spacing w:line="360" w:lineRule="auto"/>
        <w:ind w:left="840" w:hanging="840" w:hangingChars="350"/>
        <w:rPr>
          <w:rFonts w:hint="eastAsia" w:ascii="仿宋" w:hAnsi="仿宋" w:eastAsia="仿宋" w:cs="仿宋"/>
          <w:sz w:val="24"/>
        </w:rPr>
      </w:pPr>
      <w:bookmarkStart w:id="219" w:name="_Hlt491765640"/>
      <w:bookmarkEnd w:id="219"/>
      <w:bookmarkStart w:id="220" w:name="_Toc177189239"/>
      <w:bookmarkStart w:id="221" w:name="_Toc230583545"/>
      <w:bookmarkStart w:id="222" w:name="_Toc230099801"/>
      <w:bookmarkStart w:id="223" w:name="_Toc232395216"/>
      <w:bookmarkStart w:id="224" w:name="_Toc70687161"/>
      <w:bookmarkStart w:id="225" w:name="_Toc249515410"/>
      <w:bookmarkStart w:id="226" w:name="_Toc385992347"/>
      <w:bookmarkStart w:id="227" w:name="_Toc499711888"/>
      <w:bookmarkStart w:id="228" w:name="_Toc176882546"/>
      <w:bookmarkStart w:id="229" w:name="_Toc230013636"/>
      <w:bookmarkStart w:id="230" w:name="_Toc177995477"/>
      <w:bookmarkStart w:id="231" w:name="_Toc249525179"/>
      <w:bookmarkStart w:id="232" w:name="_Toc177817338"/>
      <w:bookmarkStart w:id="233" w:name="_Toc503063426"/>
      <w:bookmarkStart w:id="234" w:name="_Toc256342147"/>
      <w:bookmarkStart w:id="235" w:name="_Toc249515298"/>
      <w:bookmarkStart w:id="236" w:name="_Toc500746970"/>
      <w:bookmarkStart w:id="237" w:name="_Toc496324583"/>
      <w:bookmarkStart w:id="238" w:name="_Toc492955419"/>
      <w:bookmarkStart w:id="239" w:name="_Toc53722844"/>
      <w:bookmarkStart w:id="240" w:name="_Toc184043034"/>
      <w:bookmarkStart w:id="241" w:name="_Toc500747066"/>
      <w:bookmarkStart w:id="242" w:name="_Toc389620186"/>
      <w:bookmarkStart w:id="243" w:name="_Toc499711047"/>
      <w:bookmarkStart w:id="244" w:name="_Toc500747193"/>
      <w:bookmarkStart w:id="245" w:name="_Toc232176276"/>
      <w:r>
        <w:rPr>
          <w:rFonts w:hint="eastAsia" w:ascii="仿宋" w:hAnsi="仿宋" w:eastAsia="仿宋" w:cs="仿宋"/>
          <w:sz w:val="24"/>
        </w:rPr>
        <w:t>16.7   响应文件应按照“资格证明文件”和“商务及技术文件”分成两部分，并用不可拆装的方式分别装订成册。</w:t>
      </w:r>
    </w:p>
    <w:p>
      <w:pPr>
        <w:pStyle w:val="23"/>
        <w:rPr>
          <w:rFonts w:hint="eastAsia" w:ascii="仿宋" w:hAnsi="仿宋" w:eastAsia="仿宋" w:cs="仿宋"/>
        </w:rPr>
      </w:pPr>
    </w:p>
    <w:p>
      <w:pPr>
        <w:pStyle w:val="82"/>
        <w:spacing w:before="24" w:after="24"/>
        <w:jc w:val="center"/>
        <w:rPr>
          <w:rFonts w:hint="eastAsia" w:ascii="仿宋" w:hAnsi="仿宋" w:eastAsia="仿宋" w:cs="仿宋"/>
          <w:sz w:val="30"/>
          <w:szCs w:val="30"/>
        </w:rPr>
      </w:pPr>
      <w:bookmarkStart w:id="246" w:name="_Toc68590972"/>
      <w:r>
        <w:rPr>
          <w:rFonts w:hint="eastAsia" w:ascii="仿宋" w:hAnsi="仿宋" w:eastAsia="仿宋" w:cs="仿宋"/>
          <w:sz w:val="30"/>
          <w:szCs w:val="30"/>
        </w:rPr>
        <w:t>四、响应文件的密封和递交</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rPr>
          <w:rFonts w:hint="eastAsia" w:ascii="仿宋" w:hAnsi="仿宋" w:eastAsia="仿宋" w:cs="仿宋"/>
        </w:rPr>
      </w:pPr>
    </w:p>
    <w:p>
      <w:pPr>
        <w:pStyle w:val="6"/>
        <w:rPr>
          <w:rFonts w:hint="eastAsia" w:ascii="仿宋" w:hAnsi="仿宋" w:eastAsia="仿宋" w:cs="仿宋"/>
          <w:b/>
          <w:sz w:val="24"/>
          <w:szCs w:val="21"/>
        </w:rPr>
      </w:pPr>
      <w:bookmarkStart w:id="247" w:name="_Toc184043035"/>
      <w:bookmarkStart w:id="248" w:name="_Toc249515411"/>
      <w:bookmarkStart w:id="249" w:name="_Toc385992348"/>
      <w:bookmarkStart w:id="250" w:name="_Toc249515299"/>
      <w:bookmarkStart w:id="251" w:name="_Toc4042"/>
      <w:bookmarkStart w:id="252" w:name="_Toc389620187"/>
      <w:bookmarkStart w:id="253" w:name="_Toc249525180"/>
      <w:bookmarkStart w:id="254" w:name="_Toc70687162"/>
      <w:r>
        <w:rPr>
          <w:rFonts w:hint="eastAsia" w:ascii="仿宋" w:hAnsi="仿宋" w:eastAsia="仿宋" w:cs="仿宋"/>
          <w:b/>
          <w:sz w:val="24"/>
          <w:szCs w:val="21"/>
        </w:rPr>
        <w:t>17.    响应文件的密封和标记</w:t>
      </w:r>
      <w:bookmarkEnd w:id="247"/>
      <w:bookmarkEnd w:id="248"/>
      <w:bookmarkEnd w:id="249"/>
      <w:bookmarkEnd w:id="250"/>
      <w:bookmarkEnd w:id="251"/>
      <w:bookmarkEnd w:id="252"/>
      <w:bookmarkEnd w:id="253"/>
      <w:bookmarkEnd w:id="254"/>
    </w:p>
    <w:p>
      <w:pPr>
        <w:tabs>
          <w:tab w:val="left" w:pos="588"/>
        </w:tabs>
        <w:spacing w:line="360" w:lineRule="auto"/>
        <w:ind w:left="840" w:hanging="840" w:hangingChars="350"/>
        <w:rPr>
          <w:rFonts w:hint="eastAsia" w:ascii="仿宋" w:hAnsi="仿宋" w:eastAsia="仿宋" w:cs="仿宋"/>
          <w:sz w:val="24"/>
        </w:rPr>
      </w:pPr>
      <w:bookmarkStart w:id="255" w:name="_Toc389620188"/>
      <w:bookmarkStart w:id="256" w:name="_Toc385992349"/>
      <w:bookmarkStart w:id="257" w:name="_Toc70687163"/>
      <w:bookmarkStart w:id="258" w:name="_Toc184043036"/>
      <w:r>
        <w:rPr>
          <w:rFonts w:hint="eastAsia" w:ascii="仿宋" w:hAnsi="仿宋" w:eastAsia="仿宋" w:cs="仿宋"/>
          <w:kern w:val="0"/>
          <w:sz w:val="24"/>
          <w:szCs w:val="21"/>
        </w:rPr>
        <w:t xml:space="preserve">17.1   </w:t>
      </w:r>
      <w:r>
        <w:rPr>
          <w:rFonts w:hint="eastAsia" w:ascii="仿宋" w:hAnsi="仿宋" w:eastAsia="仿宋" w:cs="仿宋"/>
          <w:kern w:val="0"/>
          <w:sz w:val="24"/>
          <w:szCs w:val="21"/>
          <w:lang w:eastAsia="zh-CN"/>
        </w:rPr>
        <w:t>项目采用线上开评标方式进行，所递交资格证明文件、商务及技术文件满足磋商文件要求</w:t>
      </w:r>
      <w:r>
        <w:rPr>
          <w:rFonts w:hint="eastAsia" w:ascii="仿宋" w:hAnsi="仿宋" w:eastAsia="仿宋" w:cs="仿宋"/>
          <w:kern w:val="0"/>
          <w:sz w:val="24"/>
          <w:szCs w:val="21"/>
        </w:rPr>
        <w:t>。</w:t>
      </w:r>
    </w:p>
    <w:p>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 xml:space="preserve">17.2   </w:t>
      </w:r>
      <w:r>
        <w:rPr>
          <w:rFonts w:hint="eastAsia" w:ascii="仿宋" w:hAnsi="仿宋" w:eastAsia="仿宋" w:cs="仿宋"/>
          <w:kern w:val="0"/>
          <w:sz w:val="24"/>
          <w:szCs w:val="21"/>
          <w:lang w:eastAsia="zh-CN"/>
        </w:rPr>
        <w:t>具体要求</w:t>
      </w:r>
      <w:r>
        <w:rPr>
          <w:rFonts w:hint="eastAsia" w:ascii="仿宋" w:hAnsi="仿宋" w:eastAsia="仿宋" w:cs="仿宋"/>
          <w:kern w:val="0"/>
          <w:sz w:val="24"/>
          <w:szCs w:val="21"/>
        </w:rPr>
        <w:t>见</w:t>
      </w:r>
      <w:r>
        <w:rPr>
          <w:rFonts w:hint="eastAsia" w:ascii="仿宋" w:hAnsi="仿宋" w:eastAsia="仿宋" w:cs="仿宋"/>
          <w:b/>
          <w:sz w:val="24"/>
        </w:rPr>
        <w:t>供应商须知前附表。</w:t>
      </w:r>
    </w:p>
    <w:p>
      <w:pPr>
        <w:pStyle w:val="23"/>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55"/>
    <w:bookmarkEnd w:id="256"/>
    <w:p>
      <w:pPr>
        <w:pStyle w:val="6"/>
        <w:rPr>
          <w:rFonts w:hint="eastAsia" w:ascii="仿宋" w:hAnsi="仿宋" w:eastAsia="仿宋" w:cs="仿宋"/>
          <w:b/>
          <w:sz w:val="24"/>
          <w:szCs w:val="21"/>
        </w:rPr>
      </w:pPr>
      <w:bookmarkStart w:id="259" w:name="_Toc249515412"/>
      <w:bookmarkStart w:id="260" w:name="_Toc249515300"/>
      <w:bookmarkStart w:id="261" w:name="_Toc249525181"/>
      <w:bookmarkStart w:id="262" w:name="_Toc31171"/>
      <w:r>
        <w:rPr>
          <w:rFonts w:hint="eastAsia" w:ascii="仿宋" w:hAnsi="仿宋" w:eastAsia="仿宋" w:cs="仿宋"/>
          <w:b/>
          <w:sz w:val="24"/>
          <w:szCs w:val="21"/>
        </w:rPr>
        <w:t>18.    响应文件递交截止时间</w:t>
      </w:r>
      <w:bookmarkEnd w:id="257"/>
      <w:bookmarkEnd w:id="258"/>
      <w:bookmarkEnd w:id="259"/>
      <w:bookmarkEnd w:id="260"/>
      <w:bookmarkEnd w:id="261"/>
      <w:bookmarkEnd w:id="262"/>
    </w:p>
    <w:p>
      <w:pPr>
        <w:tabs>
          <w:tab w:val="left" w:pos="588"/>
        </w:tabs>
        <w:spacing w:line="360" w:lineRule="auto"/>
        <w:rPr>
          <w:rFonts w:hint="eastAsia" w:ascii="仿宋" w:hAnsi="仿宋" w:eastAsia="仿宋" w:cs="仿宋"/>
          <w:sz w:val="24"/>
        </w:rPr>
      </w:pPr>
      <w:bookmarkStart w:id="263" w:name="_Toc385992350"/>
      <w:bookmarkStart w:id="264" w:name="_Toc184043037"/>
      <w:bookmarkStart w:id="265" w:name="_Toc70687164"/>
      <w:bookmarkStart w:id="266" w:name="_Toc389620189"/>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供应商须由其合法的授权人在响应文件递交截止时间之前将响应文件在响应文件递交地点送达采购人并签字确认。供应商须承担因未送达并签字所造成的一切责任。</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pPr>
        <w:pStyle w:val="6"/>
        <w:rPr>
          <w:rFonts w:hint="eastAsia" w:ascii="仿宋" w:hAnsi="仿宋" w:eastAsia="仿宋" w:cs="仿宋"/>
          <w:b/>
          <w:sz w:val="24"/>
          <w:szCs w:val="21"/>
        </w:rPr>
      </w:pPr>
      <w:bookmarkStart w:id="267" w:name="_Toc249515301"/>
      <w:bookmarkStart w:id="268" w:name="_Toc7175"/>
      <w:bookmarkStart w:id="269" w:name="_Toc249525182"/>
      <w:bookmarkStart w:id="270" w:name="_Toc249515413"/>
      <w:r>
        <w:rPr>
          <w:rFonts w:hint="eastAsia" w:ascii="仿宋" w:hAnsi="仿宋" w:eastAsia="仿宋" w:cs="仿宋"/>
          <w:b/>
          <w:sz w:val="24"/>
          <w:szCs w:val="21"/>
        </w:rPr>
        <w:t>19.    迟交的响应文件</w:t>
      </w:r>
      <w:bookmarkEnd w:id="263"/>
      <w:bookmarkEnd w:id="264"/>
      <w:bookmarkEnd w:id="265"/>
      <w:bookmarkEnd w:id="266"/>
      <w:bookmarkEnd w:id="267"/>
      <w:bookmarkEnd w:id="268"/>
      <w:bookmarkEnd w:id="269"/>
      <w:bookmarkEnd w:id="270"/>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pPr>
        <w:pStyle w:val="6"/>
        <w:rPr>
          <w:rFonts w:hint="eastAsia" w:ascii="仿宋" w:hAnsi="仿宋" w:eastAsia="仿宋" w:cs="仿宋"/>
          <w:b/>
          <w:sz w:val="24"/>
          <w:szCs w:val="21"/>
        </w:rPr>
      </w:pPr>
      <w:bookmarkStart w:id="271" w:name="_Toc184043038"/>
      <w:bookmarkStart w:id="272" w:name="_Toc249525183"/>
      <w:bookmarkStart w:id="273" w:name="_Toc10272"/>
      <w:bookmarkStart w:id="274" w:name="_Toc70687165"/>
      <w:bookmarkStart w:id="275" w:name="_Toc389620190"/>
      <w:bookmarkStart w:id="276" w:name="_Toc249515302"/>
      <w:bookmarkStart w:id="277" w:name="_Toc249515414"/>
      <w:bookmarkStart w:id="278" w:name="_Toc385992351"/>
      <w:r>
        <w:rPr>
          <w:rFonts w:hint="eastAsia" w:ascii="仿宋" w:hAnsi="仿宋" w:eastAsia="仿宋" w:cs="仿宋"/>
          <w:b/>
          <w:sz w:val="24"/>
          <w:szCs w:val="21"/>
        </w:rPr>
        <w:t>20.    响应文件的修改和撤</w:t>
      </w:r>
      <w:bookmarkEnd w:id="271"/>
      <w:bookmarkEnd w:id="272"/>
      <w:bookmarkEnd w:id="273"/>
      <w:bookmarkEnd w:id="274"/>
      <w:bookmarkEnd w:id="275"/>
      <w:bookmarkEnd w:id="276"/>
      <w:bookmarkEnd w:id="277"/>
      <w:bookmarkEnd w:id="278"/>
      <w:r>
        <w:rPr>
          <w:rFonts w:hint="eastAsia" w:ascii="仿宋" w:hAnsi="仿宋" w:eastAsia="仿宋" w:cs="仿宋"/>
          <w:b/>
          <w:sz w:val="24"/>
          <w:szCs w:val="21"/>
        </w:rPr>
        <w:t>回</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r>
        <w:rPr>
          <w:rFonts w:hint="eastAsia" w:ascii="仿宋" w:hAnsi="仿宋" w:eastAsia="仿宋" w:cs="仿宋"/>
          <w:sz w:val="24"/>
          <w:lang w:eastAsia="zh-CN"/>
        </w:rPr>
        <w:t>，也可在磋商截止时间前在陕西省公共资源交易中心网线上提交相关补充材料（提交后须告知招标代理机构）</w:t>
      </w:r>
      <w:r>
        <w:rPr>
          <w:rFonts w:hint="eastAsia" w:ascii="仿宋" w:hAnsi="仿宋" w:eastAsia="仿宋" w:cs="仿宋"/>
          <w:sz w:val="24"/>
        </w:rPr>
        <w:t>。</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pPr>
        <w:pStyle w:val="23"/>
        <w:rPr>
          <w:rFonts w:hint="eastAsia" w:ascii="仿宋" w:hAnsi="仿宋" w:eastAsia="仿宋" w:cs="仿宋"/>
        </w:rPr>
      </w:pPr>
    </w:p>
    <w:p>
      <w:pPr>
        <w:pStyle w:val="82"/>
        <w:spacing w:before="24" w:after="24"/>
        <w:ind w:left="3313"/>
        <w:rPr>
          <w:rFonts w:hint="eastAsia" w:ascii="仿宋" w:hAnsi="仿宋" w:eastAsia="仿宋" w:cs="仿宋"/>
          <w:sz w:val="30"/>
          <w:szCs w:val="30"/>
        </w:rPr>
      </w:pPr>
      <w:bookmarkStart w:id="279" w:name="_Hlt497729441"/>
      <w:bookmarkEnd w:id="279"/>
      <w:bookmarkStart w:id="280" w:name="_Hlt491765712"/>
      <w:bookmarkEnd w:id="280"/>
      <w:bookmarkStart w:id="281" w:name="_Toc249515415"/>
      <w:bookmarkStart w:id="282" w:name="_Toc249515303"/>
      <w:bookmarkStart w:id="283" w:name="_Toc256342148"/>
      <w:bookmarkStart w:id="284" w:name="_Toc249525184"/>
      <w:bookmarkStart w:id="285" w:name="_Toc68590973"/>
      <w:bookmarkStart w:id="286" w:name="_Toc177995478"/>
      <w:bookmarkStart w:id="287" w:name="_Toc184043039"/>
      <w:bookmarkStart w:id="288" w:name="_Toc70687166"/>
      <w:bookmarkStart w:id="289" w:name="_Toc499711889"/>
      <w:bookmarkStart w:id="290" w:name="_Toc500746971"/>
      <w:bookmarkStart w:id="291" w:name="_Toc53722845"/>
      <w:bookmarkStart w:id="292" w:name="_Toc499711048"/>
      <w:bookmarkStart w:id="293" w:name="_Toc503063427"/>
      <w:bookmarkStart w:id="294" w:name="_Toc177189240"/>
      <w:bookmarkStart w:id="295" w:name="_Toc177817339"/>
      <w:bookmarkStart w:id="296" w:name="_Toc385992352"/>
      <w:bookmarkStart w:id="297" w:name="_Toc389620191"/>
      <w:bookmarkStart w:id="298" w:name="_Toc500747194"/>
      <w:bookmarkStart w:id="299" w:name="_Toc500747067"/>
      <w:bookmarkStart w:id="300" w:name="_Toc176882547"/>
      <w:bookmarkStart w:id="301" w:name="_Toc496324584"/>
      <w:bookmarkStart w:id="302" w:name="_Toc492955420"/>
      <w:r>
        <w:rPr>
          <w:rFonts w:hint="eastAsia" w:ascii="仿宋" w:hAnsi="仿宋" w:eastAsia="仿宋" w:cs="仿宋"/>
          <w:sz w:val="30"/>
          <w:szCs w:val="30"/>
        </w:rPr>
        <w:t>五、评审与</w:t>
      </w:r>
      <w:bookmarkEnd w:id="281"/>
      <w:bookmarkEnd w:id="282"/>
      <w:bookmarkEnd w:id="283"/>
      <w:bookmarkEnd w:id="284"/>
      <w:r>
        <w:rPr>
          <w:rFonts w:hint="eastAsia" w:ascii="仿宋" w:hAnsi="仿宋" w:eastAsia="仿宋" w:cs="仿宋"/>
          <w:sz w:val="30"/>
          <w:szCs w:val="30"/>
        </w:rPr>
        <w:t>磋商</w:t>
      </w:r>
      <w:bookmarkEnd w:id="285"/>
    </w:p>
    <w:p>
      <w:pPr>
        <w:pStyle w:val="6"/>
        <w:numPr>
          <w:ilvl w:val="0"/>
          <w:numId w:val="8"/>
        </w:numPr>
        <w:rPr>
          <w:rFonts w:hint="eastAsia" w:ascii="仿宋" w:hAnsi="仿宋" w:eastAsia="仿宋" w:cs="仿宋"/>
          <w:b/>
          <w:sz w:val="24"/>
        </w:rPr>
      </w:pPr>
      <w:bookmarkStart w:id="303" w:name="_Toc16042"/>
      <w:bookmarkStart w:id="304" w:name="_Toc249525186"/>
      <w:bookmarkStart w:id="305" w:name="_Toc249515305"/>
      <w:bookmarkStart w:id="306" w:name="_Toc249515417"/>
      <w:r>
        <w:rPr>
          <w:rFonts w:hint="eastAsia" w:ascii="仿宋" w:hAnsi="仿宋" w:eastAsia="仿宋" w:cs="仿宋"/>
          <w:b/>
          <w:sz w:val="24"/>
        </w:rPr>
        <w:t xml:space="preserve">   磋商小组</w:t>
      </w:r>
      <w:bookmarkEnd w:id="303"/>
      <w:bookmarkEnd w:id="304"/>
      <w:bookmarkEnd w:id="305"/>
      <w:bookmarkEnd w:id="306"/>
    </w:p>
    <w:p>
      <w:pPr>
        <w:pStyle w:val="29"/>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pPr>
        <w:pStyle w:val="29"/>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pPr>
        <w:pStyle w:val="6"/>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pPr>
        <w:pStyle w:val="6"/>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pPr>
        <w:pStyle w:val="6"/>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pPr>
        <w:pStyle w:val="6"/>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pPr>
        <w:pStyle w:val="6"/>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pPr>
        <w:pStyle w:val="6"/>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pPr>
        <w:pStyle w:val="6"/>
        <w:rPr>
          <w:rFonts w:hint="eastAsia" w:ascii="仿宋" w:hAnsi="仿宋" w:eastAsia="仿宋" w:cs="仿宋"/>
          <w:b/>
          <w:sz w:val="24"/>
          <w:szCs w:val="21"/>
        </w:rPr>
      </w:pPr>
      <w:bookmarkStart w:id="307" w:name="_Toc83547667"/>
      <w:bookmarkStart w:id="308" w:name="_Toc249525187"/>
      <w:bookmarkStart w:id="309" w:name="_Toc249515306"/>
      <w:bookmarkStart w:id="310" w:name="_Toc249515418"/>
      <w:bookmarkStart w:id="311" w:name="_Toc20608"/>
      <w:r>
        <w:rPr>
          <w:rFonts w:hint="eastAsia" w:ascii="仿宋" w:hAnsi="仿宋" w:eastAsia="仿宋" w:cs="仿宋"/>
          <w:b/>
          <w:sz w:val="24"/>
          <w:szCs w:val="21"/>
        </w:rPr>
        <w:t>23.    磋商程序</w:t>
      </w:r>
    </w:p>
    <w:p>
      <w:pPr>
        <w:pStyle w:val="6"/>
        <w:tabs>
          <w:tab w:val="left" w:pos="360"/>
        </w:tabs>
        <w:rPr>
          <w:rFonts w:hint="eastAsia" w:ascii="仿宋" w:hAnsi="仿宋" w:eastAsia="仿宋" w:cs="仿宋"/>
          <w:b/>
          <w:sz w:val="24"/>
          <w:szCs w:val="21"/>
        </w:rPr>
      </w:pPr>
      <w:bookmarkStart w:id="312" w:name="_Toc58504507"/>
      <w:r>
        <w:rPr>
          <w:rFonts w:hint="eastAsia" w:ascii="仿宋" w:hAnsi="仿宋" w:eastAsia="仿宋" w:cs="仿宋"/>
          <w:b/>
          <w:sz w:val="24"/>
          <w:szCs w:val="21"/>
        </w:rPr>
        <w:t>23.1   磋商会议</w:t>
      </w:r>
      <w:bookmarkEnd w:id="312"/>
    </w:p>
    <w:p>
      <w:pPr>
        <w:pStyle w:val="23"/>
        <w:ind w:left="840" w:leftChars="400"/>
        <w:rPr>
          <w:rFonts w:hint="eastAsia" w:ascii="仿宋" w:hAnsi="仿宋" w:eastAsia="仿宋" w:cs="仿宋"/>
          <w:sz w:val="24"/>
          <w:szCs w:val="32"/>
        </w:rPr>
      </w:pPr>
      <w:bookmarkStart w:id="313" w:name="_Toc58504508"/>
      <w:r>
        <w:rPr>
          <w:rFonts w:hint="eastAsia" w:ascii="仿宋" w:hAnsi="仿宋" w:eastAsia="仿宋" w:cs="仿宋"/>
          <w:sz w:val="24"/>
          <w:szCs w:val="32"/>
        </w:rPr>
        <w:t>（1）在磋商文件规定的时间和地点，由采购代理机构组织磋商工作，供应商须委派代表参加，签名以证明其出席。</w:t>
      </w:r>
      <w:bookmarkEnd w:id="313"/>
    </w:p>
    <w:p>
      <w:pPr>
        <w:pStyle w:val="23"/>
        <w:ind w:left="840" w:leftChars="400"/>
        <w:rPr>
          <w:rFonts w:hint="eastAsia" w:ascii="仿宋" w:hAnsi="仿宋" w:eastAsia="仿宋" w:cs="仿宋"/>
          <w:sz w:val="24"/>
          <w:szCs w:val="32"/>
        </w:rPr>
      </w:pPr>
      <w:bookmarkStart w:id="314" w:name="_Toc58504509"/>
      <w:r>
        <w:rPr>
          <w:rFonts w:hint="eastAsia" w:ascii="仿宋" w:hAnsi="仿宋" w:eastAsia="仿宋" w:cs="仿宋"/>
          <w:sz w:val="24"/>
          <w:szCs w:val="32"/>
        </w:rPr>
        <w:t>（2）各供应商</w:t>
      </w:r>
      <w:r>
        <w:rPr>
          <w:rFonts w:hint="eastAsia" w:ascii="仿宋" w:hAnsi="仿宋" w:eastAsia="仿宋" w:cs="仿宋"/>
          <w:sz w:val="24"/>
          <w:szCs w:val="32"/>
          <w:lang w:eastAsia="zh-CN"/>
        </w:rPr>
        <w:t>按照磋商文件要求线上解密磋商响应文件。</w:t>
      </w:r>
      <w:bookmarkEnd w:id="314"/>
    </w:p>
    <w:p>
      <w:pPr>
        <w:pStyle w:val="23"/>
        <w:ind w:left="840" w:leftChars="400"/>
        <w:rPr>
          <w:rFonts w:hint="eastAsia" w:ascii="仿宋" w:hAnsi="仿宋" w:eastAsia="仿宋" w:cs="仿宋"/>
          <w:sz w:val="24"/>
          <w:szCs w:val="32"/>
        </w:rPr>
      </w:pPr>
      <w:bookmarkStart w:id="315" w:name="_Toc58504510"/>
      <w:r>
        <w:rPr>
          <w:rFonts w:hint="eastAsia" w:ascii="仿宋" w:hAnsi="仿宋" w:eastAsia="仿宋" w:cs="仿宋"/>
          <w:sz w:val="24"/>
          <w:szCs w:val="32"/>
        </w:rPr>
        <w:t>（3）采购代理机构工作人员按照顺序，将各供应商首次响应文件的份数等内容公布，无异议后，由供应商法定代表人（或授权代表人）和监督人签字确认。</w:t>
      </w:r>
      <w:bookmarkEnd w:id="315"/>
    </w:p>
    <w:p>
      <w:pPr>
        <w:pStyle w:val="6"/>
        <w:tabs>
          <w:tab w:val="left" w:pos="360"/>
        </w:tabs>
        <w:rPr>
          <w:rFonts w:hint="eastAsia" w:ascii="仿宋" w:hAnsi="仿宋" w:eastAsia="仿宋" w:cs="仿宋"/>
          <w:b/>
          <w:sz w:val="24"/>
          <w:szCs w:val="21"/>
        </w:rPr>
      </w:pPr>
      <w:bookmarkStart w:id="316" w:name="_Toc58504511"/>
      <w:r>
        <w:rPr>
          <w:rFonts w:hint="eastAsia" w:ascii="仿宋" w:hAnsi="仿宋" w:eastAsia="仿宋" w:cs="仿宋"/>
          <w:b/>
          <w:sz w:val="24"/>
          <w:szCs w:val="21"/>
        </w:rPr>
        <w:t>23.2   响应文件</w:t>
      </w:r>
      <w:bookmarkEnd w:id="307"/>
      <w:bookmarkEnd w:id="308"/>
      <w:bookmarkEnd w:id="309"/>
      <w:bookmarkEnd w:id="310"/>
      <w:bookmarkEnd w:id="311"/>
      <w:r>
        <w:rPr>
          <w:rFonts w:hint="eastAsia" w:ascii="仿宋" w:hAnsi="仿宋" w:eastAsia="仿宋" w:cs="仿宋"/>
          <w:b/>
          <w:sz w:val="24"/>
          <w:szCs w:val="21"/>
        </w:rPr>
        <w:t>评审</w:t>
      </w:r>
      <w:bookmarkEnd w:id="316"/>
    </w:p>
    <w:p>
      <w:pPr>
        <w:tabs>
          <w:tab w:val="left" w:pos="360"/>
          <w:tab w:val="left" w:pos="588"/>
        </w:tabs>
        <w:spacing w:line="360" w:lineRule="auto"/>
        <w:ind w:left="843" w:hanging="843" w:hangingChars="350"/>
        <w:rPr>
          <w:rFonts w:hint="eastAsia" w:ascii="仿宋" w:hAnsi="仿宋" w:eastAsia="仿宋" w:cs="仿宋"/>
          <w:sz w:val="24"/>
        </w:rPr>
      </w:pPr>
      <w:bookmarkStart w:id="317" w:name="_Toc83547671"/>
      <w:r>
        <w:rPr>
          <w:rFonts w:hint="eastAsia" w:ascii="仿宋" w:hAnsi="仿宋" w:eastAsia="仿宋" w:cs="仿宋"/>
          <w:b/>
          <w:sz w:val="24"/>
        </w:rPr>
        <w:t>23.2.1 响应文件的资格性审查</w:t>
      </w:r>
      <w:r>
        <w:rPr>
          <w:rFonts w:hint="eastAsia" w:ascii="仿宋" w:hAnsi="仿宋" w:eastAsia="仿宋" w:cs="仿宋"/>
          <w:sz w:val="24"/>
        </w:rPr>
        <w:t>。依据《政府采购法》第二十三条和磋商文件的规定，</w:t>
      </w:r>
      <w:r>
        <w:rPr>
          <w:rFonts w:hint="eastAsia" w:ascii="仿宋" w:hAnsi="仿宋" w:eastAsia="仿宋" w:cs="仿宋"/>
          <w:b/>
          <w:sz w:val="24"/>
        </w:rPr>
        <w:t>采购人或采购代理机构负责</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pPr>
        <w:pStyle w:val="23"/>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pPr>
        <w:pStyle w:val="23"/>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pPr>
        <w:pStyle w:val="23"/>
        <w:ind w:left="840" w:leftChars="400"/>
        <w:rPr>
          <w:rFonts w:hint="eastAsia" w:ascii="仿宋" w:hAnsi="仿宋" w:eastAsia="仿宋" w:cs="仿宋"/>
          <w:sz w:val="24"/>
        </w:rPr>
      </w:pPr>
      <w:r>
        <w:rPr>
          <w:rFonts w:hint="eastAsia" w:ascii="仿宋" w:hAnsi="仿宋" w:eastAsia="仿宋" w:cs="仿宋"/>
          <w:sz w:val="24"/>
        </w:rPr>
        <w:t>（3）磋商响应文件中未提交法定代表人授权书（法定代表人直接参加磋商未按要求提交其有效身份证）或授权书的合法性或有效性不符合磋商文件规定。授权代表本单位证明的有效性或符合性不符合要求的。</w:t>
      </w:r>
    </w:p>
    <w:p>
      <w:pPr>
        <w:pStyle w:val="23"/>
        <w:ind w:left="840" w:leftChars="400"/>
        <w:rPr>
          <w:rFonts w:hint="eastAsia" w:ascii="仿宋" w:hAnsi="仿宋" w:eastAsia="仿宋" w:cs="仿宋"/>
          <w:sz w:val="24"/>
        </w:rPr>
      </w:pPr>
      <w:r>
        <w:rPr>
          <w:rFonts w:hint="eastAsia" w:ascii="仿宋" w:hAnsi="仿宋" w:eastAsia="仿宋" w:cs="仿宋"/>
          <w:sz w:val="24"/>
        </w:rPr>
        <w:t>（4）信用查询中列入失信被执行人、重大税收违法失信主体、政府采购严重违法失信行为记录名单及其他不符合《中华人民共和国政府采购法》第二十二条规定条件的供应商。</w:t>
      </w:r>
    </w:p>
    <w:p>
      <w:pPr>
        <w:pStyle w:val="23"/>
        <w:ind w:left="840" w:leftChars="400"/>
        <w:rPr>
          <w:rFonts w:hint="eastAsia" w:ascii="仿宋" w:hAnsi="仿宋" w:eastAsia="仿宋" w:cs="仿宋"/>
          <w:sz w:val="24"/>
        </w:rPr>
      </w:pPr>
      <w:r>
        <w:rPr>
          <w:rFonts w:hint="eastAsia" w:ascii="仿宋" w:hAnsi="仿宋" w:eastAsia="仿宋" w:cs="仿宋"/>
          <w:sz w:val="24"/>
        </w:rPr>
        <w:t>（5）采购人或采购代理机构通过“信用中国”网站（www.creditchina.gov.cn）、中国政府采购网（www.ccgp.gov.cn） 等查询相关主体信用记录，并将查询网页打印、存档备查。</w:t>
      </w:r>
    </w:p>
    <w:p>
      <w:pPr>
        <w:pStyle w:val="23"/>
        <w:ind w:left="840" w:leftChars="400"/>
        <w:rPr>
          <w:rFonts w:hint="eastAsia" w:ascii="仿宋" w:hAnsi="仿宋" w:eastAsia="仿宋" w:cs="仿宋"/>
          <w:sz w:val="24"/>
        </w:rPr>
      </w:pPr>
      <w:r>
        <w:rPr>
          <w:rFonts w:hint="eastAsia" w:ascii="仿宋" w:hAnsi="仿宋" w:eastAsia="仿宋" w:cs="仿宋"/>
          <w:sz w:val="24"/>
        </w:rPr>
        <w:t>（6）查询时间为自采购文件发售之日起至资格性审查结束之前，此段时间段外，网站信息发生的任何变更均不作为资格审查依据。</w:t>
      </w:r>
    </w:p>
    <w:p>
      <w:pPr>
        <w:pStyle w:val="23"/>
        <w:ind w:left="840" w:leftChars="400"/>
        <w:rPr>
          <w:rFonts w:hint="eastAsia" w:ascii="仿宋" w:hAnsi="仿宋" w:eastAsia="仿宋" w:cs="仿宋"/>
          <w:sz w:val="24"/>
        </w:rPr>
      </w:pPr>
      <w:r>
        <w:rPr>
          <w:rFonts w:hint="eastAsia" w:ascii="仿宋" w:hAnsi="仿宋" w:eastAsia="仿宋" w:cs="仿宋"/>
          <w:sz w:val="24"/>
        </w:rPr>
        <w:t>供应商不良信用记录以采购人或采购代理机构查询结果为准。供应商自行提供的与网站信息不一致的其他证明材料亦不作为资格审查依据。</w:t>
      </w:r>
    </w:p>
    <w:p>
      <w:pPr>
        <w:pStyle w:val="23"/>
        <w:ind w:left="840" w:leftChars="400"/>
        <w:rPr>
          <w:rFonts w:hint="eastAsia" w:ascii="仿宋" w:hAnsi="仿宋" w:eastAsia="仿宋" w:cs="仿宋"/>
          <w:sz w:val="24"/>
        </w:rPr>
      </w:pPr>
      <w:r>
        <w:rPr>
          <w:rFonts w:hint="eastAsia" w:ascii="仿宋" w:hAnsi="仿宋" w:eastAsia="仿宋" w:cs="仿宋"/>
          <w:sz w:val="24"/>
        </w:rPr>
        <w:t>（7）（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3"/>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pPr>
        <w:pStyle w:val="23"/>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pPr>
        <w:pStyle w:val="23"/>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（2）磋商响应文件未按磋商文件要求进行法定代表人或其授权代表签字。</w:t>
      </w:r>
    </w:p>
    <w:p>
      <w:pPr>
        <w:pStyle w:val="23"/>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pPr>
        <w:pStyle w:val="23"/>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pPr>
        <w:pStyle w:val="23"/>
        <w:ind w:left="840" w:leftChars="400"/>
        <w:rPr>
          <w:rFonts w:hint="eastAsia" w:ascii="仿宋" w:hAnsi="仿宋" w:eastAsia="仿宋" w:cs="仿宋"/>
          <w:sz w:val="24"/>
        </w:rPr>
      </w:pPr>
      <w:r>
        <w:rPr>
          <w:rFonts w:hint="eastAsia" w:ascii="仿宋" w:hAnsi="仿宋" w:eastAsia="仿宋" w:cs="仿宋"/>
          <w:sz w:val="24"/>
        </w:rPr>
        <w:t>（5）首次磋商报价超出采购预算。</w:t>
      </w:r>
    </w:p>
    <w:p>
      <w:pPr>
        <w:pStyle w:val="23"/>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pPr>
        <w:pStyle w:val="23"/>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pPr>
        <w:pStyle w:val="23"/>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p>
    <w:p>
      <w:pPr>
        <w:pStyle w:val="23"/>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pPr>
        <w:pStyle w:val="23"/>
        <w:ind w:left="840" w:leftChars="400"/>
        <w:rPr>
          <w:rFonts w:hint="eastAsia" w:ascii="仿宋" w:hAnsi="仿宋" w:eastAsia="仿宋" w:cs="仿宋"/>
          <w:sz w:val="24"/>
        </w:rPr>
      </w:pPr>
      <w:r>
        <w:rPr>
          <w:rFonts w:hint="eastAsia" w:ascii="仿宋" w:hAnsi="仿宋" w:eastAsia="仿宋" w:cs="仿宋"/>
          <w:sz w:val="24"/>
        </w:rPr>
        <w:t>（10）供应商提供虚假证明，开具虚假资质，出现虚假应答或故意隐瞒行为。</w:t>
      </w:r>
    </w:p>
    <w:p>
      <w:pPr>
        <w:pStyle w:val="23"/>
        <w:ind w:left="840" w:leftChars="400"/>
        <w:rPr>
          <w:rFonts w:hint="eastAsia" w:ascii="仿宋" w:hAnsi="仿宋" w:eastAsia="仿宋" w:cs="仿宋"/>
          <w:sz w:val="24"/>
          <w:lang w:eastAsia="zh-CN"/>
        </w:rPr>
      </w:pPr>
      <w:r>
        <w:rPr>
          <w:rFonts w:hint="eastAsia" w:ascii="仿宋" w:hAnsi="仿宋" w:eastAsia="仿宋" w:cs="仿宋"/>
          <w:sz w:val="24"/>
        </w:rPr>
        <w:t>（11）按照</w:t>
      </w:r>
      <w:r>
        <w:rPr>
          <w:rFonts w:hint="eastAsia" w:ascii="仿宋" w:hAnsi="仿宋" w:eastAsia="仿宋" w:cs="仿宋"/>
          <w:sz w:val="24"/>
          <w:lang w:eastAsia="zh-CN"/>
        </w:rPr>
        <w:t>磋商</w:t>
      </w:r>
      <w:r>
        <w:rPr>
          <w:rFonts w:hint="eastAsia" w:ascii="仿宋" w:hAnsi="仿宋" w:eastAsia="仿宋" w:cs="仿宋"/>
          <w:sz w:val="24"/>
        </w:rPr>
        <w:t>文件给出格式填写投标保证金信用承诺书</w:t>
      </w:r>
      <w:r>
        <w:rPr>
          <w:rFonts w:hint="eastAsia" w:ascii="仿宋" w:hAnsi="仿宋" w:eastAsia="仿宋" w:cs="仿宋"/>
          <w:sz w:val="24"/>
          <w:lang w:eastAsia="zh-CN"/>
        </w:rPr>
        <w:t>。</w:t>
      </w:r>
    </w:p>
    <w:p>
      <w:pPr>
        <w:pStyle w:val="6"/>
        <w:tabs>
          <w:tab w:val="left" w:pos="360"/>
        </w:tabs>
        <w:rPr>
          <w:rFonts w:hint="eastAsia" w:ascii="仿宋" w:hAnsi="仿宋" w:eastAsia="仿宋" w:cs="仿宋"/>
          <w:b/>
          <w:sz w:val="24"/>
          <w:szCs w:val="21"/>
        </w:rPr>
      </w:pPr>
      <w:bookmarkStart w:id="318" w:name="_Toc58504512"/>
      <w:r>
        <w:rPr>
          <w:rFonts w:hint="eastAsia" w:ascii="仿宋" w:hAnsi="仿宋" w:eastAsia="仿宋" w:cs="仿宋"/>
          <w:b/>
          <w:sz w:val="24"/>
          <w:szCs w:val="21"/>
        </w:rPr>
        <w:t>23.3   磋商</w:t>
      </w:r>
      <w:bookmarkEnd w:id="318"/>
    </w:p>
    <w:p>
      <w:pPr>
        <w:pStyle w:val="23"/>
        <w:ind w:left="840" w:hanging="840" w:hangingChars="350"/>
        <w:rPr>
          <w:rFonts w:hint="eastAsia" w:ascii="仿宋" w:hAnsi="仿宋" w:eastAsia="仿宋" w:cs="仿宋"/>
          <w:sz w:val="24"/>
        </w:rPr>
      </w:pPr>
      <w:bookmarkStart w:id="319" w:name="_Toc58504513"/>
      <w:r>
        <w:rPr>
          <w:rFonts w:hint="eastAsia" w:ascii="仿宋" w:hAnsi="仿宋" w:eastAsia="仿宋" w:cs="仿宋"/>
          <w:sz w:val="24"/>
        </w:rPr>
        <w:t>23.3.1 磋商小组集中与各供应商分别进行磋商，并给所有参加磋商供应商平等的磋商机会。</w:t>
      </w:r>
      <w:bookmarkEnd w:id="319"/>
    </w:p>
    <w:p>
      <w:pPr>
        <w:pStyle w:val="23"/>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3"/>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pPr>
        <w:pStyle w:val="23"/>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pPr>
        <w:pStyle w:val="23"/>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pPr>
        <w:pStyle w:val="23"/>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pPr>
        <w:pStyle w:val="23"/>
        <w:rPr>
          <w:rFonts w:hint="eastAsia" w:ascii="仿宋" w:hAnsi="仿宋" w:eastAsia="仿宋" w:cs="仿宋"/>
          <w:b/>
          <w:sz w:val="24"/>
          <w:szCs w:val="21"/>
        </w:rPr>
      </w:pPr>
      <w:r>
        <w:rPr>
          <w:rFonts w:hint="eastAsia" w:ascii="仿宋" w:hAnsi="仿宋" w:eastAsia="仿宋" w:cs="仿宋"/>
          <w:b/>
          <w:sz w:val="24"/>
          <w:szCs w:val="21"/>
        </w:rPr>
        <w:t>23.4   最后报价</w:t>
      </w:r>
    </w:p>
    <w:p>
      <w:pPr>
        <w:pStyle w:val="23"/>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pPr>
        <w:pStyle w:val="23"/>
        <w:ind w:left="840" w:hanging="840" w:hangingChars="350"/>
        <w:rPr>
          <w:rFonts w:hint="eastAsia" w:ascii="仿宋" w:hAnsi="仿宋" w:eastAsia="仿宋" w:cs="仿宋"/>
          <w:sz w:val="24"/>
        </w:rPr>
      </w:pPr>
      <w:r>
        <w:rPr>
          <w:rFonts w:hint="eastAsia" w:ascii="仿宋" w:hAnsi="仿宋" w:eastAsia="仿宋" w:cs="仿宋"/>
          <w:sz w:val="24"/>
        </w:rPr>
        <w:t>23.4.2 最后报价应按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6"/>
        <w:rPr>
          <w:rFonts w:hint="eastAsia" w:ascii="仿宋" w:hAnsi="仿宋" w:eastAsia="仿宋" w:cs="仿宋"/>
          <w:b/>
          <w:bCs/>
          <w:sz w:val="24"/>
          <w:szCs w:val="21"/>
        </w:rPr>
      </w:pPr>
      <w:bookmarkStart w:id="320" w:name="_Toc127161460"/>
      <w:bookmarkStart w:id="321" w:name="_Toc164608660"/>
      <w:bookmarkStart w:id="322" w:name="_Toc142311048"/>
      <w:bookmarkStart w:id="323" w:name="_Toc150774646"/>
      <w:bookmarkStart w:id="324" w:name="_Toc149720839"/>
      <w:bookmarkStart w:id="325" w:name="_Toc127151546"/>
      <w:bookmarkStart w:id="326" w:name="_Toc164229241"/>
      <w:bookmarkStart w:id="327" w:name="_Toc151193716"/>
      <w:bookmarkStart w:id="328" w:name="_Toc195842911"/>
      <w:bookmarkStart w:id="329" w:name="_Ref467307010"/>
      <w:bookmarkStart w:id="330" w:name="_Toc249515422"/>
      <w:bookmarkStart w:id="331" w:name="_Toc164229387"/>
      <w:bookmarkStart w:id="332" w:name="_Toc249525191"/>
      <w:bookmarkStart w:id="333" w:name="_Toc150509297"/>
      <w:bookmarkStart w:id="334" w:name="_Toc13753"/>
      <w:bookmarkStart w:id="335" w:name="_Toc249515310"/>
      <w:bookmarkStart w:id="336" w:name="_Toc164608815"/>
      <w:bookmarkStart w:id="337" w:name="_Toc164351640"/>
      <w:bookmarkStart w:id="338" w:name="_Toc520356170"/>
      <w:bookmarkStart w:id="339" w:name="_Toc151193788"/>
      <w:bookmarkStart w:id="340" w:name="_Toc127151747"/>
      <w:bookmarkStart w:id="341" w:name="_Toc151190173"/>
      <w:bookmarkStart w:id="342" w:name="_Toc151193934"/>
      <w:bookmarkStart w:id="343" w:name="_Toc151193860"/>
      <w:bookmarkStart w:id="344" w:name="_Toc150480784"/>
      <w:bookmarkStart w:id="345" w:name="_Toc151193644"/>
      <w:bookmarkStart w:id="346" w:name="_Toc150774751"/>
      <w:r>
        <w:rPr>
          <w:rFonts w:hint="eastAsia" w:ascii="仿宋" w:hAnsi="仿宋" w:eastAsia="仿宋" w:cs="仿宋"/>
          <w:b/>
          <w:bCs/>
          <w:sz w:val="24"/>
          <w:szCs w:val="21"/>
        </w:rPr>
        <w:t>24.    评审办法及</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rFonts w:hint="eastAsia" w:ascii="仿宋" w:hAnsi="仿宋" w:eastAsia="仿宋" w:cs="仿宋"/>
          <w:b/>
          <w:bCs/>
          <w:sz w:val="24"/>
          <w:szCs w:val="21"/>
        </w:rPr>
        <w:t>落实政府采购政策，详见第三章。</w:t>
      </w:r>
    </w:p>
    <w:p>
      <w:pPr>
        <w:rPr>
          <w:rFonts w:hint="eastAsia" w:ascii="仿宋" w:hAnsi="仿宋" w:eastAsia="仿宋" w:cs="仿宋"/>
        </w:rPr>
      </w:pPr>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17"/>
    <w:p>
      <w:pPr>
        <w:pStyle w:val="82"/>
        <w:spacing w:before="24" w:after="24"/>
        <w:jc w:val="center"/>
        <w:rPr>
          <w:rFonts w:hint="eastAsia" w:ascii="仿宋" w:hAnsi="仿宋" w:eastAsia="仿宋" w:cs="仿宋"/>
          <w:sz w:val="30"/>
          <w:szCs w:val="30"/>
        </w:rPr>
      </w:pPr>
      <w:bookmarkStart w:id="347" w:name="_Hlt491765714"/>
      <w:bookmarkEnd w:id="347"/>
      <w:bookmarkStart w:id="348" w:name="_Hlt497729446"/>
      <w:bookmarkEnd w:id="348"/>
      <w:bookmarkStart w:id="349" w:name="_Toc249515311"/>
      <w:bookmarkStart w:id="350" w:name="_Toc256342149"/>
      <w:bookmarkStart w:id="351" w:name="_Toc249525192"/>
      <w:bookmarkStart w:id="352" w:name="_Toc232176278"/>
      <w:bookmarkStart w:id="353" w:name="_Toc232395218"/>
      <w:bookmarkStart w:id="354" w:name="_Toc68590974"/>
      <w:bookmarkStart w:id="355" w:name="_Toc249515423"/>
      <w:bookmarkStart w:id="356" w:name="_Toc184043047"/>
      <w:bookmarkStart w:id="357" w:name="_Toc500747195"/>
      <w:bookmarkStart w:id="358" w:name="_Toc70687174"/>
      <w:bookmarkStart w:id="359" w:name="_Toc496324585"/>
      <w:bookmarkStart w:id="360" w:name="_Toc385992360"/>
      <w:bookmarkStart w:id="361" w:name="_Toc500747068"/>
      <w:bookmarkStart w:id="362" w:name="_Toc500746972"/>
      <w:bookmarkStart w:id="363" w:name="_Toc176882548"/>
      <w:bookmarkStart w:id="364" w:name="_Toc177189241"/>
      <w:bookmarkStart w:id="365" w:name="_Toc53722846"/>
      <w:bookmarkStart w:id="366" w:name="_Toc499711890"/>
      <w:bookmarkStart w:id="367" w:name="_Toc492955421"/>
      <w:bookmarkStart w:id="368" w:name="_Toc177817340"/>
      <w:bookmarkStart w:id="369" w:name="_Toc177995479"/>
      <w:bookmarkStart w:id="370" w:name="_Toc389620199"/>
      <w:bookmarkStart w:id="371" w:name="_Toc499711049"/>
      <w:bookmarkStart w:id="372" w:name="_Toc503063428"/>
      <w:r>
        <w:rPr>
          <w:rFonts w:hint="eastAsia" w:ascii="仿宋" w:hAnsi="仿宋" w:eastAsia="仿宋" w:cs="仿宋"/>
          <w:sz w:val="30"/>
          <w:szCs w:val="30"/>
        </w:rPr>
        <w:t>六、确定成交单位、授予合同</w:t>
      </w:r>
      <w:bookmarkEnd w:id="349"/>
      <w:bookmarkEnd w:id="350"/>
      <w:bookmarkEnd w:id="351"/>
      <w:bookmarkEnd w:id="352"/>
      <w:bookmarkEnd w:id="353"/>
      <w:bookmarkEnd w:id="354"/>
      <w:bookmarkEnd w:id="355"/>
    </w:p>
    <w:p>
      <w:pPr>
        <w:rPr>
          <w:rFonts w:hint="eastAsia" w:ascii="仿宋" w:hAnsi="仿宋" w:eastAsia="仿宋" w:cs="仿宋"/>
        </w:rPr>
      </w:pPr>
    </w:p>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Pr>
        <w:pStyle w:val="6"/>
        <w:numPr>
          <w:ilvl w:val="0"/>
          <w:numId w:val="9"/>
        </w:numPr>
        <w:rPr>
          <w:rFonts w:hint="eastAsia" w:ascii="仿宋" w:hAnsi="仿宋" w:eastAsia="仿宋" w:cs="仿宋"/>
          <w:b/>
          <w:bCs/>
          <w:sz w:val="24"/>
          <w:szCs w:val="21"/>
        </w:rPr>
      </w:pPr>
      <w:bookmarkStart w:id="373" w:name="_Toc249525193"/>
      <w:bookmarkStart w:id="374" w:name="_Toc249515424"/>
      <w:bookmarkStart w:id="375" w:name="_Toc70687175"/>
      <w:bookmarkStart w:id="376" w:name="_Toc249515312"/>
      <w:bookmarkStart w:id="377" w:name="_Toc389620200"/>
      <w:bookmarkStart w:id="378" w:name="_Toc27151"/>
      <w:bookmarkStart w:id="379" w:name="_Toc184043048"/>
      <w:bookmarkStart w:id="380" w:name="_Toc385992361"/>
      <w:r>
        <w:rPr>
          <w:rFonts w:hint="eastAsia" w:ascii="仿宋" w:hAnsi="仿宋" w:eastAsia="仿宋" w:cs="仿宋"/>
          <w:b/>
          <w:bCs/>
          <w:sz w:val="24"/>
          <w:szCs w:val="21"/>
        </w:rPr>
        <w:t xml:space="preserve">    确定成交</w:t>
      </w:r>
      <w:bookmarkEnd w:id="373"/>
      <w:bookmarkEnd w:id="374"/>
      <w:bookmarkEnd w:id="375"/>
      <w:bookmarkEnd w:id="376"/>
      <w:bookmarkEnd w:id="377"/>
      <w:bookmarkEnd w:id="378"/>
      <w:bookmarkEnd w:id="379"/>
      <w:bookmarkEnd w:id="380"/>
      <w:r>
        <w:rPr>
          <w:rFonts w:hint="eastAsia" w:ascii="仿宋" w:hAnsi="仿宋" w:eastAsia="仿宋" w:cs="仿宋"/>
          <w:b/>
          <w:bCs/>
          <w:sz w:val="24"/>
          <w:szCs w:val="21"/>
        </w:rPr>
        <w:t>单位</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25.4   采购代理机构将评审过程及成交供应商情况书面报监督机构备案。</w:t>
      </w:r>
      <w:bookmarkStart w:id="381" w:name="_Toc385992364"/>
      <w:bookmarkStart w:id="382" w:name="_Toc389620203"/>
    </w:p>
    <w:bookmarkEnd w:id="381"/>
    <w:bookmarkEnd w:id="382"/>
    <w:p>
      <w:pPr>
        <w:pStyle w:val="6"/>
        <w:rPr>
          <w:rFonts w:hint="eastAsia" w:ascii="仿宋" w:hAnsi="仿宋" w:eastAsia="仿宋" w:cs="仿宋"/>
          <w:b/>
          <w:bCs/>
          <w:sz w:val="24"/>
          <w:szCs w:val="21"/>
        </w:rPr>
      </w:pPr>
      <w:bookmarkStart w:id="383" w:name="_Toc385992365"/>
      <w:bookmarkStart w:id="384" w:name="_Toc389620204"/>
      <w:r>
        <w:rPr>
          <w:rFonts w:hint="eastAsia" w:ascii="仿宋" w:hAnsi="仿宋" w:eastAsia="仿宋" w:cs="仿宋"/>
          <w:b/>
          <w:bCs/>
          <w:sz w:val="24"/>
          <w:szCs w:val="21"/>
        </w:rPr>
        <w:t>26.    合同</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lang w:eastAsia="zh-CN"/>
        </w:rPr>
        <w:t>十</w:t>
      </w:r>
      <w:r>
        <w:rPr>
          <w:rFonts w:hint="eastAsia" w:ascii="仿宋" w:hAnsi="仿宋" w:eastAsia="仿宋" w:cs="仿宋"/>
          <w:b/>
          <w:bCs/>
          <w:sz w:val="24"/>
        </w:rPr>
        <w:t>日</w:t>
      </w:r>
      <w:r>
        <w:rPr>
          <w:rFonts w:hint="eastAsia" w:ascii="仿宋" w:hAnsi="仿宋" w:eastAsia="仿宋" w:cs="仿宋"/>
          <w:sz w:val="24"/>
        </w:rPr>
        <w:t>内，按照磋商文件和成交供应商响应文件的约定，采购人与成交供应商洽谈合同条款，并签订合同。磋商文件及成交供应商的响应文件均作为合同的组成部分。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26.3   成交供应商签订合同后，持合同原件到采购代理机构，或采购代理机构根据陕西省政府采购网合同备案结果办理保证金退还手续。</w:t>
      </w:r>
    </w:p>
    <w:p>
      <w:pPr>
        <w:pStyle w:val="6"/>
        <w:rPr>
          <w:rFonts w:hint="eastAsia" w:ascii="仿宋" w:hAnsi="仿宋" w:eastAsia="仿宋" w:cs="仿宋"/>
          <w:b/>
          <w:bCs/>
          <w:sz w:val="24"/>
          <w:szCs w:val="21"/>
        </w:rPr>
      </w:pPr>
      <w:r>
        <w:rPr>
          <w:rFonts w:hint="eastAsia" w:ascii="仿宋" w:hAnsi="仿宋" w:eastAsia="仿宋" w:cs="仿宋"/>
          <w:b/>
          <w:bCs/>
          <w:sz w:val="24"/>
          <w:szCs w:val="21"/>
        </w:rPr>
        <w:t>27.    询问与质疑 </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供应商对政府采购活动事项有疑问的，可以向采购人提出询问。</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供应商认为采购文件、采购过程和中标、成交结果使自己的权益受到损害的，可以在知道或者应知其权益受到损害之日起七个工作日内，以书面形式向采购人提出质疑。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27.3   质疑供应商在法定质疑期内须一次性提出针对同一采购程序环节的质疑。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pPr>
        <w:pStyle w:val="72"/>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供应商的姓名或者名称、地址、邮编、联系人及联系电话；</w:t>
      </w:r>
    </w:p>
    <w:p>
      <w:pPr>
        <w:pStyle w:val="72"/>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质疑项目的名称、编号；</w:t>
      </w:r>
    </w:p>
    <w:p>
      <w:pPr>
        <w:pStyle w:val="72"/>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具体、明确的质疑事项和与质疑事项相关的请求；</w:t>
      </w:r>
    </w:p>
    <w:p>
      <w:pPr>
        <w:pStyle w:val="72"/>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事实依据；</w:t>
      </w:r>
    </w:p>
    <w:p>
      <w:pPr>
        <w:pStyle w:val="72"/>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必要的法律依据；</w:t>
      </w:r>
    </w:p>
    <w:p>
      <w:pPr>
        <w:pStyle w:val="72"/>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提出质疑的日期。</w:t>
      </w:r>
    </w:p>
    <w:p>
      <w:pPr>
        <w:pStyle w:val="72"/>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供应商为自然人的，应当由本人签字；供应商为法人或者其他组织的，应当由法定代表人或负责人签字或盖章，同时其授权代表签字，并加盖公章。</w:t>
      </w:r>
    </w:p>
    <w:p>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83"/>
    <w:bookmarkEnd w:id="384"/>
    <w:p>
      <w:pPr>
        <w:pStyle w:val="6"/>
        <w:rPr>
          <w:rFonts w:hint="eastAsia" w:ascii="仿宋" w:hAnsi="仿宋" w:eastAsia="仿宋" w:cs="仿宋"/>
          <w:b/>
          <w:bCs/>
          <w:sz w:val="24"/>
          <w:szCs w:val="21"/>
        </w:rPr>
      </w:pPr>
      <w:bookmarkStart w:id="385" w:name="_Toc25547"/>
      <w:r>
        <w:rPr>
          <w:rFonts w:hint="eastAsia" w:ascii="仿宋" w:hAnsi="仿宋" w:eastAsia="仿宋" w:cs="仿宋"/>
          <w:b/>
          <w:bCs/>
          <w:sz w:val="24"/>
          <w:szCs w:val="21"/>
        </w:rPr>
        <w:t>28.    履约保证金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28.1   履约保证金金额见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28.2   履约保证金缴纳时间：合同签订前必须交纳至（采购人）。</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28.3   履约保证金缴纳形式：成交供应商应当以支票、汇票、本票、保函（格式见附件2）等非现金形式缴纳。</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28.4   履约保证金收取单位名称：</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开户银行：</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账号：</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               联系电话：</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28.5   履约保证金退还的方式、时间、条件：*****</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28.6   履约保证金不予退还的情况：****</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28.7   逾期退还履约保证金的违约责任：****</w:t>
      </w:r>
    </w:p>
    <w:p>
      <w:pPr>
        <w:pStyle w:val="6"/>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38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eastAsia="zh-CN"/>
        </w:rPr>
        <w:t>标准</w:t>
      </w:r>
      <w:r>
        <w:rPr>
          <w:rFonts w:hint="eastAsia" w:ascii="仿宋" w:hAnsi="仿宋" w:eastAsia="仿宋" w:cs="仿宋"/>
          <w:sz w:val="24"/>
        </w:rPr>
        <w:t>收取。</w:t>
      </w:r>
    </w:p>
    <w:p>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pPr>
        <w:pStyle w:val="6"/>
        <w:numPr>
          <w:ilvl w:val="0"/>
          <w:numId w:val="11"/>
        </w:numPr>
        <w:rPr>
          <w:rFonts w:hint="eastAsia" w:ascii="仿宋" w:hAnsi="仿宋" w:eastAsia="仿宋" w:cs="仿宋"/>
          <w:b/>
          <w:bCs/>
          <w:sz w:val="24"/>
          <w:szCs w:val="21"/>
        </w:rPr>
      </w:pPr>
      <w:bookmarkStart w:id="386" w:name="_Toc1585"/>
      <w:r>
        <w:rPr>
          <w:rFonts w:hint="eastAsia" w:ascii="仿宋" w:hAnsi="仿宋" w:eastAsia="仿宋" w:cs="仿宋"/>
          <w:b/>
          <w:bCs/>
          <w:sz w:val="24"/>
          <w:szCs w:val="21"/>
        </w:rPr>
        <w:t xml:space="preserve">   采购人追加采购数量的权力</w:t>
      </w:r>
      <w:bookmarkEnd w:id="386"/>
    </w:p>
    <w:p>
      <w:pPr>
        <w:tabs>
          <w:tab w:val="left" w:pos="588"/>
        </w:tabs>
        <w:spacing w:line="360" w:lineRule="auto"/>
        <w:ind w:left="840" w:leftChars="400"/>
        <w:rPr>
          <w:rFonts w:hint="eastAsia" w:ascii="仿宋" w:hAnsi="仿宋" w:eastAsia="仿宋" w:cs="仿宋"/>
          <w:sz w:val="24"/>
        </w:rPr>
      </w:pPr>
      <w:bookmarkStart w:id="387" w:name="_Toc389620205"/>
      <w:bookmarkStart w:id="388"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pPr>
        <w:pStyle w:val="6"/>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pPr>
        <w:pStyle w:val="23"/>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pPr>
        <w:pStyle w:val="23"/>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pPr>
        <w:pStyle w:val="6"/>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pPr>
        <w:pStyle w:val="23"/>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pPr>
        <w:pStyle w:val="23"/>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3"/>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3"/>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3"/>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3"/>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3"/>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pPr>
        <w:pStyle w:val="23"/>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756275" cy="3310255"/>
                    </a:xfrm>
                    <a:prstGeom prst="rect">
                      <a:avLst/>
                    </a:prstGeom>
                    <a:noFill/>
                    <a:ln>
                      <a:noFill/>
                    </a:ln>
                  </pic:spPr>
                </pic:pic>
              </a:graphicData>
            </a:graphic>
          </wp:inline>
        </w:drawing>
      </w:r>
    </w:p>
    <w:p>
      <w:pPr>
        <w:pStyle w:val="23"/>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758815" cy="3242310"/>
                    </a:xfrm>
                    <a:prstGeom prst="rect">
                      <a:avLst/>
                    </a:prstGeom>
                    <a:noFill/>
                    <a:ln>
                      <a:noFill/>
                    </a:ln>
                  </pic:spPr>
                </pic:pic>
              </a:graphicData>
            </a:graphic>
          </wp:inline>
        </w:drawing>
      </w:r>
    </w:p>
    <w:p>
      <w:pPr>
        <w:pStyle w:val="23"/>
        <w:tabs>
          <w:tab w:val="left" w:pos="567"/>
        </w:tabs>
        <w:rPr>
          <w:rFonts w:hint="eastAsia" w:ascii="仿宋" w:hAnsi="仿宋" w:eastAsia="仿宋" w:cs="仿宋"/>
          <w:sz w:val="24"/>
          <w:szCs w:val="32"/>
        </w:rPr>
      </w:pPr>
    </w:p>
    <w:p>
      <w:pPr>
        <w:pStyle w:val="23"/>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pPr>
        <w:rPr>
          <w:rFonts w:hint="eastAsia" w:ascii="仿宋" w:hAnsi="仿宋" w:eastAsia="仿宋" w:cs="仿宋"/>
          <w:b/>
          <w:szCs w:val="21"/>
        </w:rPr>
      </w:pPr>
      <w:r>
        <w:rPr>
          <w:rFonts w:hint="eastAsia" w:ascii="仿宋" w:hAnsi="仿宋" w:eastAsia="仿宋" w:cs="仿宋"/>
          <w:b/>
          <w:szCs w:val="21"/>
        </w:rPr>
        <w:t>三、工商银行（政采贷）</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pPr>
        <w:rPr>
          <w:rFonts w:hint="eastAsia" w:ascii="仿宋" w:hAnsi="仿宋" w:eastAsia="仿宋" w:cs="仿宋"/>
          <w:b/>
          <w:szCs w:val="21"/>
        </w:rPr>
      </w:pPr>
      <w:r>
        <w:rPr>
          <w:rFonts w:hint="eastAsia" w:ascii="仿宋" w:hAnsi="仿宋" w:eastAsia="仿宋" w:cs="仿宋"/>
          <w:b/>
          <w:szCs w:val="21"/>
        </w:rPr>
        <w:t>四、中信银行 （政采e贷）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pPr>
        <w:rPr>
          <w:rFonts w:hint="eastAsia" w:ascii="仿宋" w:hAnsi="仿宋" w:eastAsia="仿宋" w:cs="仿宋"/>
          <w:b/>
          <w:szCs w:val="21"/>
        </w:rPr>
      </w:pPr>
      <w:r>
        <w:rPr>
          <w:rFonts w:hint="eastAsia" w:ascii="仿宋" w:hAnsi="仿宋" w:eastAsia="仿宋" w:cs="仿宋"/>
          <w:b/>
          <w:szCs w:val="21"/>
        </w:rPr>
        <w:t>六、浦发银行 （政采e贷）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pPr>
        <w:rPr>
          <w:rFonts w:hint="eastAsia" w:ascii="仿宋" w:hAnsi="仿宋" w:eastAsia="仿宋" w:cs="仿宋"/>
          <w:szCs w:val="21"/>
        </w:rPr>
      </w:pPr>
    </w:p>
    <w:p>
      <w:pPr>
        <w:rPr>
          <w:rFonts w:hint="eastAsia" w:ascii="仿宋" w:hAnsi="仿宋" w:eastAsia="仿宋" w:cs="仿宋"/>
          <w:b/>
          <w:szCs w:val="21"/>
        </w:rPr>
      </w:pPr>
      <w:r>
        <w:rPr>
          <w:rFonts w:hint="eastAsia" w:ascii="仿宋" w:hAnsi="仿宋" w:eastAsia="仿宋" w:cs="仿宋"/>
          <w:b/>
          <w:szCs w:val="21"/>
        </w:rPr>
        <w:t>七、兴业银行（政采贷）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pPr>
        <w:rPr>
          <w:rFonts w:hint="eastAsia" w:ascii="仿宋" w:hAnsi="仿宋" w:eastAsia="仿宋" w:cs="仿宋"/>
          <w:b/>
          <w:szCs w:val="21"/>
        </w:rPr>
      </w:pPr>
      <w:r>
        <w:rPr>
          <w:rFonts w:hint="eastAsia" w:ascii="仿宋" w:hAnsi="仿宋" w:eastAsia="仿宋" w:cs="仿宋"/>
          <w:b/>
          <w:szCs w:val="21"/>
        </w:rPr>
        <w:t>八、中国民生银行（政采贷）</w:t>
      </w:r>
    </w:p>
    <w:p>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pPr>
        <w:rPr>
          <w:rFonts w:hint="eastAsia" w:ascii="仿宋" w:hAnsi="仿宋" w:eastAsia="仿宋" w:cs="仿宋"/>
          <w:b/>
          <w:szCs w:val="21"/>
        </w:rPr>
      </w:pPr>
      <w:r>
        <w:rPr>
          <w:rFonts w:hint="eastAsia" w:ascii="仿宋" w:hAnsi="仿宋" w:eastAsia="仿宋" w:cs="仿宋"/>
          <w:b/>
          <w:szCs w:val="21"/>
        </w:rPr>
        <w:t>九、浙商银行 （政采贷）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pPr>
        <w:rPr>
          <w:rFonts w:hint="eastAsia" w:ascii="仿宋" w:hAnsi="仿宋" w:eastAsia="仿宋" w:cs="仿宋"/>
          <w:b/>
          <w:szCs w:val="21"/>
        </w:rPr>
      </w:pPr>
      <w:r>
        <w:rPr>
          <w:rFonts w:hint="eastAsia" w:ascii="仿宋" w:hAnsi="仿宋" w:eastAsia="仿宋" w:cs="仿宋"/>
          <w:b/>
          <w:szCs w:val="21"/>
        </w:rPr>
        <w:t xml:space="preserve">十、 招商银行（政采贷） </w:t>
      </w:r>
    </w:p>
    <w:p>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pPr>
        <w:rPr>
          <w:rFonts w:hint="eastAsia" w:ascii="仿宋" w:hAnsi="仿宋" w:eastAsia="仿宋" w:cs="仿宋"/>
          <w:b/>
          <w:szCs w:val="21"/>
        </w:rPr>
      </w:pPr>
      <w:r>
        <w:rPr>
          <w:rFonts w:hint="eastAsia" w:ascii="仿宋" w:hAnsi="仿宋" w:eastAsia="仿宋" w:cs="仿宋"/>
          <w:b/>
          <w:szCs w:val="21"/>
        </w:rPr>
        <w:t xml:space="preserve">十一、 长安银行（小微贷） </w:t>
      </w:r>
    </w:p>
    <w:p>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387"/>
    <w:bookmarkEnd w:id="388"/>
    <w:p>
      <w:pPr>
        <w:rPr>
          <w:rFonts w:hint="eastAsia" w:ascii="仿宋" w:hAnsi="仿宋" w:eastAsia="仿宋" w:cs="仿宋"/>
          <w:b/>
          <w:szCs w:val="21"/>
        </w:rPr>
      </w:pPr>
      <w:bookmarkStart w:id="389" w:name="_Toc184025279"/>
      <w:bookmarkStart w:id="390" w:name="_Toc230099802"/>
      <w:bookmarkStart w:id="391" w:name="_Toc184114070"/>
      <w:bookmarkStart w:id="392" w:name="_Toc230013637"/>
      <w:r>
        <w:rPr>
          <w:rFonts w:hint="eastAsia" w:ascii="仿宋" w:hAnsi="仿宋" w:eastAsia="仿宋" w:cs="仿宋"/>
          <w:b/>
          <w:szCs w:val="21"/>
        </w:rPr>
        <w:t>十二、网商银行（合同贷）</w:t>
      </w:r>
    </w:p>
    <w:p>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pPr>
        <w:pStyle w:val="23"/>
        <w:tabs>
          <w:tab w:val="left" w:pos="567"/>
        </w:tabs>
        <w:rPr>
          <w:rFonts w:hint="eastAsia" w:ascii="仿宋" w:hAnsi="仿宋" w:eastAsia="仿宋" w:cs="仿宋"/>
          <w:szCs w:val="21"/>
        </w:rPr>
      </w:pPr>
    </w:p>
    <w:p>
      <w:pPr>
        <w:pStyle w:val="23"/>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7" w:type="pct"/>
        <w:tblInd w:w="0" w:type="dxa"/>
        <w:tblLayout w:type="autofit"/>
        <w:tblCellMar>
          <w:top w:w="0" w:type="dxa"/>
          <w:left w:w="108" w:type="dxa"/>
          <w:bottom w:w="0" w:type="dxa"/>
          <w:right w:w="108" w:type="dxa"/>
        </w:tblCellMar>
      </w:tblPr>
      <w:tblGrid>
        <w:gridCol w:w="1328"/>
        <w:gridCol w:w="2210"/>
        <w:gridCol w:w="2871"/>
        <w:gridCol w:w="2871"/>
      </w:tblGrid>
      <w:tr>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top"/>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17791059890       0913-2083572</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孙哲龙</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13892383911</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15249035320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杨洋</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18191815559</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13193388328</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15706090239</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15229730006</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13335331958</w:t>
            </w:r>
          </w:p>
        </w:tc>
      </w:tr>
      <w:tr>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13028431555</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18091365182</w:t>
            </w:r>
          </w:p>
        </w:tc>
      </w:tr>
    </w:tbl>
    <w:p>
      <w:pPr>
        <w:pStyle w:val="23"/>
        <w:tabs>
          <w:tab w:val="left" w:pos="567"/>
        </w:tabs>
        <w:rPr>
          <w:rFonts w:hint="eastAsia" w:ascii="仿宋" w:hAnsi="仿宋" w:eastAsia="仿宋" w:cs="仿宋"/>
          <w:szCs w:val="21"/>
        </w:rPr>
      </w:pPr>
    </w:p>
    <w:p>
      <w:pPr>
        <w:pStyle w:val="23"/>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序号</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银行</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地址</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联系人</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中国建设银行延安分行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延安市宝塔区中心街</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惠玉</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2</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中国工商银行延安分行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延安市宝塔区师范路</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姬悦</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3</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北京银行延安分行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延安市宝塔区双拥大道</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奥宝森</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4</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邮储银行延安分行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延安市宝塔区枣园路志丹大厦</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杨慧花</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5</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光大银行延安分行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延安市宝塔区卷烟厂东信时代一、二层</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汪昊田</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13509115500</w:t>
            </w:r>
          </w:p>
        </w:tc>
      </w:tr>
    </w:tbl>
    <w:p>
      <w:pPr>
        <w:tabs>
          <w:tab w:val="left" w:pos="588"/>
        </w:tabs>
        <w:spacing w:line="360" w:lineRule="auto"/>
        <w:rPr>
          <w:rFonts w:hint="eastAsia" w:ascii="仿宋" w:hAnsi="仿宋" w:eastAsia="仿宋" w:cs="仿宋"/>
          <w:sz w:val="24"/>
          <w:vertAlign w:val="baseline"/>
        </w:rPr>
      </w:pPr>
      <w:r>
        <w:rPr>
          <w:rFonts w:hint="eastAsia" w:ascii="仿宋" w:hAnsi="仿宋" w:eastAsia="仿宋" w:cs="仿宋"/>
          <w:sz w:val="24"/>
        </w:rPr>
        <w:t>榆林市“政采贷”业务办理银行联系表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490"/>
        <w:gridCol w:w="1086"/>
        <w:gridCol w:w="1107"/>
        <w:gridCol w:w="1096"/>
        <w:gridCol w:w="1371"/>
        <w:gridCol w:w="1086"/>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银行名称</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产品名称</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贷款额度</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贷款期限</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贷款利率</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办理时效</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长安银行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3.45%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72小时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魏  众15109123951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  靖15509125117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光大银行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3.45%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72小时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刘  波18809125468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交通银行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秦政贷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3.45%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张  飞15291296886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中国银行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3.45%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72小时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李  浩18691230007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招商银行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1-3年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3.45%起</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马  烨15596100007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浦发银行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政采E贷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3.8%</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72小时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朱  君15629169158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农商银行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1-2年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3.45%-5.8%</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王  璐15529875056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农业银行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政采贷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3.45%-3.85%</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杨  尧13325409313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4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民生银行</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政采E贷</w:t>
            </w:r>
          </w:p>
        </w:tc>
        <w:tc>
          <w:tcPr>
            <w:tcW w:w="1107"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3000万元</w:t>
            </w:r>
          </w:p>
        </w:tc>
        <w:tc>
          <w:tcPr>
            <w:tcW w:w="109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1年</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3.45%起</w:t>
            </w:r>
          </w:p>
        </w:tc>
        <w:tc>
          <w:tcPr>
            <w:tcW w:w="1086"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24小时</w:t>
            </w:r>
          </w:p>
        </w:tc>
        <w:tc>
          <w:tcPr>
            <w:tcW w:w="137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郝双双15991225850</w:t>
            </w:r>
          </w:p>
        </w:tc>
      </w:tr>
    </w:tbl>
    <w:p>
      <w:pPr>
        <w:pStyle w:val="23"/>
        <w:shd w:val="clear" w:color="auto" w:fill="auto"/>
        <w:ind w:left="840" w:hanging="840" w:hangingChars="350"/>
        <w:rPr>
          <w:rFonts w:hint="eastAsia" w:ascii="仿宋" w:hAnsi="仿宋" w:eastAsia="仿宋" w:cs="仿宋"/>
          <w:sz w:val="24"/>
          <w:highlight w:val="none"/>
          <w:lang w:val="en-US" w:eastAsia="zh-CN"/>
        </w:rPr>
      </w:pPr>
    </w:p>
    <w:p>
      <w:pPr>
        <w:pStyle w:val="23"/>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pPr>
        <w:pStyle w:val="23"/>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pPr>
        <w:pStyle w:val="23"/>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pPr>
        <w:tabs>
          <w:tab w:val="left" w:pos="588"/>
        </w:tabs>
        <w:spacing w:line="360" w:lineRule="auto"/>
        <w:rPr>
          <w:rFonts w:hint="eastAsia" w:ascii="仿宋" w:hAnsi="仿宋" w:eastAsia="仿宋" w:cs="仿宋"/>
          <w:sz w:val="24"/>
        </w:rPr>
      </w:pPr>
      <w:r>
        <w:rPr>
          <w:rFonts w:hint="eastAsia" w:ascii="仿宋" w:hAnsi="仿宋" w:eastAsia="仿宋" w:cs="仿宋"/>
          <w:b/>
          <w:bCs/>
          <w:sz w:val="24"/>
          <w:lang w:val="en-US" w:eastAsia="zh-CN"/>
        </w:rPr>
        <w:t xml:space="preserve">35.      </w:t>
      </w:r>
      <w:r>
        <w:rPr>
          <w:rFonts w:hint="eastAsia" w:ascii="仿宋" w:hAnsi="仿宋" w:eastAsia="仿宋" w:cs="仿宋"/>
          <w:b/>
          <w:bCs/>
          <w:sz w:val="24"/>
        </w:rPr>
        <w:t>中小企业</w:t>
      </w:r>
      <w:r>
        <w:rPr>
          <w:rFonts w:hint="eastAsia" w:ascii="仿宋" w:hAnsi="仿宋" w:eastAsia="仿宋" w:cs="仿宋"/>
          <w:b/>
          <w:bCs/>
          <w:sz w:val="24"/>
          <w:lang w:eastAsia="zh-CN"/>
        </w:rPr>
        <w:t>行业类别及</w:t>
      </w:r>
      <w:r>
        <w:rPr>
          <w:rFonts w:hint="eastAsia" w:ascii="仿宋" w:hAnsi="仿宋" w:eastAsia="仿宋" w:cs="仿宋"/>
          <w:b/>
          <w:bCs/>
          <w:sz w:val="24"/>
        </w:rPr>
        <w:t>规模的划分标准</w:t>
      </w:r>
      <w:r>
        <w:rPr>
          <w:rFonts w:hint="eastAsia" w:ascii="仿宋" w:hAnsi="仿宋" w:eastAsia="仿宋" w:cs="仿宋"/>
          <w:sz w:val="24"/>
        </w:rPr>
        <w:br w:type="page"/>
      </w:r>
    </w:p>
    <w:bookmarkEnd w:id="389"/>
    <w:bookmarkEnd w:id="390"/>
    <w:bookmarkEnd w:id="391"/>
    <w:bookmarkEnd w:id="392"/>
    <w:p>
      <w:pPr>
        <w:pStyle w:val="46"/>
        <w:spacing w:line="360" w:lineRule="auto"/>
        <w:rPr>
          <w:rStyle w:val="208"/>
          <w:rFonts w:hint="eastAsia" w:ascii="仿宋" w:hAnsi="仿宋" w:eastAsia="仿宋" w:cs="仿宋"/>
          <w:sz w:val="36"/>
          <w:szCs w:val="36"/>
        </w:rPr>
      </w:pPr>
      <w:bookmarkStart w:id="393" w:name="_Toc68590975"/>
      <w:bookmarkStart w:id="394" w:name="_Toc17469"/>
      <w:bookmarkStart w:id="395" w:name="_Toc58504447"/>
      <w:r>
        <w:rPr>
          <w:rStyle w:val="208"/>
          <w:rFonts w:hint="eastAsia" w:ascii="仿宋" w:hAnsi="仿宋" w:eastAsia="仿宋" w:cs="仿宋"/>
          <w:sz w:val="36"/>
          <w:szCs w:val="36"/>
        </w:rPr>
        <w:t>第三章  评审办法和标准</w:t>
      </w:r>
      <w:bookmarkEnd w:id="393"/>
    </w:p>
    <w:p>
      <w:pPr>
        <w:tabs>
          <w:tab w:val="left" w:pos="360"/>
          <w:tab w:val="left" w:pos="588"/>
        </w:tabs>
        <w:spacing w:line="360" w:lineRule="auto"/>
        <w:ind w:left="840"/>
        <w:rPr>
          <w:rFonts w:hint="eastAsia" w:ascii="仿宋" w:hAnsi="仿宋" w:eastAsia="仿宋" w:cs="仿宋"/>
          <w:sz w:val="24"/>
        </w:rPr>
      </w:pPr>
    </w:p>
    <w:p>
      <w:pPr>
        <w:pStyle w:val="82"/>
        <w:spacing w:before="24" w:after="24"/>
        <w:rPr>
          <w:rFonts w:hint="eastAsia" w:ascii="仿宋" w:hAnsi="仿宋" w:eastAsia="仿宋" w:cs="仿宋"/>
          <w:sz w:val="28"/>
          <w:szCs w:val="28"/>
        </w:rPr>
      </w:pPr>
      <w:bookmarkStart w:id="396" w:name="_Toc68590976"/>
      <w:bookmarkStart w:id="397" w:name="_Toc7005040"/>
      <w:r>
        <w:rPr>
          <w:rFonts w:hint="eastAsia" w:ascii="仿宋" w:hAnsi="仿宋" w:eastAsia="仿宋" w:cs="仿宋"/>
          <w:sz w:val="28"/>
          <w:szCs w:val="28"/>
        </w:rPr>
        <w:t>1. 评审方法</w:t>
      </w:r>
      <w:bookmarkEnd w:id="396"/>
      <w:bookmarkEnd w:id="397"/>
    </w:p>
    <w:p>
      <w:pPr>
        <w:pStyle w:val="23"/>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pPr>
        <w:pStyle w:val="82"/>
        <w:spacing w:before="24" w:after="24"/>
        <w:rPr>
          <w:rFonts w:hint="eastAsia" w:ascii="仿宋" w:hAnsi="仿宋" w:eastAsia="仿宋" w:cs="仿宋"/>
          <w:sz w:val="28"/>
          <w:szCs w:val="28"/>
        </w:rPr>
      </w:pPr>
      <w:bookmarkStart w:id="398" w:name="_Toc68590977"/>
      <w:bookmarkStart w:id="399" w:name="_Toc7005041"/>
      <w:r>
        <w:rPr>
          <w:rFonts w:hint="eastAsia" w:ascii="仿宋" w:hAnsi="仿宋" w:eastAsia="仿宋" w:cs="仿宋"/>
          <w:sz w:val="28"/>
          <w:szCs w:val="28"/>
        </w:rPr>
        <w:t>2. 评审标准</w:t>
      </w:r>
      <w:bookmarkEnd w:id="398"/>
      <w:bookmarkEnd w:id="399"/>
    </w:p>
    <w:p>
      <w:pPr>
        <w:pStyle w:val="23"/>
        <w:rPr>
          <w:rFonts w:hint="eastAsia" w:ascii="仿宋" w:hAnsi="仿宋" w:eastAsia="仿宋" w:cs="仿宋"/>
          <w:sz w:val="24"/>
        </w:rPr>
      </w:pPr>
      <w:r>
        <w:rPr>
          <w:rFonts w:hint="eastAsia" w:ascii="仿宋" w:hAnsi="仿宋" w:eastAsia="仿宋" w:cs="仿宋"/>
          <w:sz w:val="24"/>
        </w:rPr>
        <w:t>2.1 资格审查和符合性评审标准：见附表一和附表二。</w:t>
      </w:r>
    </w:p>
    <w:p>
      <w:pPr>
        <w:pStyle w:val="23"/>
        <w:rPr>
          <w:rFonts w:hint="eastAsia" w:ascii="仿宋" w:hAnsi="仿宋" w:eastAsia="仿宋" w:cs="仿宋"/>
          <w:sz w:val="24"/>
        </w:rPr>
      </w:pPr>
      <w:r>
        <w:rPr>
          <w:rFonts w:hint="eastAsia" w:ascii="仿宋" w:hAnsi="仿宋" w:eastAsia="仿宋" w:cs="仿宋"/>
          <w:sz w:val="24"/>
        </w:rPr>
        <w:t>2.2 分值构成：总分100分。</w:t>
      </w:r>
    </w:p>
    <w:p>
      <w:pPr>
        <w:pStyle w:val="23"/>
        <w:rPr>
          <w:rFonts w:hint="eastAsia" w:ascii="仿宋" w:hAnsi="仿宋" w:eastAsia="仿宋" w:cs="仿宋"/>
          <w:sz w:val="24"/>
        </w:rPr>
      </w:pPr>
      <w:bookmarkStart w:id="400" w:name="_Ref426362114"/>
      <w:r>
        <w:rPr>
          <w:rFonts w:hint="eastAsia" w:ascii="仿宋" w:hAnsi="仿宋" w:eastAsia="仿宋" w:cs="仿宋"/>
          <w:sz w:val="24"/>
        </w:rPr>
        <w:t>2.3 商务和技术评审标准</w:t>
      </w:r>
      <w:bookmarkEnd w:id="400"/>
    </w:p>
    <w:p>
      <w:pPr>
        <w:pStyle w:val="23"/>
        <w:rPr>
          <w:rFonts w:hint="eastAsia" w:ascii="仿宋" w:hAnsi="仿宋" w:eastAsia="仿宋" w:cs="仿宋"/>
          <w:sz w:val="24"/>
        </w:rPr>
      </w:pPr>
      <w:bookmarkStart w:id="401" w:name="_Ref426362140"/>
      <w:r>
        <w:rPr>
          <w:rFonts w:hint="eastAsia" w:ascii="仿宋" w:hAnsi="仿宋" w:eastAsia="仿宋" w:cs="仿宋"/>
          <w:sz w:val="24"/>
        </w:rPr>
        <w:t>2.3.1商务部分评分标准：见附表</w:t>
      </w:r>
      <w:bookmarkEnd w:id="401"/>
      <w:r>
        <w:rPr>
          <w:rFonts w:hint="eastAsia" w:ascii="仿宋" w:hAnsi="仿宋" w:eastAsia="仿宋" w:cs="仿宋"/>
          <w:sz w:val="24"/>
        </w:rPr>
        <w:t>三。</w:t>
      </w:r>
    </w:p>
    <w:p>
      <w:pPr>
        <w:pStyle w:val="23"/>
        <w:rPr>
          <w:rFonts w:hint="eastAsia" w:ascii="仿宋" w:hAnsi="仿宋" w:eastAsia="仿宋" w:cs="仿宋"/>
          <w:sz w:val="24"/>
        </w:rPr>
      </w:pPr>
      <w:bookmarkStart w:id="402" w:name="_Ref426362158"/>
      <w:r>
        <w:rPr>
          <w:rFonts w:hint="eastAsia" w:ascii="仿宋" w:hAnsi="仿宋" w:eastAsia="仿宋" w:cs="仿宋"/>
          <w:sz w:val="24"/>
        </w:rPr>
        <w:t>2.3.2技术部分评分标准：见附表</w:t>
      </w:r>
      <w:bookmarkEnd w:id="402"/>
      <w:r>
        <w:rPr>
          <w:rFonts w:hint="eastAsia" w:ascii="仿宋" w:hAnsi="仿宋" w:eastAsia="仿宋" w:cs="仿宋"/>
          <w:sz w:val="24"/>
        </w:rPr>
        <w:t>三。</w:t>
      </w:r>
    </w:p>
    <w:p>
      <w:pPr>
        <w:pStyle w:val="23"/>
        <w:rPr>
          <w:rFonts w:hint="eastAsia" w:ascii="仿宋" w:hAnsi="仿宋" w:eastAsia="仿宋" w:cs="仿宋"/>
          <w:sz w:val="24"/>
        </w:rPr>
      </w:pPr>
      <w:bookmarkStart w:id="403" w:name="_Ref426362176"/>
      <w:r>
        <w:rPr>
          <w:rFonts w:hint="eastAsia" w:ascii="仿宋" w:hAnsi="仿宋" w:eastAsia="仿宋" w:cs="仿宋"/>
          <w:sz w:val="24"/>
        </w:rPr>
        <w:t>2.3.3报价评分标准：</w:t>
      </w:r>
      <w:bookmarkEnd w:id="403"/>
      <w:r>
        <w:rPr>
          <w:rFonts w:hint="eastAsia" w:ascii="仿宋" w:hAnsi="仿宋" w:eastAsia="仿宋" w:cs="仿宋"/>
          <w:sz w:val="24"/>
        </w:rPr>
        <w:t>见附表三。</w:t>
      </w:r>
    </w:p>
    <w:p>
      <w:pPr>
        <w:pStyle w:val="23"/>
        <w:rPr>
          <w:rFonts w:hint="eastAsia" w:ascii="仿宋" w:hAnsi="仿宋" w:eastAsia="仿宋" w:cs="仿宋"/>
          <w:sz w:val="24"/>
        </w:rPr>
      </w:pPr>
      <w:r>
        <w:rPr>
          <w:rFonts w:hint="eastAsia" w:ascii="仿宋" w:hAnsi="仿宋" w:eastAsia="仿宋" w:cs="仿宋"/>
          <w:sz w:val="24"/>
        </w:rPr>
        <w:t>（1）根据《关于进一步加大政府采购支持中小企业力度的通知》（财库〔2022〕19号）、《政府采购促进中小企业发展管理办法》（财库〔2020〕46号）调整供应商参与评审的价格。</w:t>
      </w:r>
      <w:r>
        <w:rPr>
          <w:rFonts w:hint="eastAsia" w:ascii="仿宋" w:hAnsi="仿宋" w:eastAsia="仿宋" w:cs="仿宋"/>
          <w:b/>
          <w:bCs/>
          <w:sz w:val="24"/>
          <w:lang w:eastAsia="zh-CN"/>
        </w:rPr>
        <w:t>本项目为专门面向中小企业项目，所有参与评审的供应商不进行价格扣除。</w:t>
      </w:r>
    </w:p>
    <w:p>
      <w:pPr>
        <w:pStyle w:val="23"/>
        <w:ind w:firstLine="480" w:firstLineChars="200"/>
        <w:rPr>
          <w:rFonts w:hint="eastAsia" w:ascii="仿宋" w:hAnsi="仿宋" w:eastAsia="仿宋" w:cs="仿宋"/>
          <w:sz w:val="24"/>
        </w:rPr>
      </w:pPr>
      <w:r>
        <w:rPr>
          <w:rFonts w:hint="eastAsia" w:ascii="仿宋" w:hAnsi="仿宋" w:eastAsia="仿宋" w:cs="仿宋"/>
          <w:sz w:val="24"/>
        </w:rPr>
        <w:t>（2）评审基准价。有效响应文件中的最后报价并按本款（1）和（2）进行调整的最低报价为评审基准价。</w:t>
      </w:r>
    </w:p>
    <w:p>
      <w:pPr>
        <w:pStyle w:val="23"/>
        <w:ind w:firstLine="480" w:firstLineChars="200"/>
        <w:rPr>
          <w:rFonts w:hint="eastAsia" w:ascii="仿宋" w:hAnsi="仿宋" w:eastAsia="仿宋" w:cs="仿宋"/>
          <w:sz w:val="24"/>
        </w:rPr>
      </w:pPr>
      <w:r>
        <w:rPr>
          <w:rFonts w:hint="eastAsia" w:ascii="仿宋" w:hAnsi="仿宋" w:eastAsia="仿宋" w:cs="仿宋"/>
          <w:sz w:val="24"/>
        </w:rPr>
        <w:t>（3）供应商报价（按本款（1）和（2）进行调整后价格）得分=（评审基准价／最后报价）×价格分满分分值</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2.3.4 响应文件出现下列情况之一者，磋商小组在评审过程中按以下原则修正：</w:t>
      </w:r>
    </w:p>
    <w:p>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（5）文字与图表不一致的，以文字为准；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（6）正本与副本不一致的，以正本为准；</w:t>
      </w:r>
    </w:p>
    <w:p>
      <w:pPr>
        <w:pStyle w:val="82"/>
        <w:spacing w:before="24" w:after="24"/>
        <w:rPr>
          <w:rFonts w:hint="eastAsia" w:ascii="仿宋" w:hAnsi="仿宋" w:eastAsia="仿宋" w:cs="仿宋"/>
          <w:sz w:val="28"/>
          <w:szCs w:val="28"/>
        </w:rPr>
      </w:pPr>
      <w:bookmarkStart w:id="404" w:name="_Toc7005042"/>
      <w:bookmarkStart w:id="405" w:name="_Toc68590978"/>
      <w:r>
        <w:rPr>
          <w:rFonts w:hint="eastAsia" w:ascii="仿宋" w:hAnsi="仿宋" w:eastAsia="仿宋" w:cs="仿宋"/>
          <w:sz w:val="28"/>
          <w:szCs w:val="28"/>
        </w:rPr>
        <w:t>3. 评审程序</w:t>
      </w:r>
      <w:bookmarkEnd w:id="404"/>
      <w:bookmarkEnd w:id="405"/>
    </w:p>
    <w:p>
      <w:pPr>
        <w:pStyle w:val="23"/>
        <w:rPr>
          <w:rFonts w:hint="eastAsia" w:ascii="仿宋" w:hAnsi="仿宋" w:eastAsia="仿宋" w:cs="仿宋"/>
          <w:b/>
          <w:sz w:val="24"/>
        </w:rPr>
      </w:pPr>
      <w:bookmarkStart w:id="406" w:name="_Toc7005043"/>
      <w:r>
        <w:rPr>
          <w:rFonts w:hint="eastAsia" w:ascii="仿宋" w:hAnsi="仿宋" w:eastAsia="仿宋" w:cs="仿宋"/>
          <w:b/>
          <w:sz w:val="24"/>
        </w:rPr>
        <w:t>3.1 资格审查及符合性审查</w:t>
      </w:r>
      <w:bookmarkEnd w:id="406"/>
    </w:p>
    <w:p>
      <w:pPr>
        <w:pStyle w:val="23"/>
        <w:rPr>
          <w:rFonts w:hint="eastAsia" w:ascii="仿宋" w:hAnsi="仿宋" w:eastAsia="仿宋" w:cs="仿宋"/>
          <w:sz w:val="24"/>
        </w:rPr>
      </w:pPr>
      <w:r>
        <w:rPr>
          <w:rFonts w:hint="eastAsia" w:ascii="仿宋" w:hAnsi="仿宋" w:eastAsia="仿宋" w:cs="仿宋"/>
          <w:sz w:val="24"/>
        </w:rPr>
        <w:t>3.1.1 采购人或采购代理机构按附表一所列审查标准对供应商资格进行审查，以确定供应商是否具备磋商资格。</w:t>
      </w:r>
    </w:p>
    <w:p>
      <w:pPr>
        <w:pStyle w:val="23"/>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pPr>
        <w:pStyle w:val="23"/>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pPr>
        <w:pStyle w:val="23"/>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pPr>
        <w:pStyle w:val="23"/>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pPr>
        <w:pStyle w:val="23"/>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pPr>
        <w:pStyle w:val="23"/>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pPr>
        <w:pStyle w:val="23"/>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pPr>
        <w:pStyle w:val="23"/>
        <w:rPr>
          <w:rFonts w:hint="eastAsia" w:ascii="仿宋" w:hAnsi="仿宋" w:eastAsia="仿宋" w:cs="仿宋"/>
          <w:b/>
          <w:sz w:val="24"/>
        </w:rPr>
      </w:pPr>
      <w:bookmarkStart w:id="407" w:name="_Toc7005044"/>
      <w:r>
        <w:rPr>
          <w:rFonts w:hint="eastAsia" w:ascii="仿宋" w:hAnsi="仿宋" w:eastAsia="仿宋" w:cs="仿宋"/>
          <w:b/>
          <w:sz w:val="24"/>
        </w:rPr>
        <w:t>3.2 磋商</w:t>
      </w:r>
      <w:bookmarkEnd w:id="407"/>
    </w:p>
    <w:p>
      <w:pPr>
        <w:pStyle w:val="23"/>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pPr>
        <w:pStyle w:val="23"/>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pPr>
        <w:pStyle w:val="23"/>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pPr>
        <w:pStyle w:val="23"/>
        <w:rPr>
          <w:rFonts w:hint="eastAsia" w:ascii="仿宋" w:hAnsi="仿宋" w:eastAsia="仿宋" w:cs="仿宋"/>
          <w:b/>
          <w:sz w:val="24"/>
        </w:rPr>
      </w:pPr>
      <w:bookmarkStart w:id="408" w:name="_Toc7005045"/>
      <w:r>
        <w:rPr>
          <w:rFonts w:hint="eastAsia" w:ascii="仿宋" w:hAnsi="仿宋" w:eastAsia="仿宋" w:cs="仿宋"/>
          <w:b/>
          <w:sz w:val="24"/>
        </w:rPr>
        <w:t>3.3 评审</w:t>
      </w:r>
      <w:bookmarkEnd w:id="408"/>
    </w:p>
    <w:p>
      <w:pPr>
        <w:pStyle w:val="23"/>
        <w:rPr>
          <w:rFonts w:hint="eastAsia" w:ascii="仿宋" w:hAnsi="仿宋" w:eastAsia="仿宋" w:cs="仿宋"/>
          <w:sz w:val="24"/>
        </w:rPr>
      </w:pPr>
      <w:r>
        <w:rPr>
          <w:rFonts w:hint="eastAsia" w:ascii="仿宋" w:hAnsi="仿宋" w:eastAsia="仿宋" w:cs="仿宋"/>
          <w:sz w:val="24"/>
        </w:rPr>
        <w:t>3.3.1 比较与评价</w:t>
      </w:r>
    </w:p>
    <w:p>
      <w:pPr>
        <w:pStyle w:val="23"/>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pPr>
        <w:pStyle w:val="23"/>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pPr>
        <w:pStyle w:val="23"/>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pPr>
        <w:pStyle w:val="23"/>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pPr>
        <w:pStyle w:val="23"/>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pPr>
        <w:pStyle w:val="23"/>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pPr>
        <w:pStyle w:val="23"/>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pPr>
        <w:pStyle w:val="23"/>
        <w:rPr>
          <w:rFonts w:hint="eastAsia" w:ascii="仿宋" w:hAnsi="仿宋" w:eastAsia="仿宋" w:cs="仿宋"/>
          <w:sz w:val="24"/>
        </w:rPr>
      </w:pPr>
      <w:r>
        <w:rPr>
          <w:rFonts w:hint="eastAsia" w:ascii="仿宋" w:hAnsi="仿宋" w:eastAsia="仿宋" w:cs="仿宋"/>
          <w:sz w:val="24"/>
        </w:rPr>
        <w:t>3.3.4供应商得分=A＋B＋C</w:t>
      </w:r>
    </w:p>
    <w:p>
      <w:pPr>
        <w:pStyle w:val="23"/>
        <w:rPr>
          <w:rFonts w:hint="eastAsia" w:ascii="仿宋" w:hAnsi="仿宋" w:eastAsia="仿宋" w:cs="仿宋"/>
          <w:b/>
          <w:sz w:val="24"/>
        </w:rPr>
      </w:pPr>
      <w:r>
        <w:rPr>
          <w:rFonts w:hint="eastAsia" w:ascii="仿宋" w:hAnsi="仿宋" w:eastAsia="仿宋" w:cs="仿宋"/>
          <w:b/>
          <w:sz w:val="24"/>
        </w:rPr>
        <w:t>3.4 评审结果</w:t>
      </w:r>
    </w:p>
    <w:p>
      <w:pPr>
        <w:pStyle w:val="23"/>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pPr>
        <w:pStyle w:val="23"/>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pPr>
        <w:pStyle w:val="23"/>
        <w:rPr>
          <w:rFonts w:hint="eastAsia" w:ascii="仿宋" w:hAnsi="仿宋" w:eastAsia="仿宋" w:cs="仿宋"/>
          <w:sz w:val="24"/>
        </w:rPr>
      </w:pPr>
      <w:r>
        <w:rPr>
          <w:rFonts w:hint="eastAsia" w:ascii="仿宋" w:hAnsi="仿宋" w:eastAsia="仿宋" w:cs="仿宋"/>
          <w:sz w:val="24"/>
        </w:rPr>
        <w:br w:type="page"/>
      </w:r>
    </w:p>
    <w:p>
      <w:pPr>
        <w:pStyle w:val="82"/>
        <w:spacing w:before="24" w:after="24"/>
        <w:jc w:val="center"/>
        <w:rPr>
          <w:rFonts w:hint="eastAsia" w:ascii="仿宋" w:hAnsi="仿宋" w:eastAsia="仿宋" w:cs="仿宋"/>
          <w:sz w:val="28"/>
          <w:szCs w:val="28"/>
        </w:rPr>
      </w:pPr>
      <w:r>
        <w:rPr>
          <w:rFonts w:hint="eastAsia" w:ascii="仿宋" w:hAnsi="仿宋" w:eastAsia="仿宋" w:cs="仿宋"/>
          <w:sz w:val="28"/>
          <w:szCs w:val="28"/>
        </w:rPr>
        <w:t>附表一 资格审查表</w:t>
      </w:r>
    </w:p>
    <w:tbl>
      <w:tblPr>
        <w:tblStyle w:val="50"/>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55"/>
        <w:gridCol w:w="467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2"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序号</w:t>
            </w:r>
          </w:p>
        </w:tc>
        <w:tc>
          <w:tcPr>
            <w:tcW w:w="2655"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评审内容</w:t>
            </w:r>
          </w:p>
        </w:tc>
        <w:tc>
          <w:tcPr>
            <w:tcW w:w="4677"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评审合格标准</w:t>
            </w:r>
          </w:p>
        </w:tc>
        <w:tc>
          <w:tcPr>
            <w:tcW w:w="1178"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b/>
                <w:szCs w:val="21"/>
              </w:rPr>
            </w:pPr>
            <w:r>
              <w:rPr>
                <w:rFonts w:hint="eastAsia" w:ascii="仿宋" w:hAnsi="仿宋" w:eastAsia="仿宋" w:cs="仿宋"/>
                <w:szCs w:val="21"/>
              </w:rPr>
              <w:t>1</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具有独立承担民事责任的能力</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提供了有效的法人或者其他组织的营业执照等证明文件，自然人的身份证明</w:t>
            </w:r>
          </w:p>
        </w:tc>
        <w:tc>
          <w:tcPr>
            <w:tcW w:w="1178" w:type="dxa"/>
            <w:vAlign w:val="center"/>
          </w:tcPr>
          <w:p>
            <w:pPr>
              <w:snapToGrid w:val="0"/>
              <w:jc w:val="center"/>
              <w:rPr>
                <w:rFonts w:hint="eastAsia"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2</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具有健全的财务会计制度</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提供投标供应商</w:t>
            </w:r>
            <w:r>
              <w:rPr>
                <w:rFonts w:hint="eastAsia" w:ascii="仿宋" w:hAnsi="仿宋" w:eastAsia="仿宋" w:cs="仿宋"/>
                <w:szCs w:val="21"/>
                <w:lang w:val="en-US" w:eastAsia="zh-CN"/>
              </w:rPr>
              <w:t>2022</w:t>
            </w:r>
            <w:r>
              <w:rPr>
                <w:rFonts w:hint="eastAsia" w:ascii="仿宋" w:hAnsi="仿宋" w:eastAsia="仿宋" w:cs="仿宋"/>
                <w:szCs w:val="21"/>
              </w:rPr>
              <w:t>年度经审计的财务报告复印件（包括资产负债表、现金流量表、利润表）或开标截止时间前任意三个月公司的财务报表或本年度基本开户银行出具的资信证明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3</w:t>
            </w:r>
          </w:p>
        </w:tc>
        <w:tc>
          <w:tcPr>
            <w:tcW w:w="2655" w:type="dxa"/>
            <w:shd w:val="clear" w:color="auto" w:fill="auto"/>
            <w:vAlign w:val="center"/>
          </w:tcPr>
          <w:p>
            <w:pPr>
              <w:snapToGrid w:val="0"/>
              <w:jc w:val="left"/>
              <w:rPr>
                <w:rFonts w:hint="eastAsia" w:ascii="仿宋" w:hAnsi="仿宋" w:eastAsia="仿宋" w:cs="仿宋"/>
                <w:szCs w:val="21"/>
              </w:rPr>
            </w:pPr>
            <w:r>
              <w:rPr>
                <w:rFonts w:hint="eastAsia" w:ascii="仿宋" w:hAnsi="仿宋" w:eastAsia="仿宋" w:cs="仿宋"/>
                <w:szCs w:val="21"/>
              </w:rPr>
              <w:t>具有履行合同所必需的设备和专业技术能力</w:t>
            </w:r>
          </w:p>
        </w:tc>
        <w:tc>
          <w:tcPr>
            <w:tcW w:w="4677" w:type="dxa"/>
            <w:shd w:val="clear" w:color="auto" w:fill="auto"/>
          </w:tcPr>
          <w:p>
            <w:pPr>
              <w:snapToGrid w:val="0"/>
              <w:jc w:val="left"/>
              <w:rPr>
                <w:rFonts w:hint="eastAsia" w:ascii="仿宋" w:hAnsi="仿宋" w:eastAsia="仿宋" w:cs="仿宋"/>
                <w:szCs w:val="21"/>
              </w:rPr>
            </w:pPr>
            <w:r>
              <w:rPr>
                <w:rFonts w:hint="eastAsia" w:ascii="仿宋" w:hAnsi="仿宋" w:eastAsia="仿宋" w:cs="仿宋"/>
                <w:szCs w:val="21"/>
              </w:rPr>
              <w:t>提供了可充分满足履行合同所需设备和专业技术能力的证明材料或承诺</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4</w:t>
            </w:r>
          </w:p>
        </w:tc>
        <w:tc>
          <w:tcPr>
            <w:tcW w:w="2655" w:type="dxa"/>
            <w:shd w:val="clear" w:color="auto" w:fill="auto"/>
            <w:vAlign w:val="center"/>
          </w:tcPr>
          <w:p>
            <w:pPr>
              <w:snapToGrid w:val="0"/>
              <w:jc w:val="left"/>
              <w:rPr>
                <w:rFonts w:hint="eastAsia" w:ascii="仿宋" w:hAnsi="仿宋" w:eastAsia="仿宋" w:cs="仿宋"/>
                <w:szCs w:val="21"/>
              </w:rPr>
            </w:pPr>
            <w:r>
              <w:rPr>
                <w:rFonts w:hint="eastAsia" w:ascii="仿宋" w:hAnsi="仿宋" w:eastAsia="仿宋" w:cs="仿宋"/>
                <w:szCs w:val="21"/>
              </w:rPr>
              <w:t>有依法缴纳税收和社会保障资金的良好记录</w:t>
            </w:r>
          </w:p>
        </w:tc>
        <w:tc>
          <w:tcPr>
            <w:tcW w:w="4677" w:type="dxa"/>
            <w:shd w:val="clear" w:color="auto" w:fill="auto"/>
          </w:tcPr>
          <w:p>
            <w:pPr>
              <w:snapToGrid w:val="0"/>
              <w:jc w:val="left"/>
              <w:rPr>
                <w:rFonts w:hint="eastAsia" w:ascii="仿宋" w:hAnsi="仿宋" w:eastAsia="仿宋" w:cs="仿宋"/>
                <w:szCs w:val="21"/>
              </w:rPr>
            </w:pPr>
            <w:r>
              <w:rPr>
                <w:rFonts w:hint="eastAsia" w:ascii="仿宋" w:hAnsi="仿宋" w:eastAsia="仿宋" w:cs="仿宋"/>
                <w:szCs w:val="21"/>
              </w:rPr>
              <w:t>依法缴纳税收和社会保障资金的证明材料复印件</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5</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参加政府采购活动前三年内，在经营活动中没有重大违法记录</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提供了有效的参加政府采购活动前3年内在经营活动中没有重大违法记录的书面声明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6</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法律、行政法规规定的其他条件</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不存在违反法律、法规的情况</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Merge w:val="restart"/>
            <w:vAlign w:val="center"/>
          </w:tcPr>
          <w:p>
            <w:pPr>
              <w:snapToGrid w:val="0"/>
              <w:jc w:val="center"/>
              <w:rPr>
                <w:rFonts w:hint="eastAsia" w:ascii="仿宋" w:hAnsi="仿宋" w:eastAsia="仿宋" w:cs="仿宋"/>
                <w:szCs w:val="21"/>
              </w:rPr>
            </w:pPr>
            <w:r>
              <w:rPr>
                <w:rFonts w:hint="eastAsia" w:ascii="仿宋" w:hAnsi="仿宋" w:eastAsia="仿宋" w:cs="仿宋"/>
                <w:szCs w:val="21"/>
              </w:rPr>
              <w:t>8</w:t>
            </w:r>
          </w:p>
        </w:tc>
        <w:tc>
          <w:tcPr>
            <w:tcW w:w="2655" w:type="dxa"/>
            <w:vMerge w:val="restart"/>
            <w:vAlign w:val="center"/>
          </w:tcPr>
          <w:p>
            <w:pPr>
              <w:snapToGrid w:val="0"/>
              <w:jc w:val="center"/>
              <w:rPr>
                <w:rFonts w:hint="eastAsia" w:ascii="仿宋" w:hAnsi="仿宋" w:eastAsia="仿宋" w:cs="仿宋"/>
                <w:szCs w:val="21"/>
              </w:rPr>
            </w:pPr>
            <w:r>
              <w:rPr>
                <w:rFonts w:hint="eastAsia" w:ascii="仿宋" w:hAnsi="仿宋" w:eastAsia="仿宋" w:cs="仿宋"/>
                <w:szCs w:val="21"/>
              </w:rPr>
              <w:t>供应商特定资格条件</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供应商在递交投标文件截止时间前被“信用中国”网站（www.creditchina.gov.cn）和中国政府采购网（www.ccgp.gov.cn）上被列入失信被执行人、重大税收违法失信主体、政府采购严重违法失信行为记录名单的，不得参加磋商；</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652" w:type="dxa"/>
            <w:vMerge w:val="continue"/>
            <w:vAlign w:val="center"/>
          </w:tcPr>
          <w:p>
            <w:pPr>
              <w:snapToGrid w:val="0"/>
              <w:jc w:val="center"/>
              <w:rPr>
                <w:rFonts w:hint="eastAsia" w:ascii="仿宋" w:hAnsi="仿宋" w:eastAsia="仿宋" w:cs="仿宋"/>
                <w:szCs w:val="21"/>
              </w:rPr>
            </w:pPr>
          </w:p>
        </w:tc>
        <w:tc>
          <w:tcPr>
            <w:tcW w:w="2655" w:type="dxa"/>
            <w:vMerge w:val="continue"/>
            <w:vAlign w:val="center"/>
          </w:tcPr>
          <w:p>
            <w:pPr>
              <w:snapToGrid w:val="0"/>
              <w:jc w:val="left"/>
              <w:rPr>
                <w:rFonts w:hint="eastAsia" w:ascii="仿宋" w:hAnsi="仿宋" w:eastAsia="仿宋" w:cs="仿宋"/>
                <w:szCs w:val="21"/>
              </w:rPr>
            </w:pP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拟派项目负责人具备园林绿化相关专业中级及以上职称及</w:t>
            </w:r>
            <w:r>
              <w:rPr>
                <w:rFonts w:hint="eastAsia" w:ascii="仿宋" w:hAnsi="仿宋" w:eastAsia="仿宋" w:cs="仿宋"/>
                <w:szCs w:val="21"/>
                <w:lang w:eastAsia="zh-CN"/>
              </w:rPr>
              <w:t>在本企业近一年内连续三个月</w:t>
            </w:r>
            <w:r>
              <w:rPr>
                <w:rFonts w:hint="eastAsia" w:ascii="仿宋" w:hAnsi="仿宋" w:eastAsia="仿宋" w:cs="仿宋"/>
                <w:szCs w:val="21"/>
              </w:rPr>
              <w:t>已缴存的社保缴费情况证明（其中五险一金任意一项即可）。依法不需要缴纳社会保障资金的应提供相关文件证明，且未担任其他在建工程项目的项目负责人。</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52" w:type="dxa"/>
            <w:vMerge w:val="continue"/>
            <w:vAlign w:val="center"/>
          </w:tcPr>
          <w:p>
            <w:pPr>
              <w:snapToGrid w:val="0"/>
              <w:jc w:val="center"/>
              <w:rPr>
                <w:rFonts w:hint="eastAsia" w:ascii="仿宋" w:hAnsi="仿宋" w:eastAsia="仿宋" w:cs="仿宋"/>
                <w:szCs w:val="21"/>
              </w:rPr>
            </w:pPr>
          </w:p>
        </w:tc>
        <w:tc>
          <w:tcPr>
            <w:tcW w:w="2655" w:type="dxa"/>
            <w:vMerge w:val="continue"/>
            <w:vAlign w:val="center"/>
          </w:tcPr>
          <w:p>
            <w:pPr>
              <w:snapToGrid w:val="0"/>
              <w:jc w:val="left"/>
              <w:rPr>
                <w:rFonts w:hint="eastAsia" w:ascii="仿宋" w:hAnsi="仿宋" w:eastAsia="仿宋" w:cs="仿宋"/>
                <w:szCs w:val="21"/>
              </w:rPr>
            </w:pP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投标人不得存在下列情形之一：</w:t>
            </w:r>
          </w:p>
          <w:p>
            <w:pPr>
              <w:snapToGrid w:val="0"/>
              <w:jc w:val="left"/>
              <w:rPr>
                <w:rFonts w:hint="eastAsia" w:ascii="仿宋" w:hAnsi="仿宋" w:eastAsia="仿宋" w:cs="仿宋"/>
                <w:szCs w:val="21"/>
              </w:rPr>
            </w:pPr>
            <w:r>
              <w:rPr>
                <w:rFonts w:hint="eastAsia" w:ascii="仿宋" w:hAnsi="仿宋" w:eastAsia="仿宋" w:cs="仿宋"/>
                <w:szCs w:val="21"/>
              </w:rPr>
              <w:t>（1）单位负责人为同一人或者存在直接控股、管理关系的不同投标人，不得同时参加本次采购活动；</w:t>
            </w:r>
          </w:p>
          <w:p>
            <w:pPr>
              <w:snapToGrid w:val="0"/>
              <w:jc w:val="left"/>
              <w:rPr>
                <w:rFonts w:hint="eastAsia" w:ascii="仿宋" w:hAnsi="仿宋" w:eastAsia="仿宋" w:cs="仿宋"/>
                <w:szCs w:val="21"/>
              </w:rPr>
            </w:pPr>
            <w:r>
              <w:rPr>
                <w:rFonts w:hint="eastAsia" w:ascii="仿宋" w:hAnsi="仿宋" w:eastAsia="仿宋" w:cs="仿宋"/>
                <w:szCs w:val="21"/>
              </w:rPr>
              <w:t>（2）为本项目提供整体设计、规范编制或者项目管理、监理、检测等服务的投标人，不得再参加该采购项目的其他采购活动。</w:t>
            </w:r>
          </w:p>
          <w:p>
            <w:pPr>
              <w:snapToGrid w:val="0"/>
              <w:jc w:val="left"/>
              <w:rPr>
                <w:rFonts w:hint="eastAsia" w:ascii="仿宋" w:hAnsi="仿宋" w:eastAsia="仿宋" w:cs="仿宋"/>
                <w:szCs w:val="21"/>
              </w:rPr>
            </w:pPr>
            <w:r>
              <w:rPr>
                <w:rFonts w:hint="eastAsia" w:ascii="仿宋" w:hAnsi="仿宋" w:eastAsia="仿宋" w:cs="仿宋"/>
                <w:szCs w:val="21"/>
              </w:rPr>
              <w:t>（3）投标人在各级建设诚信信息平台被列为投标受限行为人的不得参与投标。</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52" w:type="dxa"/>
            <w:vAlign w:val="center"/>
          </w:tcPr>
          <w:p>
            <w:pPr>
              <w:snapToGrid w:val="0"/>
              <w:jc w:val="center"/>
              <w:rPr>
                <w:rFonts w:hint="eastAsia" w:ascii="仿宋" w:hAnsi="仿宋" w:eastAsia="仿宋" w:cs="仿宋"/>
                <w:szCs w:val="21"/>
              </w:rPr>
            </w:pPr>
          </w:p>
        </w:tc>
        <w:tc>
          <w:tcPr>
            <w:tcW w:w="2655" w:type="dxa"/>
            <w:vAlign w:val="center"/>
          </w:tcPr>
          <w:p>
            <w:pPr>
              <w:snapToGrid w:val="0"/>
              <w:ind w:left="425"/>
              <w:jc w:val="center"/>
              <w:rPr>
                <w:rFonts w:hint="eastAsia" w:ascii="仿宋" w:hAnsi="仿宋" w:eastAsia="仿宋" w:cs="仿宋"/>
                <w:szCs w:val="21"/>
              </w:rPr>
            </w:pPr>
            <w:r>
              <w:rPr>
                <w:rFonts w:hint="eastAsia" w:ascii="仿宋" w:hAnsi="仿宋" w:eastAsia="仿宋" w:cs="仿宋"/>
                <w:szCs w:val="21"/>
              </w:rPr>
              <w:t>结论</w:t>
            </w:r>
          </w:p>
        </w:tc>
        <w:tc>
          <w:tcPr>
            <w:tcW w:w="4677" w:type="dxa"/>
          </w:tcPr>
          <w:p>
            <w:pPr>
              <w:snapToGrid w:val="0"/>
              <w:jc w:val="center"/>
              <w:rPr>
                <w:rFonts w:hint="eastAsia" w:ascii="仿宋" w:hAnsi="仿宋" w:eastAsia="仿宋" w:cs="仿宋"/>
                <w:szCs w:val="21"/>
              </w:rPr>
            </w:pPr>
          </w:p>
        </w:tc>
        <w:tc>
          <w:tcPr>
            <w:tcW w:w="1178" w:type="dxa"/>
            <w:vAlign w:val="center"/>
          </w:tcPr>
          <w:p>
            <w:pPr>
              <w:snapToGrid w:val="0"/>
              <w:ind w:left="425"/>
              <w:jc w:val="center"/>
              <w:rPr>
                <w:rFonts w:hint="eastAsia" w:ascii="仿宋" w:hAnsi="仿宋" w:eastAsia="仿宋" w:cs="仿宋"/>
                <w:szCs w:val="21"/>
              </w:rPr>
            </w:pPr>
          </w:p>
        </w:tc>
      </w:tr>
    </w:tbl>
    <w:p>
      <w:pPr>
        <w:spacing w:line="0" w:lineRule="atLeast"/>
        <w:ind w:left="425"/>
        <w:rPr>
          <w:rFonts w:hint="eastAsia" w:ascii="仿宋" w:hAnsi="仿宋" w:eastAsia="仿宋" w:cs="仿宋"/>
          <w:szCs w:val="21"/>
        </w:rPr>
      </w:pPr>
      <w:r>
        <w:rPr>
          <w:rFonts w:hint="eastAsia" w:ascii="仿宋" w:hAnsi="仿宋" w:eastAsia="仿宋" w:cs="仿宋"/>
          <w:szCs w:val="21"/>
        </w:rPr>
        <w:t>注：符合要求用“√”表示，不符合用“×”表示。有一项不符合要求，结论为不合格。</w:t>
      </w:r>
    </w:p>
    <w:p>
      <w:pPr>
        <w:pStyle w:val="82"/>
        <w:spacing w:before="24" w:after="24"/>
        <w:jc w:val="center"/>
        <w:rPr>
          <w:rFonts w:hint="eastAsia" w:ascii="仿宋" w:hAnsi="仿宋" w:eastAsia="仿宋" w:cs="仿宋"/>
          <w:sz w:val="28"/>
          <w:szCs w:val="28"/>
        </w:rPr>
      </w:pPr>
      <w:r>
        <w:rPr>
          <w:rFonts w:hint="eastAsia" w:ascii="仿宋" w:hAnsi="仿宋" w:eastAsia="仿宋" w:cs="仿宋"/>
          <w:szCs w:val="21"/>
        </w:rPr>
        <w:br w:type="page"/>
      </w:r>
      <w:r>
        <w:rPr>
          <w:rFonts w:hint="eastAsia" w:ascii="仿宋" w:hAnsi="仿宋" w:eastAsia="仿宋" w:cs="仿宋"/>
          <w:sz w:val="28"/>
          <w:szCs w:val="28"/>
        </w:rPr>
        <w:t>附表二 符合性审查表</w:t>
      </w:r>
    </w:p>
    <w:tbl>
      <w:tblPr>
        <w:tblStyle w:val="50"/>
        <w:tblW w:w="92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1"/>
        <w:gridCol w:w="1723"/>
        <w:gridCol w:w="5401"/>
        <w:gridCol w:w="13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序号</w:t>
            </w:r>
          </w:p>
        </w:tc>
        <w:tc>
          <w:tcPr>
            <w:tcW w:w="1723"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评审项目</w:t>
            </w:r>
          </w:p>
        </w:tc>
        <w:tc>
          <w:tcPr>
            <w:tcW w:w="5401"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评审标准</w:t>
            </w:r>
          </w:p>
        </w:tc>
        <w:tc>
          <w:tcPr>
            <w:tcW w:w="1313"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评审结论</w:t>
            </w:r>
          </w:p>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9"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保证金信用承诺书</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按照磋商文件给出格式填写投标保证金信用承诺书；</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2.</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响应文件签署盖章</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按磋商文件格式要求加盖了供应商公章和有法定代表人或其授权代表签字或加盖人名章。</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3.</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报价</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供应商报价是固定价且未超过预算金额（磋商文件有最高限价的，报价未超过最高限价）；</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4.</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附加条件</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响应文件不含有采购人不能接受的附加条件；</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5.</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响应文件有效期</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有效期满足磋商文件要求的；</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6.</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响应文件格式</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响应文件按规定的格式填写，内容完整且关键字迹清晰；</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7.</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备选方案</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供应商不得提交两份或者多份内容不同的响应文件，或者在同一份响应文件中对同一磋商项目有两个或者多个报价；</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8.</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响应文件内容</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供应商响应的工程内容无遗漏。</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9.</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技术响应</w:t>
            </w:r>
          </w:p>
        </w:tc>
        <w:tc>
          <w:tcPr>
            <w:tcW w:w="5401" w:type="dxa"/>
            <w:shd w:val="clear" w:color="auto" w:fill="auto"/>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符合技术要求，无负偏离。</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10.</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工期、建设地点、工程质量</w:t>
            </w:r>
          </w:p>
        </w:tc>
        <w:tc>
          <w:tcPr>
            <w:tcW w:w="5401" w:type="dxa"/>
            <w:shd w:val="clear" w:color="auto" w:fill="auto"/>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满足磋商文件要求；</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11.</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质保期</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满足磋商文件要求；</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12.</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付款方式</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满足磋商文件要求</w:t>
            </w:r>
          </w:p>
        </w:tc>
        <w:tc>
          <w:tcPr>
            <w:tcW w:w="1313" w:type="dxa"/>
            <w:vMerge w:val="restart"/>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13.</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其他无效情形</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无法律、法规和磋商文件规定的其他无效情形；</w:t>
            </w:r>
          </w:p>
        </w:tc>
        <w:tc>
          <w:tcPr>
            <w:tcW w:w="1313" w:type="dxa"/>
            <w:vMerge w:val="continue"/>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2564" w:type="dxa"/>
            <w:gridSpan w:val="2"/>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b/>
                <w:szCs w:val="21"/>
              </w:rPr>
              <w:t>结论（通过或未通过）</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bl>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注：1、符合磋商文件要求用“√”表示，不符合用“×”表示。有一项不符合要求，结论为不合格。</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pPr>
        <w:tabs>
          <w:tab w:val="left" w:pos="1260"/>
          <w:tab w:val="left" w:pos="1620"/>
        </w:tabs>
        <w:adjustRightInd w:val="0"/>
        <w:spacing w:line="360" w:lineRule="auto"/>
        <w:jc w:val="left"/>
        <w:textAlignment w:val="baseline"/>
        <w:rPr>
          <w:rFonts w:hint="eastAsia" w:ascii="仿宋" w:hAnsi="仿宋" w:eastAsia="仿宋" w:cs="仿宋"/>
          <w:b/>
          <w:szCs w:val="21"/>
        </w:rPr>
      </w:pPr>
    </w:p>
    <w:p>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pPr>
        <w:pStyle w:val="82"/>
        <w:spacing w:before="24" w:after="24"/>
        <w:jc w:val="center"/>
        <w:rPr>
          <w:rFonts w:hint="eastAsia" w:ascii="仿宋" w:hAnsi="仿宋" w:eastAsia="仿宋" w:cs="仿宋"/>
          <w:sz w:val="28"/>
          <w:szCs w:val="28"/>
        </w:rPr>
      </w:pPr>
      <w:bookmarkStart w:id="409" w:name="_Toc414446034"/>
      <w:bookmarkStart w:id="410" w:name="_Toc410631198"/>
      <w:bookmarkStart w:id="411" w:name="_Toc7005048"/>
      <w:r>
        <w:rPr>
          <w:rFonts w:hint="eastAsia" w:ascii="仿宋" w:hAnsi="仿宋" w:eastAsia="仿宋" w:cs="仿宋"/>
          <w:sz w:val="28"/>
          <w:szCs w:val="28"/>
        </w:rPr>
        <w:t>附表三 评审因素及分值分配表</w:t>
      </w:r>
      <w:bookmarkEnd w:id="409"/>
      <w:bookmarkEnd w:id="410"/>
      <w:bookmarkEnd w:id="411"/>
    </w:p>
    <w:p>
      <w:pPr>
        <w:tabs>
          <w:tab w:val="left" w:pos="-94"/>
          <w:tab w:val="left" w:pos="1620"/>
        </w:tabs>
        <w:adjustRightInd w:val="0"/>
        <w:spacing w:line="360" w:lineRule="auto"/>
        <w:ind w:left="23" w:leftChars="11"/>
        <w:jc w:val="center"/>
        <w:textAlignment w:val="baseline"/>
        <w:rPr>
          <w:rFonts w:hint="eastAsia" w:ascii="仿宋" w:hAnsi="仿宋" w:eastAsia="仿宋" w:cs="仿宋"/>
          <w:szCs w:val="21"/>
        </w:rPr>
      </w:pPr>
      <w:r>
        <w:rPr>
          <w:rFonts w:hint="eastAsia" w:ascii="仿宋" w:hAnsi="仿宋" w:eastAsia="仿宋" w:cs="仿宋"/>
          <w:szCs w:val="21"/>
        </w:rPr>
        <w:t>（满分100分）</w:t>
      </w:r>
    </w:p>
    <w:tbl>
      <w:tblPr>
        <w:tblStyle w:val="50"/>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186"/>
        <w:gridCol w:w="518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073" w:type="dxa"/>
            <w:vAlign w:val="center"/>
          </w:tcPr>
          <w:p>
            <w:pPr>
              <w:jc w:val="center"/>
              <w:rPr>
                <w:rFonts w:hint="eastAsia" w:ascii="仿宋" w:hAnsi="仿宋" w:eastAsia="仿宋" w:cs="仿宋"/>
                <w:b/>
              </w:rPr>
            </w:pPr>
            <w:r>
              <w:rPr>
                <w:rFonts w:hint="eastAsia" w:ascii="仿宋" w:hAnsi="仿宋" w:eastAsia="仿宋" w:cs="仿宋"/>
                <w:b/>
              </w:rPr>
              <w:t>评审项目</w:t>
            </w:r>
          </w:p>
        </w:tc>
        <w:tc>
          <w:tcPr>
            <w:tcW w:w="2186" w:type="dxa"/>
            <w:vAlign w:val="center"/>
          </w:tcPr>
          <w:p>
            <w:pPr>
              <w:jc w:val="center"/>
              <w:rPr>
                <w:rFonts w:hint="eastAsia" w:ascii="仿宋" w:hAnsi="仿宋" w:eastAsia="仿宋" w:cs="仿宋"/>
                <w:b/>
              </w:rPr>
            </w:pPr>
            <w:r>
              <w:rPr>
                <w:rFonts w:hint="eastAsia" w:ascii="仿宋" w:hAnsi="仿宋" w:eastAsia="仿宋" w:cs="仿宋"/>
                <w:b/>
              </w:rPr>
              <w:t>评审内容</w:t>
            </w:r>
          </w:p>
        </w:tc>
        <w:tc>
          <w:tcPr>
            <w:tcW w:w="5185" w:type="dxa"/>
            <w:vAlign w:val="center"/>
          </w:tcPr>
          <w:p>
            <w:pPr>
              <w:jc w:val="center"/>
              <w:rPr>
                <w:rFonts w:hint="eastAsia" w:ascii="仿宋" w:hAnsi="仿宋" w:eastAsia="仿宋" w:cs="仿宋"/>
                <w:b/>
              </w:rPr>
            </w:pPr>
            <w:r>
              <w:rPr>
                <w:rFonts w:hint="eastAsia" w:ascii="仿宋" w:hAnsi="仿宋" w:eastAsia="仿宋" w:cs="仿宋"/>
                <w:b/>
              </w:rPr>
              <w:t>评  审  标  准</w:t>
            </w:r>
          </w:p>
        </w:tc>
        <w:tc>
          <w:tcPr>
            <w:tcW w:w="785" w:type="dxa"/>
            <w:vAlign w:val="center"/>
          </w:tcPr>
          <w:p>
            <w:pPr>
              <w:jc w:val="center"/>
              <w:rPr>
                <w:rFonts w:hint="eastAsia" w:ascii="仿宋" w:hAnsi="仿宋" w:eastAsia="仿宋" w:cs="仿宋"/>
                <w:b/>
              </w:rPr>
            </w:pPr>
            <w:r>
              <w:rPr>
                <w:rFonts w:hint="eastAsia" w:ascii="仿宋" w:hAnsi="仿宋" w:eastAsia="仿宋" w:cs="仿宋"/>
                <w:b/>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73" w:type="dxa"/>
            <w:vAlign w:val="center"/>
          </w:tcPr>
          <w:p>
            <w:pPr>
              <w:jc w:val="center"/>
              <w:rPr>
                <w:rFonts w:hint="eastAsia" w:ascii="仿宋" w:hAnsi="仿宋" w:eastAsia="仿宋" w:cs="仿宋"/>
                <w:bCs/>
              </w:rPr>
            </w:pPr>
            <w:r>
              <w:rPr>
                <w:rFonts w:hint="eastAsia" w:ascii="仿宋" w:hAnsi="仿宋" w:eastAsia="仿宋" w:cs="仿宋"/>
                <w:bCs/>
              </w:rPr>
              <w:t>商务评审（</w:t>
            </w:r>
            <w:r>
              <w:rPr>
                <w:rFonts w:hint="eastAsia" w:ascii="仿宋" w:hAnsi="仿宋" w:eastAsia="仿宋" w:cs="仿宋"/>
                <w:bCs/>
                <w:lang w:val="en-US" w:eastAsia="zh-CN"/>
              </w:rPr>
              <w:t>10</w:t>
            </w:r>
            <w:r>
              <w:rPr>
                <w:rFonts w:hint="eastAsia" w:ascii="仿宋" w:hAnsi="仿宋" w:eastAsia="仿宋" w:cs="仿宋"/>
                <w:bCs/>
              </w:rPr>
              <w:t>分）</w:t>
            </w:r>
          </w:p>
        </w:tc>
        <w:tc>
          <w:tcPr>
            <w:tcW w:w="2186" w:type="dxa"/>
            <w:vAlign w:val="center"/>
          </w:tcPr>
          <w:p>
            <w:pPr>
              <w:jc w:val="center"/>
              <w:rPr>
                <w:rFonts w:hint="eastAsia" w:ascii="仿宋" w:hAnsi="仿宋" w:eastAsia="仿宋" w:cs="仿宋"/>
                <w:bCs/>
              </w:rPr>
            </w:pPr>
            <w:r>
              <w:rPr>
                <w:rFonts w:hint="eastAsia" w:ascii="仿宋" w:hAnsi="仿宋" w:eastAsia="仿宋" w:cs="仿宋"/>
                <w:bCs/>
                <w:lang w:eastAsia="zh-CN"/>
              </w:rPr>
              <w:t>业绩</w:t>
            </w:r>
          </w:p>
        </w:tc>
        <w:tc>
          <w:tcPr>
            <w:tcW w:w="5185" w:type="dxa"/>
            <w:vAlign w:val="center"/>
          </w:tcPr>
          <w:p>
            <w:pPr>
              <w:jc w:val="both"/>
              <w:rPr>
                <w:rFonts w:hint="eastAsia" w:ascii="仿宋" w:hAnsi="仿宋" w:eastAsia="仿宋" w:cs="仿宋"/>
                <w:bCs/>
                <w:lang w:val="zh-CN" w:eastAsia="zh-CN"/>
              </w:rPr>
            </w:pPr>
            <w:r>
              <w:rPr>
                <w:rFonts w:hint="eastAsia" w:ascii="仿宋" w:hAnsi="仿宋" w:eastAsia="仿宋" w:cs="仿宋"/>
                <w:bCs/>
                <w:lang w:val="zh-CN"/>
              </w:rPr>
              <w:t>提供投标人20</w:t>
            </w:r>
            <w:r>
              <w:rPr>
                <w:rFonts w:hint="eastAsia" w:ascii="仿宋" w:hAnsi="仿宋" w:eastAsia="仿宋" w:cs="仿宋"/>
                <w:bCs/>
                <w:lang w:val="en-US" w:eastAsia="zh-CN"/>
              </w:rPr>
              <w:t>20</w:t>
            </w:r>
            <w:r>
              <w:rPr>
                <w:rFonts w:hint="eastAsia" w:ascii="仿宋" w:hAnsi="仿宋" w:eastAsia="仿宋" w:cs="仿宋"/>
                <w:bCs/>
                <w:lang w:val="zh-CN"/>
              </w:rPr>
              <w:t>年</w:t>
            </w:r>
            <w:r>
              <w:rPr>
                <w:rFonts w:hint="eastAsia" w:ascii="仿宋" w:hAnsi="仿宋" w:eastAsia="仿宋" w:cs="仿宋"/>
                <w:bCs/>
                <w:lang w:val="en-US" w:eastAsia="zh-CN"/>
              </w:rPr>
              <w:t>1</w:t>
            </w:r>
            <w:r>
              <w:rPr>
                <w:rFonts w:hint="eastAsia" w:ascii="仿宋" w:hAnsi="仿宋" w:eastAsia="仿宋" w:cs="仿宋"/>
                <w:bCs/>
                <w:lang w:val="zh-CN"/>
              </w:rPr>
              <w:t>月至今(以合同签订日期为准)类似项目合同，提供合同复印件加盖公章，每份计</w:t>
            </w:r>
            <w:r>
              <w:rPr>
                <w:rFonts w:hint="eastAsia" w:ascii="仿宋" w:hAnsi="仿宋" w:eastAsia="仿宋" w:cs="仿宋"/>
                <w:bCs/>
                <w:lang w:val="en-US" w:eastAsia="zh-CN"/>
              </w:rPr>
              <w:t>2</w:t>
            </w:r>
            <w:r>
              <w:rPr>
                <w:rFonts w:hint="eastAsia" w:ascii="仿宋" w:hAnsi="仿宋" w:eastAsia="仿宋" w:cs="仿宋"/>
                <w:bCs/>
                <w:lang w:val="zh-CN"/>
              </w:rPr>
              <w:t>分，满分</w:t>
            </w:r>
            <w:r>
              <w:rPr>
                <w:rFonts w:hint="eastAsia" w:ascii="仿宋" w:hAnsi="仿宋" w:eastAsia="仿宋" w:cs="仿宋"/>
                <w:bCs/>
                <w:lang w:val="en-US" w:eastAsia="zh-CN"/>
              </w:rPr>
              <w:t>10</w:t>
            </w:r>
            <w:r>
              <w:rPr>
                <w:rFonts w:hint="eastAsia" w:ascii="仿宋" w:hAnsi="仿宋" w:eastAsia="仿宋" w:cs="仿宋"/>
                <w:bCs/>
                <w:lang w:val="zh-CN"/>
              </w:rPr>
              <w:t>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restart"/>
            <w:vAlign w:val="center"/>
          </w:tcPr>
          <w:p>
            <w:pPr>
              <w:jc w:val="center"/>
              <w:rPr>
                <w:rFonts w:hint="eastAsia" w:ascii="仿宋" w:hAnsi="仿宋" w:eastAsia="仿宋" w:cs="仿宋"/>
                <w:bCs/>
              </w:rPr>
            </w:pPr>
            <w:r>
              <w:rPr>
                <w:rFonts w:hint="eastAsia" w:ascii="仿宋" w:hAnsi="仿宋" w:eastAsia="仿宋" w:cs="仿宋"/>
                <w:bCs/>
                <w:lang w:eastAsia="zh-CN"/>
              </w:rPr>
              <w:t>技术评审（</w:t>
            </w:r>
            <w:r>
              <w:rPr>
                <w:rFonts w:hint="eastAsia" w:ascii="仿宋" w:hAnsi="仿宋" w:eastAsia="仿宋" w:cs="仿宋"/>
                <w:bCs/>
                <w:lang w:val="en-US" w:eastAsia="zh-CN"/>
              </w:rPr>
              <w:t>60分</w:t>
            </w:r>
            <w:r>
              <w:rPr>
                <w:rFonts w:hint="eastAsia" w:ascii="仿宋" w:hAnsi="仿宋" w:eastAsia="仿宋" w:cs="仿宋"/>
                <w:bCs/>
                <w:lang w:eastAsia="zh-CN"/>
              </w:rPr>
              <w:t>）</w:t>
            </w: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施工组织设计方案</w:t>
            </w:r>
          </w:p>
        </w:tc>
        <w:tc>
          <w:tcPr>
            <w:tcW w:w="5185" w:type="dxa"/>
            <w:vAlign w:val="center"/>
          </w:tcPr>
          <w:p>
            <w:pPr>
              <w:jc w:val="both"/>
              <w:rPr>
                <w:rFonts w:hint="eastAsia" w:ascii="仿宋" w:hAnsi="仿宋" w:eastAsia="仿宋" w:cs="仿宋"/>
                <w:bCs/>
                <w:lang w:val="zh-CN" w:eastAsia="zh-CN"/>
              </w:rPr>
            </w:pPr>
            <w:r>
              <w:rPr>
                <w:rFonts w:hint="eastAsia" w:ascii="仿宋" w:hAnsi="仿宋" w:eastAsia="仿宋" w:cs="仿宋"/>
                <w:bCs/>
                <w:lang w:val="zh-CN" w:eastAsia="zh-CN"/>
              </w:rPr>
              <w:t>所提供施工组织设计方案对重点和难点把握的完整性、准确性、解决方案措施的合理性、可行性</w:t>
            </w:r>
            <w:r>
              <w:rPr>
                <w:rFonts w:hint="eastAsia" w:ascii="仿宋" w:hAnsi="仿宋" w:eastAsia="仿宋" w:cs="仿宋"/>
                <w:bCs/>
                <w:lang w:val="en-US" w:eastAsia="zh-CN"/>
              </w:rPr>
              <w:t>0</w:t>
            </w:r>
            <w:r>
              <w:rPr>
                <w:rFonts w:hint="eastAsia" w:ascii="仿宋" w:hAnsi="仿宋" w:eastAsia="仿宋" w:cs="仿宋"/>
                <w:bCs/>
                <w:lang w:val="zh-CN" w:eastAsia="zh-CN"/>
              </w:rPr>
              <w:t>-</w:t>
            </w:r>
            <w:r>
              <w:rPr>
                <w:rFonts w:hint="eastAsia" w:ascii="仿宋" w:hAnsi="仿宋" w:eastAsia="仿宋" w:cs="仿宋"/>
                <w:bCs/>
                <w:lang w:val="en-US" w:eastAsia="zh-CN"/>
              </w:rPr>
              <w:t>5</w:t>
            </w:r>
            <w:r>
              <w:rPr>
                <w:rFonts w:hint="eastAsia" w:ascii="仿宋" w:hAnsi="仿宋" w:eastAsia="仿宋" w:cs="仿宋"/>
                <w:bCs/>
                <w:lang w:val="zh-CN" w:eastAsia="zh-CN"/>
              </w:rPr>
              <w:t>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总体施工组织设计思路</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总体施工组织设计思路清晰、切实可行</w:t>
            </w:r>
            <w:r>
              <w:rPr>
                <w:rFonts w:hint="eastAsia" w:ascii="仿宋" w:hAnsi="仿宋" w:eastAsia="仿宋" w:cs="仿宋"/>
                <w:bCs/>
                <w:lang w:val="en-US" w:eastAsia="zh-CN"/>
              </w:rPr>
              <w:t>0</w:t>
            </w:r>
            <w:r>
              <w:rPr>
                <w:rFonts w:hint="eastAsia" w:ascii="仿宋" w:hAnsi="仿宋" w:eastAsia="仿宋" w:cs="仿宋"/>
                <w:bCs/>
                <w:lang w:val="zh-CN" w:eastAsia="zh-CN"/>
              </w:rPr>
              <w:t>-</w:t>
            </w:r>
            <w:r>
              <w:rPr>
                <w:rFonts w:hint="eastAsia" w:ascii="仿宋" w:hAnsi="仿宋" w:eastAsia="仿宋" w:cs="仿宋"/>
                <w:bCs/>
                <w:lang w:val="en-US" w:eastAsia="zh-CN"/>
              </w:rPr>
              <w:t>5</w:t>
            </w:r>
            <w:r>
              <w:rPr>
                <w:rFonts w:hint="eastAsia" w:ascii="仿宋" w:hAnsi="仿宋" w:eastAsia="仿宋" w:cs="仿宋"/>
                <w:bCs/>
                <w:lang w:val="zh-CN" w:eastAsia="zh-CN"/>
              </w:rPr>
              <w:t>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协调安排措施</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设计与施工的协调安排措施</w:t>
            </w:r>
            <w:r>
              <w:rPr>
                <w:rFonts w:hint="eastAsia" w:ascii="仿宋" w:hAnsi="仿宋" w:eastAsia="仿宋" w:cs="仿宋"/>
                <w:bCs/>
                <w:lang w:val="en-US" w:eastAsia="zh-CN"/>
              </w:rPr>
              <w:t>0</w:t>
            </w:r>
            <w:r>
              <w:rPr>
                <w:rFonts w:hint="eastAsia" w:ascii="仿宋" w:hAnsi="仿宋" w:eastAsia="仿宋" w:cs="仿宋"/>
                <w:bCs/>
                <w:lang w:val="zh-CN" w:eastAsia="zh-CN"/>
              </w:rPr>
              <w:t>-</w:t>
            </w:r>
            <w:r>
              <w:rPr>
                <w:rFonts w:hint="eastAsia" w:ascii="仿宋" w:hAnsi="仿宋" w:eastAsia="仿宋" w:cs="仿宋"/>
                <w:bCs/>
                <w:lang w:val="en-US" w:eastAsia="zh-CN"/>
              </w:rPr>
              <w:t>5分</w:t>
            </w:r>
            <w:r>
              <w:rPr>
                <w:rFonts w:hint="eastAsia" w:ascii="仿宋" w:hAnsi="仿宋" w:eastAsia="仿宋" w:cs="仿宋"/>
                <w:bCs/>
                <w:lang w:val="zh-CN" w:eastAsia="zh-CN"/>
              </w:rPr>
              <w:t>。</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技术组织措施</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确保工期的技术组织措施，按其响应程度计0-5分。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确保工程质量技术措施</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rPr>
              <w:t>确保工程质量的技术措施，按其响应程度计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确保安全生产的技术组织措施</w:t>
            </w:r>
          </w:p>
        </w:tc>
        <w:tc>
          <w:tcPr>
            <w:tcW w:w="5185" w:type="dxa"/>
            <w:vAlign w:val="center"/>
          </w:tcPr>
          <w:p>
            <w:pPr>
              <w:jc w:val="both"/>
              <w:rPr>
                <w:rFonts w:hint="eastAsia" w:ascii="仿宋" w:hAnsi="仿宋" w:eastAsia="仿宋" w:cs="仿宋"/>
                <w:bCs/>
                <w:lang w:val="zh-CN" w:eastAsia="zh-CN"/>
              </w:rPr>
            </w:pPr>
            <w:r>
              <w:rPr>
                <w:rFonts w:hint="eastAsia" w:ascii="仿宋" w:hAnsi="仿宋" w:eastAsia="仿宋" w:cs="仿宋"/>
                <w:bCs/>
                <w:lang w:val="zh-CN"/>
              </w:rPr>
              <w:t>确保安全生产的技术组织措施，按其响应程度计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施工方案</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rPr>
              <w:t>施工方案，按其响应程度计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进度计划及工期目标</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rPr>
              <w:t>进度计划和工期目标，按其响应程度计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拟投入机械设备计划</w:t>
            </w:r>
          </w:p>
        </w:tc>
        <w:tc>
          <w:tcPr>
            <w:tcW w:w="5185" w:type="dxa"/>
            <w:vAlign w:val="center"/>
          </w:tcPr>
          <w:p>
            <w:pPr>
              <w:jc w:val="both"/>
              <w:rPr>
                <w:rFonts w:hint="eastAsia" w:ascii="仿宋" w:hAnsi="仿宋" w:eastAsia="仿宋" w:cs="仿宋"/>
                <w:bCs/>
                <w:lang w:val="en-US" w:eastAsia="zh-CN"/>
              </w:rPr>
            </w:pPr>
            <w:r>
              <w:rPr>
                <w:rFonts w:hint="eastAsia" w:ascii="仿宋" w:hAnsi="仿宋" w:eastAsia="仿宋" w:cs="仿宋"/>
                <w:bCs/>
                <w:lang w:val="zh-CN"/>
              </w:rPr>
              <w:t>施工机械配备和材料投入计划，按其响应程度计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rPr>
            </w:pPr>
            <w:r>
              <w:rPr>
                <w:rFonts w:hint="eastAsia" w:ascii="仿宋" w:hAnsi="仿宋" w:eastAsia="仿宋" w:cs="仿宋"/>
                <w:bCs/>
                <w:lang w:val="en-US" w:eastAsia="zh-CN"/>
              </w:rPr>
              <w:t>项目管理组织方案</w:t>
            </w:r>
          </w:p>
        </w:tc>
        <w:tc>
          <w:tcPr>
            <w:tcW w:w="518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Cs/>
                <w:lang w:val="en-US" w:eastAsia="zh-CN"/>
              </w:rPr>
            </w:pPr>
            <w:r>
              <w:rPr>
                <w:rFonts w:hint="eastAsia" w:ascii="仿宋" w:hAnsi="仿宋" w:eastAsia="仿宋" w:cs="仿宋"/>
                <w:bCs/>
                <w:lang w:val="en-US" w:eastAsia="zh-CN"/>
              </w:rPr>
              <w:t>项目整体资金、规划、设计、施工技术管理，项目风险控制措施；对项目的整体认识，项目实施过程管理，资金管理，各环节衔接，技术人员整体配备，对项目重难点的认识及解决方案、沟通协调程序完善、可操作性强。（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en-US" w:eastAsia="zh-CN"/>
              </w:rPr>
            </w:pPr>
            <w:r>
              <w:rPr>
                <w:rFonts w:hint="eastAsia" w:ascii="仿宋" w:hAnsi="仿宋" w:eastAsia="仿宋" w:cs="仿宋"/>
                <w:bCs/>
              </w:rPr>
              <w:t>承诺及合理化建议</w:t>
            </w:r>
          </w:p>
        </w:tc>
        <w:tc>
          <w:tcPr>
            <w:tcW w:w="518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Cs/>
                <w:lang w:val="zh-CN" w:eastAsia="zh-CN"/>
              </w:rPr>
            </w:pPr>
            <w:r>
              <w:rPr>
                <w:rFonts w:hint="eastAsia" w:ascii="仿宋" w:hAnsi="仿宋" w:eastAsia="仿宋" w:cs="仿宋"/>
                <w:bCs/>
                <w:lang w:val="zh-CN" w:eastAsia="zh-CN"/>
              </w:rPr>
              <w:t>1.投标人对本项目承诺（包括响应国家政策、管理质量、服务质量、项目实施中的各项承诺等方面），按其响应程度计</w:t>
            </w:r>
            <w:r>
              <w:rPr>
                <w:rFonts w:hint="eastAsia" w:ascii="仿宋" w:hAnsi="仿宋" w:eastAsia="仿宋" w:cs="仿宋"/>
                <w:bCs/>
                <w:lang w:val="en-US" w:eastAsia="zh-CN"/>
              </w:rPr>
              <w:t>0-5分</w:t>
            </w:r>
            <w:r>
              <w:rPr>
                <w:rFonts w:hint="eastAsia" w:ascii="仿宋" w:hAnsi="仿宋" w:eastAsia="仿宋" w:cs="仿宋"/>
                <w:bCs/>
                <w:lang w:val="zh-CN" w:eastAsia="zh-CN"/>
              </w:rPr>
              <w:t>。</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Cs/>
                <w:lang w:val="en-US" w:eastAsia="zh-CN"/>
              </w:rPr>
            </w:pPr>
            <w:r>
              <w:rPr>
                <w:rFonts w:hint="eastAsia" w:ascii="仿宋" w:hAnsi="仿宋" w:eastAsia="仿宋" w:cs="仿宋"/>
                <w:bCs/>
                <w:lang w:val="zh-CN" w:eastAsia="zh-CN"/>
              </w:rPr>
              <w:t xml:space="preserve">2.合理化建议，从积极意义、可行性、合理性等方面综合考虑计 </w:t>
            </w:r>
            <w:r>
              <w:rPr>
                <w:rFonts w:hint="eastAsia" w:ascii="仿宋" w:hAnsi="仿宋" w:eastAsia="仿宋" w:cs="仿宋"/>
                <w:bCs/>
                <w:lang w:val="en-US" w:eastAsia="zh-CN"/>
              </w:rPr>
              <w:t>0</w:t>
            </w:r>
            <w:r>
              <w:rPr>
                <w:rFonts w:hint="eastAsia" w:ascii="仿宋" w:hAnsi="仿宋" w:eastAsia="仿宋" w:cs="仿宋"/>
                <w:bCs/>
                <w:lang w:val="zh-CN" w:eastAsia="zh-CN"/>
              </w:rPr>
              <w:t>-5 分，没有合理化建议的，本项不计分。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073" w:type="dxa"/>
            <w:vAlign w:val="center"/>
          </w:tcPr>
          <w:p>
            <w:pPr>
              <w:jc w:val="center"/>
              <w:rPr>
                <w:rFonts w:hint="eastAsia" w:ascii="仿宋" w:hAnsi="仿宋" w:eastAsia="仿宋" w:cs="仿宋"/>
                <w:bCs/>
              </w:rPr>
            </w:pPr>
            <w:r>
              <w:rPr>
                <w:rFonts w:hint="eastAsia" w:ascii="仿宋" w:hAnsi="仿宋" w:eastAsia="仿宋" w:cs="仿宋"/>
                <w:bCs/>
              </w:rPr>
              <w:t>价格</w:t>
            </w:r>
          </w:p>
        </w:tc>
        <w:tc>
          <w:tcPr>
            <w:tcW w:w="2186" w:type="dxa"/>
            <w:vAlign w:val="center"/>
          </w:tcPr>
          <w:p>
            <w:pPr>
              <w:jc w:val="center"/>
              <w:rPr>
                <w:rFonts w:hint="eastAsia" w:ascii="仿宋" w:hAnsi="仿宋" w:eastAsia="仿宋" w:cs="仿宋"/>
              </w:rPr>
            </w:pPr>
            <w:r>
              <w:rPr>
                <w:rFonts w:hint="eastAsia" w:ascii="仿宋" w:hAnsi="仿宋" w:eastAsia="仿宋" w:cs="仿宋"/>
              </w:rPr>
              <w:t>报价得分</w:t>
            </w:r>
          </w:p>
        </w:tc>
        <w:tc>
          <w:tcPr>
            <w:tcW w:w="5185" w:type="dxa"/>
          </w:tcPr>
          <w:p>
            <w:pPr>
              <w:rPr>
                <w:rFonts w:hint="eastAsia" w:ascii="仿宋" w:hAnsi="仿宋" w:eastAsia="仿宋" w:cs="仿宋"/>
              </w:rPr>
            </w:pPr>
            <w:r>
              <w:rPr>
                <w:rFonts w:hint="eastAsia" w:ascii="仿宋" w:hAnsi="仿宋" w:eastAsia="仿宋" w:cs="仿宋"/>
              </w:rPr>
              <w:t>1、评审基准价为有效响应文件的最后报价中的最低报价。</w:t>
            </w:r>
          </w:p>
          <w:p>
            <w:pPr>
              <w:rPr>
                <w:rFonts w:hint="eastAsia" w:ascii="仿宋" w:hAnsi="仿宋" w:eastAsia="仿宋" w:cs="仿宋"/>
              </w:rPr>
            </w:pPr>
            <w:r>
              <w:rPr>
                <w:rFonts w:hint="eastAsia" w:ascii="仿宋" w:hAnsi="仿宋" w:eastAsia="仿宋" w:cs="仿宋"/>
              </w:rPr>
              <w:t>2、报价得分=(评审基准价／最后报价)×30</w:t>
            </w:r>
          </w:p>
        </w:tc>
        <w:tc>
          <w:tcPr>
            <w:tcW w:w="785" w:type="dxa"/>
            <w:vAlign w:val="center"/>
          </w:tcPr>
          <w:p>
            <w:pPr>
              <w:jc w:val="center"/>
              <w:rPr>
                <w:rFonts w:hint="eastAsia" w:ascii="仿宋" w:hAnsi="仿宋" w:eastAsia="仿宋" w:cs="仿宋"/>
              </w:rPr>
            </w:pPr>
            <w:r>
              <w:rPr>
                <w:rFonts w:hint="eastAsia" w:ascii="仿宋" w:hAnsi="仿宋" w:eastAsia="仿宋" w:cs="仿宋"/>
              </w:rPr>
              <w:t>30分</w:t>
            </w:r>
          </w:p>
        </w:tc>
      </w:tr>
    </w:tbl>
    <w:p>
      <w:pPr>
        <w:tabs>
          <w:tab w:val="left" w:pos="-94"/>
          <w:tab w:val="left" w:pos="1620"/>
        </w:tabs>
        <w:adjustRightInd w:val="0"/>
        <w:spacing w:line="360" w:lineRule="auto"/>
        <w:ind w:left="23" w:leftChars="11"/>
        <w:jc w:val="center"/>
        <w:textAlignment w:val="baseline"/>
        <w:rPr>
          <w:rFonts w:hint="eastAsia" w:ascii="仿宋" w:hAnsi="仿宋" w:eastAsia="仿宋" w:cs="仿宋"/>
          <w:b/>
          <w:szCs w:val="21"/>
        </w:rPr>
      </w:pPr>
    </w:p>
    <w:p>
      <w:pPr>
        <w:jc w:val="center"/>
        <w:rPr>
          <w:rFonts w:hint="eastAsia" w:ascii="仿宋" w:hAnsi="仿宋" w:eastAsia="仿宋" w:cs="仿宋"/>
          <w:b/>
          <w:kern w:val="0"/>
          <w:sz w:val="30"/>
          <w:szCs w:val="30"/>
        </w:rPr>
      </w:pPr>
      <w:r>
        <w:rPr>
          <w:rFonts w:hint="eastAsia" w:ascii="仿宋" w:hAnsi="仿宋" w:eastAsia="仿宋" w:cs="仿宋"/>
          <w:szCs w:val="21"/>
        </w:rPr>
        <w:br w:type="page"/>
      </w:r>
    </w:p>
    <w:p>
      <w:pPr>
        <w:pStyle w:val="46"/>
        <w:spacing w:line="360" w:lineRule="auto"/>
        <w:rPr>
          <w:rStyle w:val="208"/>
          <w:rFonts w:hint="eastAsia" w:ascii="仿宋" w:hAnsi="仿宋" w:eastAsia="仿宋" w:cs="仿宋"/>
          <w:sz w:val="36"/>
          <w:szCs w:val="36"/>
        </w:rPr>
      </w:pPr>
      <w:bookmarkStart w:id="412" w:name="_Toc68590979"/>
      <w:r>
        <w:rPr>
          <w:rStyle w:val="208"/>
          <w:rFonts w:hint="eastAsia" w:ascii="仿宋" w:hAnsi="仿宋" w:eastAsia="仿宋" w:cs="仿宋"/>
          <w:sz w:val="36"/>
          <w:szCs w:val="36"/>
        </w:rPr>
        <w:t xml:space="preserve">第四章  </w:t>
      </w:r>
      <w:bookmarkEnd w:id="19"/>
      <w:bookmarkEnd w:id="394"/>
      <w:bookmarkEnd w:id="395"/>
      <w:bookmarkEnd w:id="412"/>
      <w:bookmarkStart w:id="413" w:name="_Toc500747106"/>
      <w:bookmarkStart w:id="414" w:name="_Toc28450"/>
      <w:bookmarkStart w:id="415" w:name="_Toc499711087"/>
      <w:bookmarkStart w:id="416" w:name="_Toc230583552"/>
      <w:bookmarkStart w:id="417" w:name="_Toc256342152"/>
      <w:bookmarkStart w:id="418" w:name="_Toc249515482"/>
      <w:bookmarkStart w:id="419" w:name="_Toc500747233"/>
      <w:bookmarkStart w:id="420" w:name="_Toc500747010"/>
      <w:bookmarkStart w:id="421" w:name="_Toc70687202"/>
      <w:bookmarkStart w:id="422" w:name="_Toc232176282"/>
      <w:bookmarkStart w:id="423" w:name="_Toc503063458"/>
      <w:bookmarkStart w:id="424" w:name="_Toc53722865"/>
      <w:bookmarkStart w:id="425" w:name="_Toc249525250"/>
      <w:bookmarkStart w:id="426" w:name="_Toc230099803"/>
      <w:bookmarkStart w:id="427" w:name="_Toc496324623"/>
      <w:bookmarkStart w:id="428" w:name="_Toc230013638"/>
      <w:bookmarkStart w:id="429" w:name="_Toc177189245"/>
      <w:bookmarkStart w:id="430" w:name="_Toc249515369"/>
      <w:bookmarkStart w:id="431" w:name="_Toc177817344"/>
      <w:bookmarkStart w:id="432" w:name="_Toc176882552"/>
      <w:bookmarkStart w:id="433" w:name="_Toc184043058"/>
      <w:bookmarkStart w:id="434" w:name="_Toc177995483"/>
      <w:bookmarkStart w:id="435" w:name="_Toc415499897"/>
      <w:bookmarkStart w:id="436" w:name="_Toc232395222"/>
      <w:bookmarkStart w:id="437" w:name="_Toc492955459"/>
      <w:bookmarkStart w:id="438" w:name="_Toc499711928"/>
      <w:r>
        <w:rPr>
          <w:rStyle w:val="208"/>
          <w:rFonts w:hint="eastAsia" w:ascii="仿宋" w:hAnsi="仿宋" w:eastAsia="仿宋" w:cs="仿宋"/>
          <w:sz w:val="36"/>
          <w:szCs w:val="36"/>
        </w:rPr>
        <w:t>拟签订的合同文本</w:t>
      </w:r>
    </w:p>
    <w:p>
      <w:pPr>
        <w:adjustRightInd w:val="0"/>
        <w:snapToGrid w:val="0"/>
        <w:spacing w:line="360" w:lineRule="auto"/>
        <w:ind w:firstLine="480" w:firstLineChars="200"/>
        <w:rPr>
          <w:rFonts w:hint="eastAsia" w:ascii="仿宋" w:hAnsi="仿宋" w:eastAsia="仿宋" w:cs="仿宋"/>
          <w:sz w:val="24"/>
        </w:rPr>
      </w:pPr>
    </w:p>
    <w:p>
      <w:pPr>
        <w:tabs>
          <w:tab w:val="left" w:pos="735"/>
        </w:tabs>
        <w:autoSpaceDE w:val="0"/>
        <w:autoSpaceDN w:val="0"/>
        <w:adjustRightInd w:val="0"/>
        <w:snapToGrid w:val="0"/>
        <w:spacing w:before="240" w:beforeLines="100" w:line="360" w:lineRule="auto"/>
        <w:rPr>
          <w:rFonts w:hint="eastAsia" w:ascii="仿宋" w:hAnsi="仿宋" w:eastAsia="仿宋" w:cs="仿宋"/>
          <w:b/>
          <w:bCs/>
          <w:sz w:val="24"/>
          <w:lang w:val="zh-CN"/>
        </w:rPr>
      </w:pPr>
      <w:r>
        <w:rPr>
          <w:rFonts w:hint="eastAsia" w:ascii="仿宋" w:hAnsi="仿宋" w:eastAsia="仿宋" w:cs="仿宋"/>
          <w:b/>
          <w:bCs/>
          <w:sz w:val="24"/>
          <w:lang w:val="zh-CN"/>
        </w:rPr>
        <w:t>甲方：</w:t>
      </w:r>
      <w:r>
        <w:rPr>
          <w:rFonts w:hint="eastAsia" w:ascii="仿宋" w:hAnsi="仿宋" w:eastAsia="仿宋" w:cs="仿宋"/>
          <w:bCs/>
          <w:sz w:val="24"/>
          <w:lang w:val="zh-CN"/>
        </w:rPr>
        <w:t xml:space="preserve">（前款所称采购人）     </w:t>
      </w:r>
      <w:r>
        <w:rPr>
          <w:rFonts w:hint="eastAsia" w:ascii="仿宋" w:hAnsi="仿宋" w:eastAsia="仿宋" w:cs="仿宋"/>
          <w:bCs/>
          <w:sz w:val="24"/>
        </w:rPr>
        <w:t xml:space="preserve">    </w:t>
      </w:r>
      <w:r>
        <w:rPr>
          <w:rFonts w:hint="eastAsia" w:ascii="仿宋" w:hAnsi="仿宋" w:eastAsia="仿宋" w:cs="仿宋"/>
          <w:bCs/>
          <w:sz w:val="24"/>
          <w:lang w:val="zh-CN"/>
        </w:rPr>
        <w:t>住所：</w:t>
      </w:r>
    </w:p>
    <w:p>
      <w:pPr>
        <w:tabs>
          <w:tab w:val="left" w:pos="735"/>
        </w:tabs>
        <w:autoSpaceDE w:val="0"/>
        <w:autoSpaceDN w:val="0"/>
        <w:adjustRightInd w:val="0"/>
        <w:snapToGrid w:val="0"/>
        <w:spacing w:line="360" w:lineRule="auto"/>
        <w:rPr>
          <w:rFonts w:hint="eastAsia"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（前款所称</w:t>
      </w:r>
      <w:r>
        <w:rPr>
          <w:rFonts w:hint="eastAsia" w:ascii="仿宋" w:hAnsi="仿宋" w:eastAsia="仿宋" w:cs="仿宋"/>
          <w:bCs/>
          <w:sz w:val="24"/>
        </w:rPr>
        <w:t>成交供应商</w:t>
      </w:r>
      <w:r>
        <w:rPr>
          <w:rFonts w:hint="eastAsia" w:ascii="仿宋" w:hAnsi="仿宋" w:eastAsia="仿宋" w:cs="仿宋"/>
          <w:bCs/>
          <w:sz w:val="24"/>
          <w:lang w:val="zh-CN"/>
        </w:rPr>
        <w:t>）     住所：</w:t>
      </w:r>
    </w:p>
    <w:p>
      <w:pPr>
        <w:adjustRightInd w:val="0"/>
        <w:snapToGrid w:val="0"/>
        <w:spacing w:line="360" w:lineRule="auto"/>
        <w:ind w:firstLine="480" w:firstLineChars="200"/>
        <w:rPr>
          <w:rFonts w:hint="eastAsia" w:ascii="仿宋" w:hAnsi="仿宋" w:eastAsia="仿宋" w:cs="仿宋"/>
          <w:sz w:val="24"/>
        </w:rPr>
      </w:pPr>
      <w:bookmarkStart w:id="439" w:name="_Toc19515384"/>
      <w:r>
        <w:rPr>
          <w:rFonts w:hint="eastAsia" w:ascii="仿宋" w:hAnsi="仿宋" w:eastAsia="仿宋" w:cs="仿宋"/>
          <w:sz w:val="24"/>
        </w:rPr>
        <w:t>一、合同内容（标的、数量、质量等）</w:t>
      </w:r>
      <w:bookmarkEnd w:id="439"/>
      <w:r>
        <w:rPr>
          <w:rFonts w:hint="eastAsia" w:ascii="仿宋" w:hAnsi="仿宋" w:eastAsia="仿宋" w:cs="仿宋"/>
          <w:sz w:val="24"/>
        </w:rPr>
        <w:t>：</w:t>
      </w:r>
    </w:p>
    <w:p>
      <w:pPr>
        <w:adjustRightInd w:val="0"/>
        <w:snapToGrid w:val="0"/>
        <w:spacing w:line="360" w:lineRule="auto"/>
        <w:ind w:firstLine="480" w:firstLineChars="200"/>
        <w:rPr>
          <w:rFonts w:hint="eastAsia" w:ascii="仿宋" w:hAnsi="仿宋" w:eastAsia="仿宋" w:cs="仿宋"/>
          <w:sz w:val="24"/>
        </w:rPr>
      </w:pPr>
      <w:bookmarkStart w:id="440" w:name="_Toc19515385"/>
      <w:r>
        <w:rPr>
          <w:rFonts w:hint="eastAsia" w:ascii="仿宋" w:hAnsi="仿宋" w:eastAsia="仿宋" w:cs="仿宋"/>
          <w:sz w:val="24"/>
        </w:rPr>
        <w:t>二、合同价款</w:t>
      </w:r>
      <w:bookmarkEnd w:id="440"/>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1、合同总价：</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2、合同总价包括：</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3、合同为固定总价合同，不受市场价变化的影响。</w:t>
      </w:r>
    </w:p>
    <w:p>
      <w:pPr>
        <w:adjustRightInd w:val="0"/>
        <w:snapToGrid w:val="0"/>
        <w:spacing w:line="360" w:lineRule="auto"/>
        <w:ind w:firstLine="480" w:firstLineChars="200"/>
        <w:rPr>
          <w:rFonts w:hint="eastAsia" w:ascii="仿宋" w:hAnsi="仿宋" w:eastAsia="仿宋" w:cs="仿宋"/>
          <w:sz w:val="24"/>
        </w:rPr>
      </w:pPr>
      <w:bookmarkStart w:id="441" w:name="_Toc19515386"/>
      <w:r>
        <w:rPr>
          <w:rFonts w:hint="eastAsia" w:ascii="仿宋" w:hAnsi="仿宋" w:eastAsia="仿宋" w:cs="仿宋"/>
          <w:sz w:val="24"/>
        </w:rPr>
        <w:t>三、合同结算</w:t>
      </w:r>
      <w:bookmarkEnd w:id="441"/>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1、付款比例：</w:t>
      </w:r>
      <w:r>
        <w:rPr>
          <w:rFonts w:hint="eastAsia" w:ascii="仿宋" w:hAnsi="仿宋" w:eastAsia="仿宋" w:cs="仿宋"/>
          <w:sz w:val="24"/>
          <w:lang w:eastAsia="zh-CN"/>
        </w:rPr>
        <w:t>具体付款比例以最终财政结算金额支付比例为准</w:t>
      </w:r>
      <w:r>
        <w:rPr>
          <w:rFonts w:hint="eastAsia" w:ascii="仿宋" w:hAnsi="仿宋" w:eastAsia="仿宋" w:cs="仿宋"/>
          <w:sz w:val="24"/>
        </w:rPr>
        <w:t>。</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2、结算方式：银行转账。</w:t>
      </w:r>
    </w:p>
    <w:p>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rPr>
        <w:t>3、结算单</w:t>
      </w:r>
      <w:r>
        <w:rPr>
          <w:rFonts w:hint="eastAsia" w:ascii="仿宋" w:hAnsi="仿宋" w:eastAsia="仿宋" w:cs="仿宋"/>
          <w:sz w:val="24"/>
          <w:highlight w:val="none"/>
        </w:rPr>
        <w:t>位：由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负责结算，乙方开具合同总价数的全额发票交采购人。</w:t>
      </w:r>
    </w:p>
    <w:p>
      <w:pPr>
        <w:adjustRightInd w:val="0"/>
        <w:snapToGrid w:val="0"/>
        <w:spacing w:line="360" w:lineRule="auto"/>
        <w:ind w:firstLine="480" w:firstLineChars="200"/>
        <w:rPr>
          <w:rFonts w:hint="eastAsia" w:ascii="仿宋" w:hAnsi="仿宋" w:eastAsia="仿宋" w:cs="仿宋"/>
          <w:sz w:val="24"/>
          <w:highlight w:val="none"/>
        </w:rPr>
      </w:pPr>
      <w:bookmarkStart w:id="442" w:name="_Toc19515387"/>
      <w:r>
        <w:rPr>
          <w:rFonts w:hint="eastAsia" w:ascii="仿宋" w:hAnsi="仿宋" w:eastAsia="仿宋" w:cs="仿宋"/>
          <w:sz w:val="24"/>
          <w:highlight w:val="none"/>
        </w:rPr>
        <w:t>四、工期、</w:t>
      </w:r>
      <w:r>
        <w:rPr>
          <w:rFonts w:hint="eastAsia" w:ascii="仿宋" w:hAnsi="仿宋" w:eastAsia="仿宋" w:cs="仿宋"/>
          <w:sz w:val="24"/>
          <w:highlight w:val="none"/>
          <w:lang w:eastAsia="zh-CN"/>
        </w:rPr>
        <w:t>施工</w:t>
      </w:r>
      <w:r>
        <w:rPr>
          <w:rFonts w:hint="eastAsia" w:ascii="仿宋" w:hAnsi="仿宋" w:eastAsia="仿宋" w:cs="仿宋"/>
          <w:sz w:val="24"/>
          <w:highlight w:val="none"/>
        </w:rPr>
        <w:t>地点</w:t>
      </w:r>
      <w:bookmarkEnd w:id="442"/>
      <w:r>
        <w:rPr>
          <w:rFonts w:hint="eastAsia" w:ascii="仿宋" w:hAnsi="仿宋" w:eastAsia="仿宋" w:cs="仿宋"/>
          <w:sz w:val="24"/>
          <w:highlight w:val="none"/>
        </w:rPr>
        <w:t>、工程质量、质保期：</w:t>
      </w:r>
    </w:p>
    <w:p>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1、工期：</w:t>
      </w:r>
      <w:r>
        <w:rPr>
          <w:rFonts w:hint="eastAsia" w:ascii="仿宋" w:hAnsi="仿宋" w:eastAsia="仿宋" w:cs="仿宋"/>
          <w:sz w:val="24"/>
          <w:highlight w:val="none"/>
          <w:lang w:eastAsia="zh-CN"/>
        </w:rPr>
        <w:t>合同签订后</w:t>
      </w:r>
      <w:r>
        <w:rPr>
          <w:rFonts w:hint="eastAsia" w:ascii="仿宋" w:hAnsi="仿宋" w:eastAsia="仿宋" w:cs="仿宋"/>
          <w:sz w:val="24"/>
          <w:highlight w:val="none"/>
          <w:lang w:val="en-US" w:eastAsia="zh-CN"/>
        </w:rPr>
        <w:t>50</w:t>
      </w:r>
      <w:r>
        <w:rPr>
          <w:rFonts w:hint="eastAsia" w:ascii="仿宋" w:hAnsi="仿宋" w:eastAsia="仿宋" w:cs="仿宋"/>
          <w:sz w:val="24"/>
          <w:highlight w:val="none"/>
        </w:rPr>
        <w:t>天。</w:t>
      </w:r>
    </w:p>
    <w:p>
      <w:pPr>
        <w:adjustRightInd w:val="0"/>
        <w:snapToGrid w:val="0"/>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2、</w:t>
      </w:r>
      <w:r>
        <w:rPr>
          <w:rFonts w:hint="eastAsia" w:ascii="仿宋" w:hAnsi="仿宋" w:eastAsia="仿宋" w:cs="仿宋"/>
          <w:sz w:val="24"/>
          <w:highlight w:val="none"/>
          <w:lang w:eastAsia="zh-CN"/>
        </w:rPr>
        <w:t>施工</w:t>
      </w:r>
      <w:r>
        <w:rPr>
          <w:rFonts w:hint="eastAsia" w:ascii="仿宋" w:hAnsi="仿宋" w:eastAsia="仿宋" w:cs="仿宋"/>
          <w:sz w:val="24"/>
          <w:highlight w:val="none"/>
        </w:rPr>
        <w:t>地点：</w:t>
      </w:r>
      <w:r>
        <w:rPr>
          <w:rFonts w:hint="eastAsia" w:ascii="仿宋" w:hAnsi="仿宋" w:eastAsia="仿宋" w:cs="仿宋"/>
          <w:sz w:val="24"/>
          <w:highlight w:val="none"/>
          <w:lang w:eastAsia="zh-CN"/>
        </w:rPr>
        <w:t>科技三路南侧、科技四路南北两侧及创业三路东西两侧</w:t>
      </w:r>
    </w:p>
    <w:p>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3、工程质量：合格</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4、质保期：</w:t>
      </w:r>
      <w:r>
        <w:rPr>
          <w:rFonts w:hint="eastAsia" w:ascii="仿宋" w:hAnsi="仿宋" w:eastAsia="仿宋" w:cs="仿宋"/>
          <w:sz w:val="24"/>
          <w:lang w:eastAsia="zh-CN"/>
        </w:rPr>
        <w:t>一年</w:t>
      </w:r>
    </w:p>
    <w:p>
      <w:pPr>
        <w:adjustRightInd w:val="0"/>
        <w:snapToGrid w:val="0"/>
        <w:spacing w:line="360" w:lineRule="auto"/>
        <w:ind w:firstLine="480" w:firstLineChars="200"/>
        <w:rPr>
          <w:rFonts w:hint="eastAsia" w:ascii="仿宋" w:hAnsi="仿宋" w:eastAsia="仿宋" w:cs="仿宋"/>
          <w:sz w:val="24"/>
        </w:rPr>
      </w:pPr>
      <w:bookmarkStart w:id="443" w:name="_Toc19515390"/>
      <w:r>
        <w:rPr>
          <w:rFonts w:hint="eastAsia" w:ascii="仿宋" w:hAnsi="仿宋" w:eastAsia="仿宋" w:cs="仿宋"/>
          <w:sz w:val="24"/>
        </w:rPr>
        <w:t>五、技术服务</w:t>
      </w:r>
      <w:bookmarkEnd w:id="443"/>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1、对技术服务的要求：</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2、技术资料：</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3、技术培训：</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3-5、培训费用：受训人员的食宿费、资料费、培训场地费、耗材（包括水电费等）费等已包含在合同总价中，甲方不再另行支付。</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4、售后服务</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4-1、乙方在接到甲方电话通知后在</w:t>
      </w:r>
      <w:r>
        <w:rPr>
          <w:rFonts w:hint="eastAsia" w:ascii="仿宋" w:hAnsi="仿宋" w:eastAsia="仿宋" w:cs="仿宋"/>
          <w:sz w:val="24"/>
          <w:u w:val="single"/>
        </w:rPr>
        <w:t xml:space="preserve"> 2 </w:t>
      </w:r>
      <w:r>
        <w:rPr>
          <w:rFonts w:hint="eastAsia" w:ascii="仿宋" w:hAnsi="仿宋" w:eastAsia="仿宋" w:cs="仿宋"/>
          <w:sz w:val="24"/>
        </w:rPr>
        <w:t>小时内派出合格的服务人员到达现场进行服务，承担相应费用。</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4-2、如果乙方在收到通知后两天内没有弥补缺陷，甲方可采取必要的补救措施，但其风险和费用将由乙方承担，甲方根据合同规定对乙方行使的其它权力不受影响。</w:t>
      </w:r>
    </w:p>
    <w:p>
      <w:pPr>
        <w:adjustRightInd w:val="0"/>
        <w:snapToGrid w:val="0"/>
        <w:spacing w:line="360" w:lineRule="auto"/>
        <w:ind w:firstLine="480" w:firstLineChars="200"/>
        <w:rPr>
          <w:rFonts w:hint="eastAsia" w:ascii="仿宋" w:hAnsi="仿宋" w:eastAsia="仿宋" w:cs="仿宋"/>
          <w:sz w:val="24"/>
        </w:rPr>
      </w:pPr>
      <w:bookmarkStart w:id="444" w:name="_Toc19515391"/>
      <w:r>
        <w:rPr>
          <w:rFonts w:hint="eastAsia" w:ascii="仿宋" w:hAnsi="仿宋" w:eastAsia="仿宋" w:cs="仿宋"/>
          <w:sz w:val="24"/>
        </w:rPr>
        <w:t>六、验收</w:t>
      </w:r>
      <w:bookmarkEnd w:id="444"/>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1、验收：乙方完成服务内容后，向甲方提出验收申请，甲方接到乙方验收申请后组织验收（必要时可聘请相应专家或委托相应部门验收），验收合格后，出具使用验收合格证明。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2、最终验收：最终验收结果作为付款依据，乙方填写验收单，并向甲方提交实施过程中的所有资料，以便甲方日后管理和维护。</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3、质保期满后：由乙方出具质保期运行质量报告，若存在质量问题，应按相应规定协商处理。</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4、验收依据：</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4-1、合同文本、合同附件、竞争性磋商文件、成交供应商的响应文件。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4-2、国内相应的标准、规范。</w:t>
      </w:r>
    </w:p>
    <w:p>
      <w:pPr>
        <w:adjustRightInd w:val="0"/>
        <w:snapToGrid w:val="0"/>
        <w:spacing w:line="360" w:lineRule="auto"/>
        <w:ind w:firstLine="480" w:firstLineChars="200"/>
        <w:rPr>
          <w:rFonts w:hint="eastAsia" w:ascii="仿宋" w:hAnsi="仿宋" w:eastAsia="仿宋" w:cs="仿宋"/>
          <w:sz w:val="24"/>
        </w:rPr>
      </w:pPr>
      <w:bookmarkStart w:id="445" w:name="_Toc19515392"/>
      <w:r>
        <w:rPr>
          <w:rFonts w:hint="eastAsia" w:ascii="仿宋" w:hAnsi="仿宋" w:eastAsia="仿宋" w:cs="仿宋"/>
          <w:sz w:val="24"/>
        </w:rPr>
        <w:t>七、违约责任</w:t>
      </w:r>
      <w:bookmarkEnd w:id="445"/>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1、按《中华人民共和国民法典》中的相关条款执行。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2-1、如乙方事先未征得甲方同意并得到甲方的谅解而单方面延迟执行合同，将按违约终止合同。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3、违约终止合同：未按合同要求提供服务或不能满足技术要求，甲方会同监督机构有权终止合同，对乙方违约行为进行追究，同时按政府采购法的有关规定进行相应的处罚。</w:t>
      </w:r>
    </w:p>
    <w:p>
      <w:pPr>
        <w:adjustRightInd w:val="0"/>
        <w:snapToGrid w:val="0"/>
        <w:spacing w:line="360" w:lineRule="auto"/>
        <w:ind w:firstLine="480" w:firstLineChars="200"/>
        <w:rPr>
          <w:rFonts w:hint="eastAsia" w:ascii="仿宋" w:hAnsi="仿宋" w:eastAsia="仿宋" w:cs="仿宋"/>
          <w:sz w:val="24"/>
        </w:rPr>
      </w:pPr>
      <w:bookmarkStart w:id="446" w:name="_Toc19515393"/>
      <w:r>
        <w:rPr>
          <w:rFonts w:hint="eastAsia" w:ascii="仿宋" w:hAnsi="仿宋" w:eastAsia="仿宋" w:cs="仿宋"/>
          <w:sz w:val="24"/>
        </w:rPr>
        <w:t>八、合同组成</w:t>
      </w:r>
      <w:bookmarkEnd w:id="446"/>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1、成交通知书</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4、竞争性磋商文件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5、成交供应商的响应文件</w:t>
      </w:r>
    </w:p>
    <w:p>
      <w:pPr>
        <w:adjustRightInd w:val="0"/>
        <w:snapToGrid w:val="0"/>
        <w:spacing w:line="360" w:lineRule="auto"/>
        <w:ind w:firstLine="480" w:firstLineChars="200"/>
        <w:rPr>
          <w:rFonts w:hint="eastAsia" w:ascii="仿宋" w:hAnsi="仿宋" w:eastAsia="仿宋" w:cs="仿宋"/>
          <w:sz w:val="24"/>
        </w:rPr>
      </w:pPr>
      <w:bookmarkStart w:id="447" w:name="_Toc19515394"/>
      <w:r>
        <w:rPr>
          <w:rFonts w:hint="eastAsia" w:ascii="仿宋" w:hAnsi="仿宋" w:eastAsia="仿宋" w:cs="仿宋"/>
          <w:sz w:val="24"/>
        </w:rPr>
        <w:t>九、解决争议的方法</w:t>
      </w:r>
      <w:bookmarkEnd w:id="447"/>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凡因本合同引起的或与本合同有关的争议，双方应友好协商解决。协商不成时，双方均同意采用以下第（  ）种争议解决方式：</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1、甲、乙双方均同意向（甲方所在地人民法院）提起诉讼。</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2、甲、乙双方均同意向（</w:t>
      </w:r>
      <w:r>
        <w:rPr>
          <w:rFonts w:hint="eastAsia" w:ascii="仿宋" w:hAnsi="仿宋" w:eastAsia="仿宋" w:cs="仿宋"/>
        </w:rPr>
        <w:fldChar w:fldCharType="begin"/>
      </w:r>
      <w:r>
        <w:rPr>
          <w:rFonts w:hint="eastAsia" w:ascii="仿宋" w:hAnsi="仿宋" w:eastAsia="仿宋" w:cs="仿宋"/>
        </w:rPr>
        <w:instrText xml:space="preserve"> HYPERLINK "http://www.baidu.com/s?wd=%E4%BB%B2%E8%A3%81%E5%A7%94%E5%91%98%E4%BC%9A&amp;tn=SE_PcZhidaonwhc_ngpagmjz&amp;rsv_dl=gh_pc_zhidao" \t "_blank" </w:instrText>
      </w:r>
      <w:r>
        <w:rPr>
          <w:rFonts w:hint="eastAsia" w:ascii="仿宋" w:hAnsi="仿宋" w:eastAsia="仿宋" w:cs="仿宋"/>
        </w:rPr>
        <w:fldChar w:fldCharType="separate"/>
      </w:r>
      <w:r>
        <w:rPr>
          <w:rFonts w:hint="eastAsia" w:ascii="仿宋" w:hAnsi="仿宋" w:eastAsia="仿宋" w:cs="仿宋"/>
          <w:kern w:val="0"/>
          <w:sz w:val="24"/>
        </w:rPr>
        <w:t>仲裁委员会</w:t>
      </w:r>
      <w:r>
        <w:rPr>
          <w:rFonts w:hint="eastAsia" w:ascii="仿宋" w:hAnsi="仿宋" w:eastAsia="仿宋" w:cs="仿宋"/>
          <w:kern w:val="0"/>
          <w:sz w:val="24"/>
        </w:rPr>
        <w:fldChar w:fldCharType="end"/>
      </w:r>
      <w:r>
        <w:rPr>
          <w:rFonts w:hint="eastAsia" w:ascii="仿宋" w:hAnsi="仿宋" w:eastAsia="仿宋" w:cs="仿宋"/>
          <w:kern w:val="0"/>
          <w:sz w:val="24"/>
        </w:rPr>
        <w:t>）提起仲裁。</w:t>
      </w:r>
    </w:p>
    <w:p>
      <w:pPr>
        <w:adjustRightInd w:val="0"/>
        <w:snapToGrid w:val="0"/>
        <w:spacing w:line="360" w:lineRule="auto"/>
        <w:ind w:firstLine="480" w:firstLineChars="200"/>
        <w:rPr>
          <w:rFonts w:hint="eastAsia" w:ascii="仿宋" w:hAnsi="仿宋" w:eastAsia="仿宋" w:cs="仿宋"/>
          <w:sz w:val="24"/>
        </w:rPr>
      </w:pPr>
      <w:bookmarkStart w:id="448" w:name="_Toc19515395"/>
      <w:r>
        <w:rPr>
          <w:rFonts w:hint="eastAsia" w:ascii="仿宋" w:hAnsi="仿宋" w:eastAsia="仿宋" w:cs="仿宋"/>
          <w:sz w:val="24"/>
        </w:rPr>
        <w:t>十、合同生效及其它</w:t>
      </w:r>
      <w:bookmarkEnd w:id="448"/>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rPr>
        <w:t>份，</w:t>
      </w:r>
      <w:r>
        <w:rPr>
          <w:rFonts w:hint="eastAsia" w:ascii="仿宋" w:hAnsi="仿宋" w:eastAsia="仿宋" w:cs="仿宋"/>
          <w:kern w:val="0"/>
          <w:sz w:val="24"/>
          <w:u w:val="single"/>
        </w:rPr>
        <w:t xml:space="preserve">       </w:t>
      </w:r>
      <w:r>
        <w:rPr>
          <w:rFonts w:hint="eastAsia" w:ascii="仿宋" w:hAnsi="仿宋" w:eastAsia="仿宋" w:cs="仿宋"/>
          <w:kern w:val="0"/>
          <w:sz w:val="24"/>
        </w:rPr>
        <w:t>备案</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4、生效时间：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tabs>
          <w:tab w:val="left" w:pos="8391"/>
        </w:tabs>
        <w:autoSpaceDE w:val="0"/>
        <w:autoSpaceDN w:val="0"/>
        <w:snapToGrid w:val="0"/>
        <w:spacing w:line="360" w:lineRule="auto"/>
        <w:ind w:right="-69" w:firstLine="840" w:firstLineChars="350"/>
        <w:textAlignment w:val="bottom"/>
        <w:rPr>
          <w:rFonts w:hint="eastAsia" w:ascii="仿宋" w:hAnsi="仿宋" w:eastAsia="仿宋" w:cs="仿宋"/>
          <w:kern w:val="0"/>
          <w:sz w:val="24"/>
        </w:rPr>
      </w:pPr>
    </w:p>
    <w:tbl>
      <w:tblPr>
        <w:tblStyle w:val="50"/>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tcPr>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甲方名称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c>
          <w:tcPr>
            <w:tcW w:w="4643" w:type="dxa"/>
          </w:tcPr>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乙方名称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r>
    </w:tbl>
    <w:p>
      <w:pPr>
        <w:autoSpaceDE w:val="0"/>
        <w:autoSpaceDN w:val="0"/>
        <w:adjustRightInd w:val="0"/>
        <w:spacing w:line="360" w:lineRule="auto"/>
        <w:jc w:val="left"/>
        <w:rPr>
          <w:rFonts w:hint="eastAsia" w:ascii="仿宋" w:hAnsi="仿宋" w:eastAsia="仿宋" w:cs="仿宋"/>
          <w:b/>
          <w:bCs/>
          <w:sz w:val="32"/>
          <w:szCs w:val="32"/>
        </w:rPr>
      </w:pPr>
    </w:p>
    <w:p>
      <w:pPr>
        <w:autoSpaceDE w:val="0"/>
        <w:autoSpaceDN w:val="0"/>
        <w:adjustRightInd w:val="0"/>
        <w:jc w:val="left"/>
        <w:rPr>
          <w:rFonts w:hint="eastAsia" w:ascii="仿宋" w:hAnsi="仿宋" w:eastAsia="仿宋" w:cs="仿宋"/>
          <w:b/>
          <w:bCs/>
          <w:sz w:val="32"/>
          <w:szCs w:val="32"/>
        </w:rPr>
      </w:pPr>
    </w:p>
    <w:p>
      <w:pPr>
        <w:pStyle w:val="23"/>
        <w:rPr>
          <w:rFonts w:hint="eastAsia" w:ascii="仿宋" w:hAnsi="仿宋" w:eastAsia="仿宋" w:cs="仿宋"/>
        </w:rPr>
      </w:pPr>
    </w:p>
    <w:p>
      <w:pPr>
        <w:rPr>
          <w:rFonts w:hint="eastAsia" w:ascii="仿宋" w:hAnsi="仿宋" w:eastAsia="仿宋" w:cs="仿宋"/>
          <w:sz w:val="24"/>
        </w:rPr>
      </w:pPr>
      <w:r>
        <w:rPr>
          <w:rFonts w:hint="eastAsia" w:ascii="仿宋" w:hAnsi="仿宋" w:eastAsia="仿宋" w:cs="仿宋"/>
          <w:sz w:val="24"/>
        </w:rPr>
        <w:br w:type="page"/>
      </w:r>
    </w:p>
    <w:p>
      <w:pPr>
        <w:rPr>
          <w:rFonts w:hint="eastAsia" w:ascii="仿宋" w:hAnsi="仿宋" w:eastAsia="仿宋" w:cs="仿宋"/>
        </w:rPr>
      </w:pPr>
    </w:p>
    <w:p>
      <w:pPr>
        <w:pStyle w:val="46"/>
        <w:spacing w:line="360" w:lineRule="auto"/>
        <w:rPr>
          <w:rStyle w:val="208"/>
          <w:rFonts w:hint="eastAsia" w:ascii="仿宋" w:hAnsi="仿宋" w:eastAsia="仿宋" w:cs="仿宋"/>
          <w:sz w:val="36"/>
          <w:szCs w:val="36"/>
        </w:rPr>
      </w:pPr>
      <w:bookmarkStart w:id="449" w:name="_Toc68590980"/>
      <w:bookmarkStart w:id="450" w:name="_Toc58504448"/>
      <w:r>
        <w:rPr>
          <w:rStyle w:val="208"/>
          <w:rFonts w:hint="eastAsia" w:ascii="仿宋" w:hAnsi="仿宋" w:eastAsia="仿宋" w:cs="仿宋"/>
          <w:sz w:val="36"/>
          <w:szCs w:val="36"/>
        </w:rPr>
        <w:t>第五章  采购内容及要求</w:t>
      </w:r>
      <w:bookmarkEnd w:id="449"/>
      <w:bookmarkEnd w:id="45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kern w:val="2"/>
          <w:sz w:val="28"/>
          <w:szCs w:val="28"/>
          <w:highlight w:val="none"/>
          <w:lang w:val="zh-CN" w:eastAsia="zh-CN" w:bidi="ar-SA"/>
        </w:rPr>
      </w:pPr>
      <w:r>
        <w:rPr>
          <w:rFonts w:hint="eastAsia" w:ascii="仿宋" w:hAnsi="仿宋" w:eastAsia="仿宋" w:cs="仿宋"/>
          <w:sz w:val="28"/>
          <w:szCs w:val="28"/>
          <w:lang w:val="en-US" w:eastAsia="zh-CN"/>
        </w:rPr>
        <w:t>一、</w:t>
      </w:r>
      <w:r>
        <w:rPr>
          <w:rFonts w:hint="eastAsia" w:ascii="仿宋" w:hAnsi="仿宋" w:eastAsia="仿宋" w:cs="仿宋"/>
          <w:b/>
          <w:bCs/>
          <w:sz w:val="28"/>
          <w:szCs w:val="28"/>
          <w:lang w:val="en-US" w:eastAsia="zh-CN"/>
        </w:rPr>
        <w:t>项目内容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zh-CN" w:eastAsia="zh-CN" w:bidi="ar-SA"/>
        </w:rPr>
        <w:t>靖边县经开区重点项目沿线裸露沙土绿化工程项目包括科技三路南侧、科技四路南北两侧及创业三路东西两侧</w:t>
      </w:r>
      <w:r>
        <w:rPr>
          <w:rFonts w:hint="eastAsia" w:ascii="仿宋" w:hAnsi="仿宋" w:eastAsia="仿宋" w:cs="仿宋"/>
          <w:b w:val="0"/>
          <w:kern w:val="2"/>
          <w:sz w:val="28"/>
          <w:szCs w:val="28"/>
          <w:highlight w:val="none"/>
          <w:lang w:val="en-US" w:eastAsia="zh-CN" w:bidi="ar-SA"/>
        </w:rPr>
        <w:t>3</w:t>
      </w:r>
      <w:r>
        <w:rPr>
          <w:rFonts w:hint="eastAsia" w:ascii="仿宋" w:hAnsi="仿宋" w:eastAsia="仿宋" w:cs="仿宋"/>
          <w:b w:val="0"/>
          <w:kern w:val="2"/>
          <w:sz w:val="28"/>
          <w:szCs w:val="28"/>
          <w:highlight w:val="none"/>
          <w:lang w:val="zh-CN" w:eastAsia="zh-CN" w:bidi="ar-SA"/>
        </w:rPr>
        <w:t>条道路的绿化工程，绿化总面积 29246.83㎡。其中:科技三路南侧绿化面积为2575.89㎡,科技四路南北两侧绿化面积为5000.89㎡，创业三路东西两侧绿化面积为21670.05㎡</w:t>
      </w:r>
      <w:r>
        <w:rPr>
          <w:rFonts w:hint="eastAsia" w:ascii="仿宋" w:hAnsi="仿宋" w:eastAsia="仿宋" w:cs="仿宋"/>
          <w:b w:val="0"/>
          <w:kern w:val="2"/>
          <w:sz w:val="28"/>
          <w:szCs w:val="28"/>
          <w:highlight w:val="none"/>
          <w:lang w:val="en-US" w:eastAsia="zh-CN" w:bidi="ar-SA"/>
        </w:rPr>
        <w:t>。</w:t>
      </w:r>
    </w:p>
    <w:p>
      <w:pPr>
        <w:rPr>
          <w:rFonts w:hint="eastAsia" w:ascii="仿宋" w:hAnsi="仿宋" w:eastAsia="仿宋" w:cs="仿宋"/>
          <w:b/>
          <w:bCs/>
          <w:sz w:val="28"/>
          <w:szCs w:val="28"/>
          <w:highlight w:val="none"/>
          <w:lang w:val="zh-CN" w:eastAsia="zh-CN"/>
        </w:rPr>
      </w:pPr>
      <w:r>
        <w:rPr>
          <w:rFonts w:hint="eastAsia" w:ascii="仿宋" w:hAnsi="仿宋" w:eastAsia="仿宋" w:cs="仿宋"/>
          <w:b/>
          <w:bCs/>
          <w:sz w:val="28"/>
          <w:szCs w:val="28"/>
          <w:highlight w:val="none"/>
          <w:lang w:val="zh-CN" w:eastAsia="zh-CN"/>
        </w:rPr>
        <w:t>二、工程名称、地点</w:t>
      </w:r>
    </w:p>
    <w:p>
      <w:pPr>
        <w:pStyle w:val="4"/>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zh-CN" w:eastAsia="zh-CN" w:bidi="ar-SA"/>
        </w:rPr>
        <w:t>工程名称：靖边县经开区重点项目沿线裸露沙土绿化工程项目</w:t>
      </w:r>
    </w:p>
    <w:p>
      <w:pPr>
        <w:pStyle w:val="4"/>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en-US" w:eastAsia="zh-CN" w:bidi="ar-SA"/>
        </w:rPr>
        <w:t>工程地点：科技三路南侧、科技四路南北两侧及创业三路东西两侧</w:t>
      </w:r>
    </w:p>
    <w:p>
      <w:pPr>
        <w:tabs>
          <w:tab w:val="left" w:pos="588"/>
        </w:tabs>
        <w:spacing w:line="360" w:lineRule="auto"/>
        <w:rPr>
          <w:rFonts w:hint="eastAsia" w:ascii="仿宋" w:hAnsi="仿宋" w:eastAsia="仿宋" w:cs="仿宋"/>
          <w:sz w:val="24"/>
          <w:highlight w:val="none"/>
        </w:rPr>
      </w:pPr>
      <w:r>
        <w:rPr>
          <w:rFonts w:hint="eastAsia" w:ascii="仿宋" w:hAnsi="仿宋" w:eastAsia="仿宋" w:cs="仿宋"/>
          <w:b/>
          <w:bCs/>
          <w:kern w:val="2"/>
          <w:sz w:val="28"/>
          <w:szCs w:val="28"/>
          <w:highlight w:val="none"/>
          <w:lang w:val="en-US" w:eastAsia="zh-CN" w:bidi="ar-SA"/>
        </w:rPr>
        <w:t>工程量清单另附</w:t>
      </w:r>
    </w:p>
    <w:p>
      <w:pPr>
        <w:rPr>
          <w:rStyle w:val="208"/>
          <w:rFonts w:hint="eastAsia" w:ascii="仿宋" w:hAnsi="仿宋" w:eastAsia="仿宋" w:cs="仿宋"/>
          <w:sz w:val="36"/>
          <w:szCs w:val="36"/>
        </w:rPr>
      </w:pPr>
      <w:bookmarkStart w:id="451" w:name="_Toc389620241"/>
      <w:bookmarkStart w:id="452" w:name="_Toc68590981"/>
      <w:bookmarkStart w:id="453" w:name="_Toc58504449"/>
      <w:bookmarkStart w:id="454" w:name="_Toc385992401"/>
      <w:bookmarkStart w:id="455" w:name="_Toc31008"/>
      <w:bookmarkStart w:id="456" w:name="_Toc415499899"/>
      <w:r>
        <w:rPr>
          <w:rStyle w:val="208"/>
          <w:rFonts w:hint="eastAsia" w:ascii="仿宋" w:hAnsi="仿宋" w:eastAsia="仿宋" w:cs="仿宋"/>
          <w:sz w:val="36"/>
          <w:szCs w:val="36"/>
        </w:rPr>
        <w:br w:type="page"/>
      </w:r>
    </w:p>
    <w:p>
      <w:pPr>
        <w:pStyle w:val="46"/>
        <w:spacing w:line="360" w:lineRule="auto"/>
        <w:rPr>
          <w:rFonts w:hint="eastAsia" w:ascii="仿宋" w:hAnsi="仿宋" w:eastAsia="仿宋" w:cs="仿宋"/>
        </w:rPr>
      </w:pPr>
      <w:r>
        <w:rPr>
          <w:rStyle w:val="208"/>
          <w:rFonts w:hint="eastAsia" w:ascii="仿宋" w:hAnsi="仿宋" w:eastAsia="仿宋" w:cs="仿宋"/>
          <w:sz w:val="36"/>
          <w:szCs w:val="36"/>
        </w:rPr>
        <w:t>第六章  磋商响应文件格式</w:t>
      </w:r>
      <w:bookmarkEnd w:id="451"/>
      <w:bookmarkEnd w:id="452"/>
      <w:bookmarkEnd w:id="453"/>
      <w:bookmarkEnd w:id="454"/>
      <w:bookmarkEnd w:id="455"/>
      <w:bookmarkEnd w:id="456"/>
      <w:r>
        <w:rPr>
          <w:rFonts w:hint="eastAsia" w:ascii="仿宋" w:hAnsi="仿宋" w:eastAsia="仿宋" w:cs="仿宋"/>
        </w:rPr>
        <w:t xml:space="preserve">                                 </w:t>
      </w:r>
    </w:p>
    <w:p>
      <w:pPr>
        <w:pStyle w:val="163"/>
        <w:ind w:firstLine="6586" w:firstLineChars="2050"/>
        <w:rPr>
          <w:rFonts w:hint="eastAsia" w:ascii="仿宋" w:hAnsi="仿宋" w:eastAsia="仿宋" w:cs="仿宋"/>
          <w:bCs/>
          <w:lang w:val="zh-CN"/>
        </w:rPr>
      </w:pPr>
      <w:bookmarkStart w:id="457" w:name="_Toc62196433"/>
      <w:r>
        <w:rPr>
          <w:rFonts w:hint="eastAsia" w:ascii="仿宋" w:hAnsi="仿宋" w:eastAsia="仿宋" w:cs="仿宋"/>
          <w:lang w:val="zh-CN"/>
        </w:rPr>
        <w:t>正本/副本</w:t>
      </w:r>
      <w:bookmarkEnd w:id="457"/>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pPr>
        <w:pStyle w:val="200"/>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pPr>
        <w:rPr>
          <w:rFonts w:hint="eastAsia" w:ascii="仿宋" w:hAnsi="仿宋" w:eastAsia="仿宋" w:cs="仿宋"/>
        </w:rPr>
      </w:pPr>
    </w:p>
    <w:p>
      <w:pPr>
        <w:pStyle w:val="23"/>
        <w:rPr>
          <w:rFonts w:hint="eastAsia" w:ascii="仿宋" w:hAnsi="仿宋" w:eastAsia="仿宋" w:cs="仿宋"/>
        </w:rPr>
      </w:pPr>
    </w:p>
    <w:p>
      <w:pPr>
        <w:pStyle w:val="23"/>
        <w:rPr>
          <w:rFonts w:hint="eastAsia" w:ascii="仿宋" w:hAnsi="仿宋" w:eastAsia="仿宋" w:cs="仿宋"/>
        </w:rPr>
      </w:pPr>
    </w:p>
    <w:p>
      <w:pPr>
        <w:pStyle w:val="23"/>
        <w:rPr>
          <w:rFonts w:hint="eastAsia" w:ascii="仿宋" w:hAnsi="仿宋" w:eastAsia="仿宋" w:cs="仿宋"/>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 xml:space="preserve"> </w:t>
      </w:r>
    </w:p>
    <w:p>
      <w:pPr>
        <w:autoSpaceDE w:val="0"/>
        <w:autoSpaceDN w:val="0"/>
        <w:adjustRightInd w:val="0"/>
        <w:snapToGrid w:val="0"/>
        <w:spacing w:line="360" w:lineRule="auto"/>
        <w:rPr>
          <w:rFonts w:hint="eastAsia" w:ascii="仿宋" w:hAnsi="仿宋" w:eastAsia="仿宋" w:cs="仿宋"/>
          <w:sz w:val="30"/>
          <w:szCs w:val="30"/>
        </w:rPr>
      </w:pPr>
    </w:p>
    <w:p>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hint="eastAsia" w:ascii="仿宋" w:hAnsi="仿宋" w:eastAsia="仿宋" w:cs="仿宋"/>
          <w:b/>
          <w:bCs/>
          <w:sz w:val="32"/>
          <w:szCs w:val="32"/>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pStyle w:val="23"/>
        <w:rPr>
          <w:rFonts w:hint="eastAsia" w:ascii="仿宋" w:hAnsi="仿宋" w:eastAsia="仿宋" w:cs="仿宋"/>
        </w:rPr>
      </w:pPr>
      <w:r>
        <w:rPr>
          <w:rFonts w:hint="eastAsia" w:ascii="仿宋" w:hAnsi="仿宋" w:eastAsia="仿宋" w:cs="仿宋"/>
        </w:rPr>
        <w:br w:type="page"/>
      </w: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pPr>
        <w:pStyle w:val="4"/>
        <w:jc w:val="center"/>
        <w:rPr>
          <w:rFonts w:hint="eastAsia" w:ascii="仿宋" w:hAnsi="仿宋" w:eastAsia="仿宋" w:cs="仿宋"/>
          <w:b/>
          <w:bCs/>
        </w:rPr>
      </w:pPr>
      <w:r>
        <w:rPr>
          <w:rFonts w:hint="eastAsia" w:ascii="仿宋" w:hAnsi="仿宋" w:eastAsia="仿宋" w:cs="仿宋"/>
          <w:b/>
          <w:bCs/>
        </w:rPr>
        <w:t>第一部分  身份证明文件</w:t>
      </w:r>
    </w:p>
    <w:p>
      <w:pPr>
        <w:spacing w:after="120"/>
        <w:rPr>
          <w:rFonts w:hint="eastAsia" w:ascii="仿宋" w:hAnsi="仿宋" w:eastAsia="仿宋" w:cs="仿宋"/>
        </w:rPr>
      </w:pPr>
    </w:p>
    <w:p>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pPr>
        <w:autoSpaceDE w:val="0"/>
        <w:autoSpaceDN w:val="0"/>
        <w:adjustRightInd w:val="0"/>
        <w:spacing w:line="348" w:lineRule="auto"/>
        <w:ind w:firstLine="400"/>
        <w:rPr>
          <w:rFonts w:hint="eastAsia" w:ascii="仿宋" w:hAnsi="仿宋" w:eastAsia="仿宋" w:cs="仿宋"/>
          <w:b/>
          <w:bCs/>
          <w:sz w:val="20"/>
        </w:rPr>
      </w:pPr>
    </w:p>
    <w:p>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pPr>
        <w:autoSpaceDE w:val="0"/>
        <w:autoSpaceDN w:val="0"/>
        <w:adjustRightInd w:val="0"/>
        <w:spacing w:line="348" w:lineRule="auto"/>
        <w:rPr>
          <w:rFonts w:hint="eastAsia" w:ascii="仿宋" w:hAnsi="仿宋" w:eastAsia="仿宋" w:cs="仿宋"/>
          <w:sz w:val="24"/>
        </w:rPr>
      </w:pPr>
    </w:p>
    <w:p>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pPr>
        <w:autoSpaceDE w:val="0"/>
        <w:autoSpaceDN w:val="0"/>
        <w:adjustRightInd w:val="0"/>
        <w:spacing w:line="348" w:lineRule="auto"/>
        <w:rPr>
          <w:rFonts w:hint="eastAsia" w:ascii="仿宋" w:hAnsi="仿宋" w:eastAsia="仿宋" w:cs="仿宋"/>
          <w:sz w:val="24"/>
        </w:rPr>
      </w:pPr>
    </w:p>
    <w:p>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授权代表身份证复印件</w:t>
            </w:r>
          </w:p>
          <w:p>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adjustRightInd w:val="0"/>
        <w:snapToGrid w:val="0"/>
        <w:spacing w:line="360" w:lineRule="auto"/>
        <w:rPr>
          <w:rFonts w:hint="eastAsia" w:ascii="仿宋" w:hAnsi="仿宋" w:eastAsia="仿宋" w:cs="仿宋"/>
          <w:sz w:val="24"/>
        </w:rPr>
      </w:pP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pPr>
        <w:spacing w:after="120"/>
        <w:rPr>
          <w:rFonts w:hint="eastAsia" w:ascii="仿宋" w:hAnsi="仿宋" w:eastAsia="仿宋" w:cs="仿宋"/>
        </w:rPr>
      </w:pPr>
      <w:r>
        <w:rPr>
          <w:rFonts w:hint="eastAsia" w:ascii="仿宋" w:hAnsi="仿宋" w:eastAsia="仿宋" w:cs="仿宋"/>
        </w:rPr>
        <w:br w:type="page"/>
      </w:r>
    </w:p>
    <w:p>
      <w:pPr>
        <w:autoSpaceDE w:val="0"/>
        <w:autoSpaceDN w:val="0"/>
        <w:adjustRightInd w:val="0"/>
        <w:jc w:val="center"/>
        <w:rPr>
          <w:rFonts w:hint="eastAsia" w:ascii="仿宋" w:hAnsi="仿宋" w:eastAsia="仿宋" w:cs="仿宋"/>
          <w:b/>
          <w:kern w:val="0"/>
          <w:sz w:val="28"/>
          <w:szCs w:val="28"/>
        </w:rPr>
      </w:pPr>
    </w:p>
    <w:p>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pPr>
        <w:autoSpaceDE w:val="0"/>
        <w:autoSpaceDN w:val="0"/>
        <w:adjustRightInd w:val="0"/>
        <w:spacing w:line="360" w:lineRule="auto"/>
        <w:ind w:left="5399" w:leftChars="2571"/>
        <w:jc w:val="left"/>
        <w:rPr>
          <w:rFonts w:hint="eastAsia" w:ascii="仿宋" w:hAnsi="仿宋" w:eastAsia="仿宋" w:cs="仿宋"/>
          <w:kern w:val="0"/>
          <w:sz w:val="24"/>
        </w:rPr>
      </w:pPr>
    </w:p>
    <w:p>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pPr>
        <w:rPr>
          <w:rFonts w:hint="eastAsia" w:ascii="仿宋" w:hAnsi="仿宋" w:eastAsia="仿宋" w:cs="仿宋"/>
        </w:rPr>
      </w:pPr>
      <w:r>
        <w:rPr>
          <w:rFonts w:hint="eastAsia" w:ascii="仿宋" w:hAnsi="仿宋" w:eastAsia="仿宋" w:cs="仿宋"/>
        </w:rPr>
        <w:br w:type="page"/>
      </w:r>
    </w:p>
    <w:p>
      <w:pPr>
        <w:jc w:val="center"/>
        <w:rPr>
          <w:rFonts w:hint="eastAsia" w:ascii="仿宋" w:hAnsi="仿宋" w:eastAsia="仿宋" w:cs="仿宋"/>
          <w:b/>
          <w:sz w:val="28"/>
          <w:szCs w:val="28"/>
        </w:rPr>
      </w:pPr>
      <w:bookmarkStart w:id="458" w:name="_Toc60929129"/>
      <w:r>
        <w:rPr>
          <w:rFonts w:hint="eastAsia" w:ascii="仿宋" w:hAnsi="仿宋" w:eastAsia="仿宋" w:cs="仿宋"/>
          <w:b/>
          <w:sz w:val="28"/>
          <w:szCs w:val="28"/>
        </w:rPr>
        <w:t>3、授权代表本单位证明</w:t>
      </w:r>
      <w:bookmarkEnd w:id="458"/>
    </w:p>
    <w:p>
      <w:pPr>
        <w:spacing w:after="120"/>
        <w:rPr>
          <w:rFonts w:hint="eastAsia" w:ascii="仿宋" w:hAnsi="仿宋" w:eastAsia="仿宋" w:cs="仿宋"/>
        </w:rPr>
      </w:pPr>
    </w:p>
    <w:p>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rPr>
        <w:t>养老保险缴纳证明或劳动合同复印件</w:t>
      </w:r>
      <w:r>
        <w:rPr>
          <w:rFonts w:hint="eastAsia" w:ascii="仿宋" w:hAnsi="仿宋" w:eastAsia="仿宋" w:cs="仿宋"/>
          <w:sz w:val="28"/>
          <w:szCs w:val="28"/>
          <w:lang w:val="zh-CN"/>
        </w:rPr>
        <w:t>）</w:t>
      </w:r>
    </w:p>
    <w:p>
      <w:pPr>
        <w:autoSpaceDE w:val="0"/>
        <w:autoSpaceDN w:val="0"/>
        <w:adjustRightInd w:val="0"/>
        <w:spacing w:line="348" w:lineRule="auto"/>
        <w:jc w:val="center"/>
        <w:rPr>
          <w:rFonts w:hint="eastAsia" w:ascii="仿宋" w:hAnsi="仿宋" w:eastAsia="仿宋" w:cs="仿宋"/>
          <w:sz w:val="28"/>
          <w:szCs w:val="28"/>
          <w:lang w:val="zh-CN"/>
        </w:rPr>
      </w:pPr>
    </w:p>
    <w:p>
      <w:pPr>
        <w:autoSpaceDE w:val="0"/>
        <w:autoSpaceDN w:val="0"/>
        <w:adjustRightInd w:val="0"/>
        <w:spacing w:line="348" w:lineRule="auto"/>
        <w:jc w:val="center"/>
        <w:rPr>
          <w:rFonts w:hint="eastAsia" w:ascii="仿宋" w:hAnsi="仿宋" w:eastAsia="仿宋" w:cs="仿宋"/>
          <w:sz w:val="28"/>
          <w:szCs w:val="28"/>
          <w:lang w:val="zh-CN"/>
        </w:rPr>
      </w:pPr>
    </w:p>
    <w:p>
      <w:pPr>
        <w:autoSpaceDE w:val="0"/>
        <w:autoSpaceDN w:val="0"/>
        <w:adjustRightInd w:val="0"/>
        <w:spacing w:line="348" w:lineRule="auto"/>
        <w:jc w:val="center"/>
        <w:rPr>
          <w:rFonts w:hint="eastAsia" w:ascii="仿宋" w:hAnsi="仿宋" w:eastAsia="仿宋" w:cs="仿宋"/>
          <w:sz w:val="28"/>
          <w:szCs w:val="28"/>
          <w:lang w:val="zh-CN"/>
        </w:rPr>
      </w:pPr>
    </w:p>
    <w:p>
      <w:pPr>
        <w:pStyle w:val="23"/>
        <w:rPr>
          <w:rFonts w:hint="eastAsia" w:ascii="仿宋" w:hAnsi="仿宋" w:eastAsia="仿宋" w:cs="仿宋"/>
        </w:rPr>
      </w:pPr>
    </w:p>
    <w:p>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pPr>
        <w:pStyle w:val="23"/>
        <w:rPr>
          <w:rFonts w:hint="eastAsia" w:ascii="仿宋" w:hAnsi="仿宋" w:eastAsia="仿宋" w:cs="仿宋"/>
        </w:rPr>
      </w:pPr>
    </w:p>
    <w:p>
      <w:pPr>
        <w:pStyle w:val="4"/>
        <w:jc w:val="center"/>
        <w:rPr>
          <w:rFonts w:hint="eastAsia" w:ascii="仿宋" w:hAnsi="仿宋" w:eastAsia="仿宋" w:cs="仿宋"/>
          <w:b/>
          <w:bCs/>
        </w:rPr>
      </w:pPr>
      <w:r>
        <w:rPr>
          <w:rFonts w:hint="eastAsia" w:ascii="仿宋" w:hAnsi="仿宋" w:eastAsia="仿宋" w:cs="仿宋"/>
          <w:b/>
          <w:bCs/>
        </w:rPr>
        <w:t>第二部分  资格证明文件</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提供投标供应商</w:t>
      </w:r>
      <w:r>
        <w:rPr>
          <w:rFonts w:hint="eastAsia" w:ascii="仿宋" w:hAnsi="仿宋" w:eastAsia="仿宋" w:cs="仿宋"/>
          <w:sz w:val="24"/>
          <w:lang w:val="en-US" w:eastAsia="zh-CN"/>
        </w:rPr>
        <w:t>2022</w:t>
      </w:r>
      <w:r>
        <w:rPr>
          <w:rFonts w:hint="eastAsia" w:ascii="仿宋" w:hAnsi="仿宋" w:eastAsia="仿宋" w:cs="仿宋"/>
          <w:sz w:val="24"/>
        </w:rPr>
        <w:t>年度经审计的财务报告复印件（包括资产负债表、现金流量表、利润表）或开标截止时间前任意三个月公司的财务报表或本年度基本开户银行出具的资信证明（格式要求见附件6-2）；</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投标人在“信用中国”网站（www.creditchina.gov.cn）或（“中国执行信息公开网”网站（http://zxgk.court.gov.cn/shixin/））和中国政府采购网（www.ccgp.gov.cn）上未被列入失信被执行人、重大税收违法失信主体、政府采购严重违法失信行为记录名单（提供网站截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kern w:val="2"/>
          <w:sz w:val="24"/>
          <w:szCs w:val="24"/>
          <w:lang w:val="en-US" w:eastAsia="zh-CN" w:bidi="ar-SA"/>
        </w:rPr>
        <w:t>2）.拟派项目负责人具备园林绿化相关专业中级及以上职称及在本企业近一年内连续三个月已缴存的社保缴费情况证明（其中五险一金任意一项即可）。依法不需要缴纳社会保障资金的应提供相关文件证明，且未担任其他在建工程项目的项目负责人。</w:t>
      </w:r>
    </w:p>
    <w:p>
      <w:pPr>
        <w:spacing w:after="120"/>
        <w:rPr>
          <w:rFonts w:hint="eastAsia" w:ascii="仿宋" w:hAnsi="仿宋" w:eastAsia="仿宋" w:cs="仿宋"/>
        </w:rPr>
      </w:pPr>
      <w:r>
        <w:rPr>
          <w:rFonts w:hint="eastAsia" w:ascii="仿宋" w:hAnsi="仿宋" w:eastAsia="仿宋" w:cs="仿宋"/>
        </w:rPr>
        <w:br w:type="page"/>
      </w:r>
    </w:p>
    <w:p>
      <w:pPr>
        <w:adjustRightInd w:val="0"/>
        <w:spacing w:line="360" w:lineRule="auto"/>
        <w:ind w:firstLine="480" w:firstLineChars="200"/>
        <w:jc w:val="left"/>
        <w:textAlignment w:val="baseline"/>
        <w:rPr>
          <w:rFonts w:hint="eastAsia" w:ascii="仿宋" w:hAnsi="仿宋" w:eastAsia="仿宋" w:cs="仿宋"/>
          <w:sz w:val="24"/>
        </w:rPr>
      </w:pPr>
    </w:p>
    <w:p>
      <w:pPr>
        <w:jc w:val="left"/>
        <w:outlineLvl w:val="2"/>
        <w:rPr>
          <w:rFonts w:hint="eastAsia" w:ascii="仿宋" w:hAnsi="仿宋" w:eastAsia="仿宋" w:cs="仿宋"/>
          <w:b/>
          <w:sz w:val="24"/>
        </w:rPr>
      </w:pPr>
      <w:bookmarkStart w:id="459" w:name="_Toc7005120"/>
      <w:r>
        <w:rPr>
          <w:rFonts w:hint="eastAsia" w:ascii="仿宋" w:hAnsi="仿宋" w:eastAsia="仿宋" w:cs="仿宋"/>
          <w:b/>
          <w:sz w:val="24"/>
        </w:rPr>
        <w:t>6-1  供应商的企业法人营业执照副本复印件（加盖公章）</w:t>
      </w:r>
      <w:bookmarkEnd w:id="459"/>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bookmarkStart w:id="460" w:name="_Ref527015333"/>
      <w:bookmarkStart w:id="461" w:name="_Toc7005121"/>
      <w:r>
        <w:rPr>
          <w:rFonts w:hint="eastAsia" w:ascii="仿宋" w:hAnsi="仿宋" w:eastAsia="仿宋" w:cs="仿宋"/>
          <w:b/>
          <w:sz w:val="24"/>
        </w:rPr>
        <w:t>6-2  2022年度经审计的财务报表</w:t>
      </w:r>
      <w:bookmarkEnd w:id="460"/>
      <w:bookmarkEnd w:id="461"/>
    </w:p>
    <w:p>
      <w:pPr>
        <w:spacing w:line="360" w:lineRule="auto"/>
        <w:rPr>
          <w:rFonts w:hint="eastAsia" w:ascii="仿宋" w:hAnsi="仿宋" w:eastAsia="仿宋" w:cs="仿宋"/>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Cs w:val="21"/>
        </w:rPr>
      </w:pPr>
      <w:r>
        <w:rPr>
          <w:rFonts w:hint="eastAsia" w:ascii="仿宋" w:hAnsi="仿宋" w:eastAsia="仿宋" w:cs="仿宋"/>
          <w:szCs w:val="21"/>
        </w:rPr>
        <w:t>提供投标供应商</w:t>
      </w:r>
      <w:r>
        <w:rPr>
          <w:rFonts w:hint="eastAsia" w:ascii="仿宋" w:hAnsi="仿宋" w:eastAsia="仿宋" w:cs="仿宋"/>
          <w:szCs w:val="21"/>
          <w:lang w:val="en-US" w:eastAsia="zh-CN"/>
        </w:rPr>
        <w:t>2022</w:t>
      </w:r>
      <w:r>
        <w:rPr>
          <w:rFonts w:hint="eastAsia" w:ascii="仿宋" w:hAnsi="仿宋" w:eastAsia="仿宋" w:cs="仿宋"/>
          <w:szCs w:val="21"/>
        </w:rPr>
        <w:t>年度经审计的财务报告复印件（包括资产负债表、现金流量表、利润表）或开标截止时间前任意三个月公司的财务报表或本年度基本开户银行出具的资信证明</w:t>
      </w: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bookmarkStart w:id="462" w:name="_Toc7005122"/>
      <w:r>
        <w:rPr>
          <w:rFonts w:hint="eastAsia" w:ascii="仿宋" w:hAnsi="仿宋" w:eastAsia="仿宋" w:cs="仿宋"/>
          <w:b/>
          <w:sz w:val="24"/>
        </w:rPr>
        <w:t>或  6-2 本年度基本开户银行出具的资信证明</w:t>
      </w:r>
      <w:bookmarkEnd w:id="462"/>
    </w:p>
    <w:p>
      <w:pPr>
        <w:spacing w:line="360" w:lineRule="auto"/>
        <w:rPr>
          <w:rFonts w:hint="eastAsia" w:ascii="仿宋" w:hAnsi="仿宋" w:eastAsia="仿宋" w:cs="仿宋"/>
          <w:szCs w:val="21"/>
        </w:rPr>
      </w:pPr>
    </w:p>
    <w:p>
      <w:pPr>
        <w:widowControl/>
        <w:jc w:val="left"/>
        <w:rPr>
          <w:rFonts w:hint="eastAsia" w:ascii="仿宋" w:hAnsi="仿宋" w:eastAsia="仿宋" w:cs="仿宋"/>
          <w:b/>
          <w:spacing w:val="20"/>
          <w:sz w:val="24"/>
        </w:rPr>
      </w:pP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bookmarkStart w:id="463" w:name="_Toc7005123"/>
      <w:r>
        <w:rPr>
          <w:rFonts w:hint="eastAsia" w:ascii="仿宋" w:hAnsi="仿宋" w:eastAsia="仿宋" w:cs="仿宋"/>
          <w:b/>
          <w:sz w:val="24"/>
        </w:rPr>
        <w:t>6-3  依法缴纳税收的证明</w:t>
      </w:r>
      <w:bookmarkEnd w:id="463"/>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供应商应提供自磋商响应文件递交截止时间前近六个月中任何一个月缴税的凭证，时间以税款所属时期为准（银行出具的缴税凭证或税务机关出具的证明的复印件，并加盖本单位公章）。</w:t>
      </w:r>
    </w:p>
    <w:p>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spacing w:after="120"/>
        <w:rPr>
          <w:rFonts w:hint="eastAsia" w:ascii="仿宋" w:hAnsi="仿宋" w:eastAsia="仿宋" w:cs="仿宋"/>
        </w:rPr>
      </w:pP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jc w:val="left"/>
        <w:outlineLvl w:val="2"/>
        <w:rPr>
          <w:rFonts w:hint="eastAsia" w:ascii="仿宋" w:hAnsi="仿宋" w:eastAsia="仿宋" w:cs="仿宋"/>
          <w:b/>
          <w:sz w:val="24"/>
        </w:rPr>
      </w:pPr>
      <w:bookmarkStart w:id="464" w:name="_Toc7005124"/>
      <w:r>
        <w:rPr>
          <w:rFonts w:hint="eastAsia" w:ascii="仿宋" w:hAnsi="仿宋" w:eastAsia="仿宋" w:cs="仿宋"/>
          <w:b/>
          <w:sz w:val="24"/>
        </w:rPr>
        <w:t>6-4  社会保障资金缴纳记录</w:t>
      </w:r>
      <w:bookmarkEnd w:id="464"/>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供应商应提供自磋商响应文件递交截止时间前近六个月中至少一个月的社会缴纳社会保险的凭据（专用收据或社会保险缴纳清单），并加盖本单位公章。</w:t>
      </w:r>
    </w:p>
    <w:p>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pPr>
        <w:tabs>
          <w:tab w:val="left" w:pos="5580"/>
        </w:tabs>
        <w:spacing w:before="120" w:line="360" w:lineRule="auto"/>
        <w:ind w:firstLine="480" w:firstLineChars="200"/>
        <w:rPr>
          <w:rFonts w:hint="eastAsia" w:ascii="仿宋" w:hAnsi="仿宋" w:eastAsia="仿宋" w:cs="仿宋"/>
          <w:sz w:val="24"/>
        </w:rPr>
      </w:pPr>
    </w:p>
    <w:p>
      <w:pPr>
        <w:rPr>
          <w:rFonts w:hint="eastAsia" w:ascii="仿宋" w:hAnsi="仿宋" w:eastAsia="仿宋" w:cs="仿宋"/>
          <w:b/>
          <w:bCs/>
          <w:sz w:val="24"/>
        </w:rPr>
      </w:pPr>
      <w:bookmarkStart w:id="465" w:name="_Toc7005125"/>
      <w:r>
        <w:rPr>
          <w:rFonts w:hint="eastAsia" w:ascii="仿宋" w:hAnsi="仿宋" w:eastAsia="仿宋" w:cs="仿宋"/>
          <w:b/>
          <w:bCs/>
          <w:sz w:val="24"/>
        </w:rPr>
        <w:br w:type="page"/>
      </w:r>
    </w:p>
    <w:p>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65"/>
      <w:r>
        <w:rPr>
          <w:rFonts w:hint="eastAsia" w:ascii="仿宋" w:hAnsi="仿宋" w:eastAsia="仿宋" w:cs="仿宋"/>
          <w:b/>
          <w:sz w:val="24"/>
        </w:rPr>
        <w:t xml:space="preserve">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right="280"/>
        <w:rPr>
          <w:rFonts w:hint="eastAsia" w:ascii="仿宋" w:hAnsi="仿宋" w:eastAsia="仿宋" w:cs="仿宋"/>
          <w:sz w:val="24"/>
        </w:rPr>
      </w:pPr>
    </w:p>
    <w:p>
      <w:pPr>
        <w:tabs>
          <w:tab w:val="left" w:pos="5580"/>
        </w:tabs>
        <w:spacing w:before="120" w:line="360" w:lineRule="auto"/>
        <w:ind w:firstLine="480" w:firstLineChars="200"/>
        <w:rPr>
          <w:rFonts w:hint="eastAsia" w:ascii="仿宋" w:hAnsi="仿宋" w:eastAsia="仿宋" w:cs="仿宋"/>
          <w:sz w:val="24"/>
        </w:rPr>
      </w:pPr>
    </w:p>
    <w:p>
      <w:pPr>
        <w:widowControl/>
        <w:jc w:val="left"/>
        <w:rPr>
          <w:rFonts w:hint="eastAsia" w:ascii="仿宋" w:hAnsi="仿宋" w:eastAsia="仿宋" w:cs="仿宋"/>
          <w:b/>
          <w:sz w:val="24"/>
        </w:rPr>
      </w:pPr>
    </w:p>
    <w:p>
      <w:pPr>
        <w:jc w:val="left"/>
        <w:outlineLvl w:val="2"/>
        <w:rPr>
          <w:rFonts w:hint="eastAsia" w:ascii="仿宋" w:hAnsi="仿宋" w:eastAsia="仿宋" w:cs="仿宋"/>
          <w:b/>
          <w:sz w:val="24"/>
          <w:szCs w:val="22"/>
        </w:rPr>
      </w:pPr>
      <w:bookmarkStart w:id="466" w:name="_Toc7005126"/>
      <w:r>
        <w:rPr>
          <w:rFonts w:hint="eastAsia" w:ascii="仿宋" w:hAnsi="仿宋" w:eastAsia="仿宋" w:cs="仿宋"/>
          <w:b/>
          <w:sz w:val="24"/>
          <w:szCs w:val="22"/>
        </w:rPr>
        <w:t>6-6  供应商参加政府采购活动前3年内在经营活动中没有重大违法记录的书面声明（格式）</w:t>
      </w:r>
      <w:bookmarkEnd w:id="466"/>
    </w:p>
    <w:p>
      <w:pPr>
        <w:jc w:val="center"/>
        <w:rPr>
          <w:rFonts w:hint="eastAsia" w:ascii="仿宋" w:hAnsi="仿宋" w:eastAsia="仿宋" w:cs="仿宋"/>
          <w:sz w:val="24"/>
        </w:rPr>
      </w:pPr>
    </w:p>
    <w:p>
      <w:pPr>
        <w:jc w:val="center"/>
        <w:rPr>
          <w:rFonts w:hint="eastAsia" w:ascii="仿宋" w:hAnsi="仿宋" w:eastAsia="仿宋" w:cs="仿宋"/>
          <w:b/>
          <w:sz w:val="24"/>
        </w:rPr>
      </w:pPr>
      <w:r>
        <w:rPr>
          <w:rFonts w:hint="eastAsia" w:ascii="仿宋" w:hAnsi="仿宋" w:eastAsia="仿宋" w:cs="仿宋"/>
          <w:b/>
          <w:sz w:val="24"/>
        </w:rPr>
        <w:t>声明函</w:t>
      </w:r>
    </w:p>
    <w:p>
      <w:pPr>
        <w:jc w:val="center"/>
        <w:rPr>
          <w:rFonts w:hint="eastAsia" w:ascii="仿宋" w:hAnsi="仿宋" w:eastAsia="仿宋" w:cs="仿宋"/>
          <w:sz w:val="24"/>
        </w:rPr>
      </w:pPr>
    </w:p>
    <w:p>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hint="eastAsia" w:ascii="仿宋" w:hAnsi="仿宋" w:eastAsia="仿宋" w:cs="仿宋"/>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rPr>
          <w:rFonts w:hint="eastAsia" w:ascii="仿宋" w:hAnsi="仿宋" w:eastAsia="仿宋" w:cs="仿宋"/>
        </w:rPr>
      </w:pPr>
      <w:r>
        <w:rPr>
          <w:rFonts w:hint="eastAsia" w:ascii="仿宋" w:hAnsi="仿宋" w:eastAsia="仿宋" w:cs="仿宋"/>
        </w:rPr>
        <w:br w:type="page"/>
      </w:r>
    </w:p>
    <w:p>
      <w:pPr>
        <w:jc w:val="left"/>
        <w:outlineLvl w:val="2"/>
        <w:rPr>
          <w:rFonts w:hint="eastAsia" w:ascii="仿宋" w:hAnsi="仿宋" w:eastAsia="仿宋" w:cs="仿宋"/>
          <w:b/>
          <w:sz w:val="24"/>
          <w:szCs w:val="22"/>
        </w:rPr>
      </w:pPr>
      <w:bookmarkStart w:id="467" w:name="_Toc7005127"/>
      <w:r>
        <w:rPr>
          <w:rFonts w:hint="eastAsia" w:ascii="仿宋" w:hAnsi="仿宋" w:eastAsia="仿宋" w:cs="仿宋"/>
          <w:b/>
          <w:sz w:val="24"/>
          <w:szCs w:val="22"/>
        </w:rPr>
        <w:t>6-7  供应商控股股东名称、控股公司的名称和存在管理、被管理关系的单位名称说明</w:t>
      </w:r>
      <w:bookmarkEnd w:id="467"/>
    </w:p>
    <w:p>
      <w:pPr>
        <w:ind w:firstLine="420"/>
        <w:rPr>
          <w:rFonts w:hint="eastAsia" w:ascii="仿宋" w:hAnsi="仿宋" w:eastAsia="仿宋" w:cs="仿宋"/>
          <w:szCs w:val="21"/>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陕西省采购招标有限责任公司：</w:t>
      </w:r>
    </w:p>
    <w:p>
      <w:pPr>
        <w:spacing w:after="120"/>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3"/>
        <w:rPr>
          <w:rFonts w:hint="eastAsia" w:ascii="仿宋" w:hAnsi="仿宋" w:eastAsia="仿宋" w:cs="仿宋"/>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jc w:val="left"/>
        <w:outlineLvl w:val="2"/>
        <w:rPr>
          <w:rFonts w:hint="eastAsia" w:ascii="仿宋" w:hAnsi="仿宋" w:eastAsia="仿宋" w:cs="仿宋"/>
          <w:b/>
          <w:sz w:val="24"/>
          <w:szCs w:val="22"/>
        </w:rPr>
      </w:pPr>
      <w:bookmarkStart w:id="468"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68"/>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3"/>
        <w:rPr>
          <w:rFonts w:hint="eastAsia" w:ascii="仿宋" w:hAnsi="仿宋" w:eastAsia="仿宋" w:cs="仿宋"/>
          <w:sz w:val="24"/>
        </w:rPr>
      </w:pPr>
    </w:p>
    <w:p>
      <w:pPr>
        <w:rPr>
          <w:rFonts w:hint="eastAsia" w:ascii="仿宋" w:hAnsi="仿宋" w:eastAsia="仿宋" w:cs="仿宋"/>
          <w:sz w:val="24"/>
        </w:rPr>
      </w:pPr>
    </w:p>
    <w:p>
      <w:pPr>
        <w:spacing w:after="120"/>
        <w:rPr>
          <w:rFonts w:hint="eastAsia" w:ascii="仿宋" w:hAnsi="仿宋" w:eastAsia="仿宋" w:cs="仿宋"/>
          <w:b/>
          <w:sz w:val="24"/>
        </w:rPr>
      </w:pPr>
      <w:bookmarkStart w:id="469" w:name="_Toc7005129"/>
      <w:r>
        <w:rPr>
          <w:rFonts w:hint="eastAsia" w:ascii="仿宋" w:hAnsi="仿宋" w:eastAsia="仿宋" w:cs="仿宋"/>
          <w:b/>
          <w:sz w:val="24"/>
        </w:rPr>
        <w:t>6-9  证明供应商符合特定资格条件的证明材料</w:t>
      </w:r>
      <w:bookmarkEnd w:id="469"/>
      <w:r>
        <w:rPr>
          <w:rFonts w:hint="eastAsia" w:ascii="仿宋" w:hAnsi="仿宋" w:eastAsia="仿宋" w:cs="仿宋"/>
          <w:b/>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提供网站截图）；</w:t>
      </w:r>
    </w:p>
    <w:p>
      <w:pPr>
        <w:spacing w:line="360"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w:t>
      </w:r>
      <w:r>
        <w:rPr>
          <w:rFonts w:hint="eastAsia" w:ascii="仿宋" w:hAnsi="仿宋" w:eastAsia="仿宋" w:cs="仿宋"/>
          <w:kern w:val="2"/>
          <w:sz w:val="24"/>
          <w:szCs w:val="24"/>
          <w:lang w:val="en-US" w:eastAsia="zh-CN" w:bidi="ar-SA"/>
        </w:rPr>
        <w:t>拟派项目负责人具备园林绿化相关专业中级及以上职称及在本企业近一年内连续三个月已缴存的社保缴费情况证明（其中五险一金任意一项即可）。依法不需要缴纳社会保障资金的应提供相关文件证明，且未担任其他在建工程项目的项目负责人。</w:t>
      </w:r>
    </w:p>
    <w:p>
      <w:pP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after="240" w:afterLines="100" w:line="360" w:lineRule="auto"/>
        <w:ind w:firstLine="480" w:firstLineChars="200"/>
        <w:jc w:val="both"/>
        <w:textAlignment w:val="auto"/>
        <w:outlineLvl w:val="9"/>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提供网站截图）；</w:t>
      </w:r>
    </w:p>
    <w:p>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附2：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kern w:val="2"/>
          <w:sz w:val="24"/>
          <w:szCs w:val="24"/>
          <w:lang w:val="en-US" w:eastAsia="zh-CN" w:bidi="ar-SA"/>
        </w:rPr>
      </w:pPr>
      <w:r>
        <w:rPr>
          <w:rFonts w:hint="default" w:ascii="仿宋" w:hAnsi="仿宋" w:eastAsia="仿宋" w:cs="仿宋"/>
          <w:b w:val="0"/>
          <w:kern w:val="2"/>
          <w:sz w:val="24"/>
          <w:szCs w:val="24"/>
          <w:lang w:val="en-US" w:eastAsia="zh-CN" w:bidi="ar-SA"/>
        </w:rPr>
        <w:t>①</w:t>
      </w:r>
      <w:r>
        <w:rPr>
          <w:rFonts w:hint="eastAsia" w:ascii="仿宋" w:hAnsi="仿宋" w:eastAsia="仿宋" w:cs="仿宋"/>
          <w:b w:val="0"/>
          <w:kern w:val="2"/>
          <w:sz w:val="24"/>
          <w:szCs w:val="24"/>
          <w:lang w:val="en-US" w:eastAsia="zh-CN" w:bidi="ar-SA"/>
        </w:rPr>
        <w:t>拟派项目负责人园林绿化相关专业中级及以上职称证书及近一年内连续三个月缴存的社保缴费证明；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Cs w:val="28"/>
          <w:highlight w:val="none"/>
        </w:rPr>
      </w:pPr>
      <w:r>
        <w:rPr>
          <w:rFonts w:hint="default" w:ascii="仿宋" w:hAnsi="仿宋" w:eastAsia="仿宋" w:cs="仿宋"/>
          <w:b w:val="0"/>
          <w:kern w:val="2"/>
          <w:sz w:val="24"/>
          <w:szCs w:val="24"/>
          <w:lang w:val="en-US" w:eastAsia="zh-CN" w:bidi="ar-SA"/>
        </w:rPr>
        <w:t>②</w:t>
      </w:r>
      <w:r>
        <w:rPr>
          <w:rFonts w:hint="eastAsia" w:ascii="仿宋" w:hAnsi="仿宋" w:eastAsia="仿宋" w:cs="仿宋"/>
          <w:b w:val="0"/>
          <w:kern w:val="2"/>
          <w:sz w:val="24"/>
          <w:szCs w:val="24"/>
          <w:lang w:val="en-US" w:eastAsia="zh-CN" w:bidi="ar-SA"/>
        </w:rPr>
        <w:t>项目负责人无在建项目承诺书；</w:t>
      </w:r>
      <w:r>
        <w:rPr>
          <w:rFonts w:hint="eastAsia" w:ascii="仿宋" w:hAnsi="仿宋" w:eastAsia="仿宋" w:cs="仿宋"/>
          <w:b/>
          <w:color w:val="auto"/>
          <w:kern w:val="2"/>
          <w:szCs w:val="28"/>
          <w:highlight w:val="none"/>
          <w:lang w:val="en-US" w:eastAsia="zh-CN" w:bidi="ar-SA"/>
        </w:rPr>
        <w:br w:type="page"/>
      </w:r>
    </w:p>
    <w:p>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项目负责人</w:t>
      </w:r>
      <w:r>
        <w:rPr>
          <w:rFonts w:hint="eastAsia" w:ascii="仿宋" w:hAnsi="仿宋" w:eastAsia="仿宋" w:cs="仿宋"/>
          <w:color w:val="auto"/>
          <w:sz w:val="28"/>
          <w:szCs w:val="28"/>
          <w:highlight w:val="none"/>
        </w:rPr>
        <w:t>无在建项目承诺书</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pPr>
        <w:spacing w:line="360" w:lineRule="auto"/>
        <w:ind w:firstLine="560" w:firstLineChars="200"/>
        <w:rPr>
          <w:rFonts w:hint="eastAsia" w:ascii="仿宋" w:hAnsi="仿宋" w:eastAsia="仿宋" w:cs="仿宋"/>
          <w:color w:val="auto"/>
          <w:sz w:val="28"/>
          <w:szCs w:val="28"/>
          <w:highlight w:val="none"/>
        </w:rPr>
      </w:pP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pPr>
        <w:spacing w:line="360" w:lineRule="auto"/>
        <w:ind w:firstLine="560" w:firstLineChars="200"/>
        <w:rPr>
          <w:rFonts w:hint="eastAsia" w:ascii="仿宋" w:hAnsi="仿宋" w:eastAsia="仿宋" w:cs="仿宋"/>
          <w:color w:val="auto"/>
          <w:sz w:val="28"/>
          <w:szCs w:val="28"/>
          <w:highlight w:val="none"/>
        </w:rPr>
      </w:pPr>
    </w:p>
    <w:p>
      <w:pPr>
        <w:spacing w:line="360" w:lineRule="auto"/>
        <w:ind w:firstLine="560" w:firstLineChars="200"/>
        <w:jc w:val="center"/>
        <w:rPr>
          <w:rFonts w:hint="eastAsia" w:ascii="仿宋" w:hAnsi="仿宋" w:eastAsia="仿宋" w:cs="仿宋"/>
          <w:color w:val="auto"/>
          <w:sz w:val="28"/>
          <w:szCs w:val="28"/>
          <w:highlight w:val="none"/>
        </w:rPr>
      </w:pPr>
    </w:p>
    <w:p>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pPr>
        <w:pStyle w:val="4"/>
        <w:keepNext/>
        <w:keepLines/>
        <w:pageBreakBefore w:val="0"/>
        <w:widowControl w:val="0"/>
        <w:kinsoku/>
        <w:wordWrap/>
        <w:overflowPunct/>
        <w:topLinePunct w:val="0"/>
        <w:autoSpaceDE w:val="0"/>
        <w:autoSpaceDN w:val="0"/>
        <w:bidi w:val="0"/>
        <w:adjustRightInd w:val="0"/>
        <w:snapToGrid/>
        <w:ind w:firstLine="560" w:firstLineChars="200"/>
        <w:jc w:val="righ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pPr>
        <w:rPr>
          <w:rFonts w:hint="eastAsia" w:ascii="仿宋" w:hAnsi="仿宋" w:eastAsia="仿宋" w:cs="仿宋"/>
          <w:b/>
          <w:bCs/>
          <w:lang w:val="zh-CN"/>
        </w:rPr>
      </w:pPr>
      <w:r>
        <w:rPr>
          <w:rFonts w:hint="eastAsia" w:ascii="仿宋" w:hAnsi="仿宋" w:eastAsia="仿宋" w:cs="仿宋"/>
          <w:b/>
          <w:bCs/>
          <w:lang w:val="zh-CN"/>
        </w:rPr>
        <w:br w:type="page"/>
      </w:r>
    </w:p>
    <w:p>
      <w:pPr>
        <w:spacing w:after="120"/>
        <w:rPr>
          <w:rFonts w:hint="eastAsia" w:ascii="仿宋" w:hAnsi="仿宋" w:eastAsia="仿宋" w:cs="仿宋"/>
        </w:rPr>
      </w:pPr>
    </w:p>
    <w:p>
      <w:pPr>
        <w:pStyle w:val="200"/>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9"/>
          <w:rFonts w:hint="eastAsia" w:ascii="仿宋" w:hAnsi="仿宋" w:eastAsia="仿宋" w:cs="仿宋"/>
        </w:rPr>
        <w:t>商务及技术文件</w:t>
      </w:r>
      <w:r>
        <w:rPr>
          <w:rFonts w:hint="eastAsia" w:ascii="仿宋" w:hAnsi="仿宋" w:eastAsia="仿宋" w:cs="仿宋"/>
          <w:b/>
          <w:bCs/>
          <w:sz w:val="32"/>
          <w:szCs w:val="32"/>
          <w:lang w:val="zh-CN"/>
        </w:rPr>
        <w:t>）</w:t>
      </w: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 xml:space="preserve"> </w:t>
      </w:r>
    </w:p>
    <w:p>
      <w:pPr>
        <w:autoSpaceDE w:val="0"/>
        <w:autoSpaceDN w:val="0"/>
        <w:adjustRightInd w:val="0"/>
        <w:snapToGrid w:val="0"/>
        <w:spacing w:line="360" w:lineRule="auto"/>
        <w:rPr>
          <w:rFonts w:hint="eastAsia" w:ascii="仿宋" w:hAnsi="仿宋" w:eastAsia="仿宋" w:cs="仿宋"/>
          <w:sz w:val="30"/>
          <w:szCs w:val="30"/>
        </w:rPr>
      </w:pPr>
    </w:p>
    <w:p>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hint="eastAsia" w:ascii="仿宋" w:hAnsi="仿宋" w:eastAsia="仿宋" w:cs="仿宋"/>
          <w:b/>
          <w:bCs/>
          <w:sz w:val="32"/>
          <w:szCs w:val="32"/>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pStyle w:val="23"/>
        <w:rPr>
          <w:rFonts w:hint="eastAsia" w:ascii="仿宋" w:hAnsi="仿宋" w:eastAsia="仿宋" w:cs="仿宋"/>
        </w:rPr>
      </w:pPr>
      <w:r>
        <w:rPr>
          <w:rFonts w:hint="eastAsia" w:ascii="仿宋" w:hAnsi="仿宋" w:eastAsia="仿宋" w:cs="仿宋"/>
        </w:rPr>
        <w:br w:type="page"/>
      </w: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pPr>
        <w:pStyle w:val="23"/>
        <w:rPr>
          <w:rFonts w:hint="eastAsia" w:ascii="仿宋" w:hAnsi="仿宋" w:eastAsia="仿宋" w:cs="仿宋"/>
        </w:rPr>
      </w:pPr>
    </w:p>
    <w:p>
      <w:pPr>
        <w:pStyle w:val="4"/>
        <w:jc w:val="center"/>
        <w:rPr>
          <w:rFonts w:hint="eastAsia" w:ascii="仿宋" w:hAnsi="仿宋" w:eastAsia="仿宋" w:cs="仿宋"/>
          <w:b/>
          <w:bCs/>
          <w:lang w:val="zh-CN"/>
        </w:rPr>
      </w:pPr>
      <w:r>
        <w:rPr>
          <w:rFonts w:hint="eastAsia" w:ascii="仿宋" w:hAnsi="仿宋" w:eastAsia="仿宋" w:cs="仿宋"/>
          <w:b/>
          <w:bCs/>
          <w:lang w:val="zh-CN"/>
        </w:rPr>
        <w:t>目  录</w:t>
      </w:r>
    </w:p>
    <w:p>
      <w:pPr>
        <w:spacing w:after="120"/>
        <w:ind w:firstLine="315" w:firstLineChars="150"/>
        <w:rPr>
          <w:rFonts w:hint="eastAsia" w:ascii="仿宋" w:hAnsi="仿宋" w:eastAsia="仿宋" w:cs="仿宋"/>
        </w:rPr>
      </w:pP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pPr>
        <w:spacing w:after="120" w:line="480" w:lineRule="auto"/>
        <w:ind w:firstLine="360" w:firstLineChars="150"/>
        <w:rPr>
          <w:rFonts w:hint="eastAsia" w:ascii="仿宋" w:hAnsi="仿宋" w:eastAsia="仿宋" w:cs="仿宋"/>
          <w:sz w:val="24"/>
          <w:lang w:eastAsia="zh-CN"/>
        </w:rPr>
      </w:pPr>
      <w:r>
        <w:rPr>
          <w:rFonts w:hint="eastAsia" w:ascii="仿宋" w:hAnsi="仿宋" w:eastAsia="仿宋" w:cs="仿宋"/>
          <w:sz w:val="24"/>
        </w:rPr>
        <w:t xml:space="preserve">第六部分  </w:t>
      </w:r>
      <w:r>
        <w:rPr>
          <w:rFonts w:hint="eastAsia" w:ascii="仿宋" w:hAnsi="仿宋" w:eastAsia="仿宋" w:cs="仿宋"/>
          <w:sz w:val="24"/>
          <w:lang w:eastAsia="zh-CN"/>
        </w:rPr>
        <w:t>投标信用承诺书</w:t>
      </w:r>
    </w:p>
    <w:p>
      <w:pPr>
        <w:pStyle w:val="23"/>
        <w:spacing w:line="480" w:lineRule="auto"/>
        <w:ind w:firstLine="480"/>
        <w:rPr>
          <w:rFonts w:hint="eastAsia" w:ascii="仿宋" w:hAnsi="仿宋" w:eastAsia="仿宋" w:cs="仿宋"/>
          <w:sz w:val="24"/>
        </w:rPr>
      </w:pPr>
    </w:p>
    <w:p>
      <w:pPr>
        <w:pStyle w:val="23"/>
        <w:ind w:firstLine="480"/>
        <w:rPr>
          <w:rFonts w:hint="eastAsia" w:ascii="仿宋" w:hAnsi="仿宋" w:eastAsia="仿宋" w:cs="仿宋"/>
          <w:sz w:val="24"/>
        </w:rPr>
      </w:pPr>
    </w:p>
    <w:p>
      <w:pPr>
        <w:widowControl/>
        <w:jc w:val="left"/>
        <w:rPr>
          <w:rFonts w:hint="eastAsia" w:ascii="仿宋" w:hAnsi="仿宋" w:eastAsia="仿宋" w:cs="仿宋"/>
        </w:rPr>
      </w:pPr>
      <w:r>
        <w:rPr>
          <w:rFonts w:hint="eastAsia" w:ascii="仿宋" w:hAnsi="仿宋" w:eastAsia="仿宋" w:cs="仿宋"/>
        </w:rPr>
        <w:br w:type="page"/>
      </w:r>
    </w:p>
    <w:p>
      <w:pPr>
        <w:pStyle w:val="4"/>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pPr>
        <w:autoSpaceDE w:val="0"/>
        <w:autoSpaceDN w:val="0"/>
        <w:adjustRightInd w:val="0"/>
        <w:snapToGrid w:val="0"/>
        <w:spacing w:line="312" w:lineRule="auto"/>
        <w:rPr>
          <w:rFonts w:hint="eastAsia" w:ascii="仿宋" w:hAnsi="仿宋" w:eastAsia="仿宋" w:cs="仿宋"/>
          <w:b/>
          <w:bCs/>
          <w:sz w:val="24"/>
          <w:lang w:val="zh-CN"/>
        </w:rPr>
      </w:pPr>
    </w:p>
    <w:p>
      <w:pPr>
        <w:autoSpaceDE w:val="0"/>
        <w:autoSpaceDN w:val="0"/>
        <w:adjustRightInd w:val="0"/>
        <w:snapToGrid w:val="0"/>
        <w:spacing w:line="312" w:lineRule="auto"/>
        <w:rPr>
          <w:rFonts w:hint="eastAsia" w:ascii="仿宋" w:hAnsi="仿宋" w:eastAsia="仿宋" w:cs="仿宋"/>
          <w:b/>
          <w:bCs/>
          <w:sz w:val="24"/>
          <w:lang w:val="zh-CN"/>
        </w:rPr>
      </w:pPr>
      <w:r>
        <w:rPr>
          <w:rFonts w:hint="eastAsia" w:ascii="仿宋" w:hAnsi="仿宋" w:eastAsia="仿宋" w:cs="仿宋"/>
          <w:b/>
          <w:bCs/>
          <w:sz w:val="24"/>
          <w:lang w:val="zh-CN"/>
        </w:rPr>
        <w:t>陕西省采购招标有限责任公司：</w:t>
      </w:r>
    </w:p>
    <w:p>
      <w:pPr>
        <w:pStyle w:val="23"/>
        <w:rPr>
          <w:rFonts w:hint="eastAsia"/>
        </w:rPr>
      </w:pP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我单位收到贵公司</w:t>
      </w:r>
      <w:r>
        <w:rPr>
          <w:rFonts w:hint="eastAsia" w:ascii="仿宋" w:hAnsi="仿宋" w:eastAsia="仿宋" w:cs="仿宋"/>
          <w:sz w:val="24"/>
          <w:u w:val="single"/>
          <w:lang w:val="zh-CN"/>
        </w:rPr>
        <w:t>（项目名称）</w:t>
      </w:r>
      <w:r>
        <w:rPr>
          <w:rFonts w:hint="eastAsia" w:ascii="仿宋" w:hAnsi="仿宋" w:eastAsia="仿宋" w:cs="仿宋"/>
          <w:sz w:val="24"/>
          <w:lang w:val="zh-CN"/>
        </w:rPr>
        <w:t>竞争性磋商文件，经详细研究，我们决定参加本次磋商活动。为此，我方郑重声明以下诸点，并负法律责任：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、愿意按照竞争性磋商文件中的要求，提供工程施工及相关货物、服务，完成合同的责任和义务。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rPr>
        <w:t xml:space="preserve">        </w:t>
      </w:r>
      <w:r>
        <w:rPr>
          <w:rFonts w:hint="eastAsia" w:ascii="仿宋" w:hAnsi="仿宋" w:eastAsia="仿宋" w:cs="仿宋"/>
          <w:sz w:val="24"/>
          <w:lang w:val="zh-CN"/>
        </w:rPr>
        <w:t>元），并对其后的磋商报价负法律责任。</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、我方上传电子响应文件。</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zh-CN"/>
        </w:rPr>
        <w:t>传</w:t>
      </w:r>
      <w:r>
        <w:rPr>
          <w:rFonts w:hint="eastAsia" w:ascii="仿宋" w:hAnsi="仿宋" w:eastAsia="仿宋" w:cs="仿宋"/>
          <w:sz w:val="24"/>
        </w:rPr>
        <w:t xml:space="preserve">    </w:t>
      </w:r>
      <w:r>
        <w:rPr>
          <w:rFonts w:hint="eastAsia" w:ascii="仿宋" w:hAnsi="仿宋" w:eastAsia="仿宋" w:cs="仿宋"/>
          <w:sz w:val="24"/>
          <w:lang w:val="zh-CN"/>
        </w:rPr>
        <w:t>真：</w:t>
      </w:r>
      <w:r>
        <w:rPr>
          <w:rFonts w:hint="eastAsia" w:ascii="仿宋" w:hAnsi="仿宋" w:eastAsia="仿宋" w:cs="仿宋"/>
          <w:sz w:val="24"/>
        </w:rPr>
        <w:t>________________</w:t>
      </w:r>
    </w:p>
    <w:p>
      <w:pPr>
        <w:pStyle w:val="23"/>
        <w:rPr>
          <w:rFonts w:hint="eastAsia" w:ascii="仿宋" w:hAnsi="仿宋" w:eastAsia="仿宋" w:cs="仿宋"/>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pStyle w:val="6"/>
        <w:ind w:firstLine="0" w:firstLineChars="0"/>
        <w:jc w:val="center"/>
        <w:rPr>
          <w:rFonts w:hint="eastAsia" w:ascii="仿宋" w:hAnsi="仿宋" w:eastAsia="仿宋" w:cs="仿宋"/>
        </w:rPr>
      </w:pPr>
      <w:bookmarkStart w:id="470" w:name="_Hlt520356241"/>
      <w:bookmarkEnd w:id="470"/>
      <w:bookmarkStart w:id="471" w:name="_Toc8496"/>
      <w:bookmarkStart w:id="472" w:name="_Toc232176284"/>
      <w:bookmarkStart w:id="473" w:name="_Toc256342154"/>
      <w:bookmarkStart w:id="474" w:name="_Toc249525252"/>
      <w:bookmarkStart w:id="475" w:name="_Toc249515371"/>
      <w:bookmarkStart w:id="476" w:name="_Toc230583554"/>
      <w:bookmarkStart w:id="477" w:name="_Toc230013640"/>
      <w:bookmarkStart w:id="478" w:name="_Toc232395224"/>
      <w:bookmarkStart w:id="479" w:name="_Toc230099805"/>
      <w:bookmarkStart w:id="480" w:name="_Toc415499901"/>
      <w:r>
        <w:rPr>
          <w:rFonts w:hint="eastAsia" w:ascii="仿宋" w:hAnsi="仿宋" w:eastAsia="仿宋" w:cs="仿宋"/>
        </w:rPr>
        <w:br w:type="page"/>
      </w:r>
    </w:p>
    <w:p>
      <w:pPr>
        <w:pStyle w:val="6"/>
        <w:ind w:firstLine="0" w:firstLineChars="0"/>
        <w:jc w:val="center"/>
        <w:rPr>
          <w:rFonts w:hint="eastAsia" w:ascii="仿宋" w:hAnsi="仿宋" w:eastAsia="仿宋" w:cs="仿宋"/>
        </w:rPr>
      </w:pPr>
    </w:p>
    <w:p>
      <w:pPr>
        <w:pStyle w:val="6"/>
        <w:ind w:firstLine="0" w:firstLineChars="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pPr>
        <w:pStyle w:val="5"/>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pPr>
              <w:pStyle w:val="29"/>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专业</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p>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职称证书</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pPr>
              <w:pStyle w:val="29"/>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pPr>
              <w:pStyle w:val="29"/>
              <w:spacing w:line="360" w:lineRule="auto"/>
              <w:jc w:val="center"/>
              <w:rPr>
                <w:rFonts w:hint="eastAsia" w:ascii="仿宋" w:hAnsi="仿宋" w:eastAsia="仿宋" w:cs="仿宋"/>
                <w:color w:val="auto"/>
                <w:sz w:val="24"/>
                <w:szCs w:val="24"/>
                <w:highlight w:val="none"/>
              </w:rPr>
            </w:pP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pPr>
              <w:spacing w:line="300" w:lineRule="auto"/>
              <w:jc w:val="center"/>
              <w:rPr>
                <w:rFonts w:hint="eastAsia" w:ascii="仿宋" w:hAnsi="仿宋" w:eastAsia="仿宋" w:cs="仿宋"/>
                <w:color w:val="auto"/>
                <w:sz w:val="24"/>
                <w:highlight w:val="none"/>
              </w:rPr>
            </w:pP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质保期</w:t>
            </w:r>
          </w:p>
        </w:tc>
        <w:tc>
          <w:tcPr>
            <w:tcW w:w="2994" w:type="pct"/>
            <w:noWrap w:val="0"/>
            <w:vAlign w:val="center"/>
          </w:tcPr>
          <w:p>
            <w:pPr>
              <w:spacing w:line="360" w:lineRule="auto"/>
              <w:jc w:val="center"/>
              <w:rPr>
                <w:rFonts w:hint="eastAsia" w:ascii="仿宋" w:hAnsi="仿宋" w:eastAsia="仿宋" w:cs="仿宋"/>
                <w:color w:val="auto"/>
                <w:sz w:val="24"/>
                <w:highlight w:val="none"/>
              </w:rPr>
            </w:pP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pPr>
              <w:spacing w:line="360" w:lineRule="auto"/>
              <w:jc w:val="center"/>
              <w:rPr>
                <w:rFonts w:hint="eastAsia" w:ascii="仿宋" w:hAnsi="仿宋" w:eastAsia="仿宋" w:cs="仿宋"/>
                <w:color w:val="auto"/>
                <w:sz w:val="24"/>
                <w:highlight w:val="none"/>
              </w:rPr>
            </w:pP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pPr>
              <w:jc w:val="center"/>
              <w:rPr>
                <w:rFonts w:hint="eastAsia" w:ascii="仿宋" w:hAnsi="仿宋" w:eastAsia="仿宋" w:cs="仿宋"/>
                <w:color w:val="auto"/>
                <w:sz w:val="24"/>
                <w:highlight w:val="none"/>
              </w:rPr>
            </w:pPr>
          </w:p>
        </w:tc>
      </w:tr>
    </w:tbl>
    <w:p>
      <w:pPr>
        <w:rPr>
          <w:rFonts w:hint="eastAsia" w:ascii="仿宋" w:hAnsi="仿宋" w:eastAsia="仿宋" w:cs="仿宋"/>
        </w:rPr>
      </w:pPr>
      <w:r>
        <w:rPr>
          <w:rFonts w:hint="eastAsia" w:ascii="仿宋" w:hAnsi="仿宋" w:eastAsia="仿宋" w:cs="仿宋"/>
          <w:sz w:val="24"/>
        </w:rPr>
        <w:br w:type="page"/>
      </w:r>
    </w:p>
    <w:p>
      <w:pPr>
        <w:pStyle w:val="4"/>
        <w:jc w:val="center"/>
        <w:rPr>
          <w:rFonts w:hint="eastAsia" w:ascii="仿宋" w:hAnsi="仿宋" w:eastAsia="仿宋" w:cs="仿宋"/>
          <w:b/>
          <w:bCs/>
        </w:rPr>
      </w:pPr>
      <w:r>
        <w:rPr>
          <w:rFonts w:hint="eastAsia" w:ascii="仿宋" w:hAnsi="仿宋" w:eastAsia="仿宋" w:cs="仿宋"/>
          <w:b/>
          <w:bCs/>
          <w:lang w:val="zh-CN"/>
        </w:rPr>
        <w:t>第二部分  磋商响应报价表</w:t>
      </w:r>
    </w:p>
    <w:p>
      <w:pPr>
        <w:autoSpaceDE w:val="0"/>
        <w:autoSpaceDN w:val="0"/>
        <w:adjustRightInd w:val="0"/>
        <w:snapToGrid w:val="0"/>
        <w:spacing w:line="360" w:lineRule="auto"/>
        <w:jc w:val="center"/>
        <w:rPr>
          <w:rFonts w:hint="eastAsia" w:ascii="仿宋" w:hAnsi="仿宋" w:eastAsia="仿宋" w:cs="仿宋"/>
          <w:b/>
          <w:bCs/>
          <w:sz w:val="32"/>
          <w:szCs w:val="32"/>
        </w:rPr>
      </w:pPr>
    </w:p>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3"/>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pPr>
              <w:pStyle w:val="23"/>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pPr>
              <w:pStyle w:val="23"/>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pPr>
              <w:pStyle w:val="23"/>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pPr>
              <w:pStyle w:val="23"/>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pPr>
              <w:pStyle w:val="23"/>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pPr>
              <w:pStyle w:val="23"/>
              <w:rPr>
                <w:rFonts w:hint="eastAsia" w:ascii="仿宋" w:hAnsi="仿宋" w:eastAsia="仿宋" w:cs="仿宋"/>
                <w:sz w:val="24"/>
              </w:rPr>
            </w:pPr>
          </w:p>
        </w:tc>
      </w:tr>
    </w:tbl>
    <w:p>
      <w:pPr>
        <w:pStyle w:val="23"/>
        <w:rPr>
          <w:rFonts w:hint="eastAsia" w:ascii="仿宋" w:hAnsi="仿宋" w:eastAsia="仿宋" w:cs="仿宋"/>
          <w:lang w:val="zh-CN"/>
        </w:rPr>
      </w:pPr>
    </w:p>
    <w:p>
      <w:pPr>
        <w:autoSpaceDE w:val="0"/>
        <w:autoSpaceDN w:val="0"/>
        <w:adjustRightInd w:val="0"/>
        <w:snapToGrid w:val="0"/>
        <w:spacing w:line="360" w:lineRule="auto"/>
        <w:ind w:firstLine="960" w:firstLineChars="400"/>
        <w:rPr>
          <w:rFonts w:hint="eastAsia" w:ascii="仿宋" w:hAnsi="仿宋" w:eastAsia="仿宋" w:cs="仿宋"/>
          <w:sz w:val="24"/>
          <w:lang w:val="zh-CN"/>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adjustRightInd w:val="0"/>
        <w:snapToGrid w:val="0"/>
        <w:spacing w:line="360" w:lineRule="auto"/>
        <w:jc w:val="center"/>
        <w:rPr>
          <w:rFonts w:hint="eastAsia" w:ascii="仿宋" w:hAnsi="仿宋" w:eastAsia="仿宋" w:cs="仿宋"/>
          <w:b/>
          <w:sz w:val="42"/>
        </w:rPr>
      </w:pPr>
    </w:p>
    <w:p>
      <w:pPr>
        <w:adjustRightInd w:val="0"/>
        <w:snapToGrid w:val="0"/>
        <w:spacing w:line="360" w:lineRule="auto"/>
        <w:jc w:val="center"/>
        <w:rPr>
          <w:rFonts w:hint="eastAsia" w:ascii="仿宋" w:hAnsi="仿宋" w:eastAsia="仿宋" w:cs="仿宋"/>
          <w:b/>
          <w:sz w:val="42"/>
        </w:rPr>
        <w:sectPr>
          <w:footerReference r:id="rId6" w:type="default"/>
          <w:pgSz w:w="11906" w:h="16838"/>
          <w:pgMar w:top="1418" w:right="1418" w:bottom="1418" w:left="1418" w:header="851" w:footer="992" w:gutter="0"/>
          <w:pgNumType w:start="1"/>
          <w:cols w:space="720" w:num="1"/>
          <w:docGrid w:linePitch="312" w:charSpace="0"/>
        </w:sectPr>
      </w:pPr>
    </w:p>
    <w:p>
      <w:pPr>
        <w:pStyle w:val="6"/>
        <w:ind w:firstLine="0" w:firstLineChars="0"/>
        <w:jc w:val="center"/>
        <w:rPr>
          <w:rFonts w:hint="eastAsia" w:ascii="仿宋" w:hAnsi="仿宋" w:eastAsia="仿宋" w:cs="仿宋"/>
          <w:b/>
          <w:bCs/>
          <w:color w:val="auto"/>
          <w:sz w:val="32"/>
          <w:szCs w:val="32"/>
          <w:highlight w:val="none"/>
        </w:rPr>
      </w:pPr>
      <w:bookmarkStart w:id="481" w:name="_Toc106124285"/>
      <w:bookmarkStart w:id="482" w:name="_Toc106124378"/>
      <w:r>
        <w:rPr>
          <w:rFonts w:hint="eastAsia" w:ascii="仿宋" w:hAnsi="仿宋" w:eastAsia="仿宋" w:cs="仿宋"/>
          <w:b/>
          <w:bCs/>
          <w:color w:val="auto"/>
          <w:sz w:val="32"/>
          <w:szCs w:val="32"/>
          <w:highlight w:val="none"/>
        </w:rPr>
        <w:t>已标价工程量清单</w:t>
      </w:r>
      <w:bookmarkEnd w:id="481"/>
      <w:bookmarkEnd w:id="482"/>
    </w:p>
    <w:p>
      <w:pPr>
        <w:pStyle w:val="77"/>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6、投标报价应与工程量清单的报价汇总表数字一致。精确到元.角.分。</w:t>
      </w:r>
    </w:p>
    <w:p>
      <w:pPr>
        <w:pStyle w:val="77"/>
        <w:spacing w:line="360" w:lineRule="auto"/>
        <w:ind w:firstLine="480" w:firstLineChars="200"/>
        <w:jc w:val="both"/>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2、已标价工程量清单</w:t>
      </w:r>
      <w:r>
        <w:rPr>
          <w:rFonts w:hint="eastAsia" w:ascii="仿宋" w:hAnsi="仿宋" w:eastAsia="仿宋" w:cs="仿宋"/>
          <w:bCs/>
          <w:color w:val="auto"/>
          <w:sz w:val="24"/>
          <w:szCs w:val="24"/>
          <w:highlight w:val="none"/>
          <w:lang w:eastAsia="zh-CN"/>
        </w:rPr>
        <w:t>（以外附的</w:t>
      </w:r>
      <w:r>
        <w:rPr>
          <w:rFonts w:hint="eastAsia" w:ascii="仿宋" w:hAnsi="仿宋" w:eastAsia="仿宋" w:cs="仿宋"/>
          <w:bCs/>
          <w:color w:val="auto"/>
          <w:sz w:val="24"/>
          <w:szCs w:val="24"/>
          <w:highlight w:val="none"/>
          <w:lang w:val="en-US" w:eastAsia="zh-CN"/>
        </w:rPr>
        <w:t>Excel工程量清单格式为准</w:t>
      </w:r>
      <w:r>
        <w:rPr>
          <w:rFonts w:hint="eastAsia" w:ascii="仿宋" w:hAnsi="仿宋" w:eastAsia="仿宋" w:cs="仿宋"/>
          <w:bCs/>
          <w:color w:val="auto"/>
          <w:sz w:val="24"/>
          <w:szCs w:val="24"/>
          <w:highlight w:val="none"/>
          <w:lang w:eastAsia="zh-CN"/>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要求必须具有如下内容：</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投标报价汇总表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分部分项工程量清单计价表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措施项目清单计价表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其它项目清单计价表 </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分部分项工程量清单综合单价分析表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措施项目费（综合计价）分析表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主要材料价格表</w:t>
      </w:r>
    </w:p>
    <w:p>
      <w:pPr>
        <w:pStyle w:val="5"/>
        <w:rPr>
          <w:rFonts w:hint="eastAsia" w:ascii="仿宋" w:hAnsi="仿宋" w:eastAsia="仿宋" w:cs="仿宋"/>
        </w:rPr>
      </w:pPr>
    </w:p>
    <w:p>
      <w:pPr>
        <w:spacing w:line="360" w:lineRule="auto"/>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pPr>
        <w:pStyle w:val="29"/>
        <w:tabs>
          <w:tab w:val="left" w:pos="5580"/>
        </w:tabs>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rPr>
        <w:t>日    期：</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pPr>
        <w:spacing w:line="360" w:lineRule="auto"/>
        <w:ind w:firstLine="1680" w:firstLineChars="800"/>
        <w:rPr>
          <w:rFonts w:hint="eastAsia" w:ascii="仿宋" w:hAnsi="仿宋" w:eastAsia="仿宋" w:cs="仿宋"/>
          <w:kern w:val="0"/>
          <w:sz w:val="24"/>
          <w:u w:val="single"/>
        </w:rPr>
      </w:pPr>
      <w:r>
        <w:rPr>
          <w:rFonts w:hint="eastAsia" w:ascii="仿宋" w:hAnsi="仿宋" w:eastAsia="仿宋" w:cs="仿宋"/>
          <w:szCs w:val="28"/>
        </w:rPr>
        <w:br w:type="page"/>
      </w:r>
    </w:p>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71"/>
    <w:bookmarkEnd w:id="472"/>
    <w:bookmarkEnd w:id="473"/>
    <w:bookmarkEnd w:id="474"/>
    <w:bookmarkEnd w:id="475"/>
    <w:bookmarkEnd w:id="476"/>
    <w:bookmarkEnd w:id="477"/>
    <w:bookmarkEnd w:id="478"/>
    <w:bookmarkEnd w:id="479"/>
    <w:bookmarkEnd w:id="480"/>
    <w:p>
      <w:pPr>
        <w:pStyle w:val="4"/>
        <w:jc w:val="center"/>
        <w:rPr>
          <w:rFonts w:hint="eastAsia" w:ascii="仿宋" w:hAnsi="仿宋" w:eastAsia="仿宋" w:cs="仿宋"/>
          <w:b/>
          <w:bCs/>
        </w:rPr>
      </w:pPr>
      <w:bookmarkStart w:id="483" w:name="_Toc385992402"/>
      <w:bookmarkStart w:id="484" w:name="_Toc500747011"/>
      <w:bookmarkStart w:id="485" w:name="_Toc70687203"/>
      <w:bookmarkStart w:id="486" w:name="_Toc232176285"/>
      <w:bookmarkStart w:id="487" w:name="_Toc492955460"/>
      <w:bookmarkStart w:id="488" w:name="_Toc500747107"/>
      <w:bookmarkStart w:id="489" w:name="_Toc496324624"/>
      <w:bookmarkStart w:id="490" w:name="_Toc83547687"/>
      <w:bookmarkStart w:id="491" w:name="_Toc176882553"/>
      <w:bookmarkStart w:id="492" w:name="_Toc232395225"/>
      <w:bookmarkStart w:id="493" w:name="_Toc53722866"/>
      <w:bookmarkStart w:id="494" w:name="_Toc177995484"/>
      <w:bookmarkStart w:id="495" w:name="_Toc256342155"/>
      <w:bookmarkStart w:id="496" w:name="_Toc230583555"/>
      <w:bookmarkStart w:id="497" w:name="_Toc230013641"/>
      <w:bookmarkStart w:id="498" w:name="_Toc499711088"/>
      <w:bookmarkStart w:id="499" w:name="_Toc230099806"/>
      <w:bookmarkStart w:id="500" w:name="_Toc225933091"/>
      <w:bookmarkStart w:id="501" w:name="_Toc184043059"/>
      <w:bookmarkStart w:id="502" w:name="_Toc499711929"/>
      <w:bookmarkStart w:id="503" w:name="_Toc389620242"/>
      <w:bookmarkStart w:id="504" w:name="_Toc177817345"/>
      <w:bookmarkStart w:id="505" w:name="_Toc249515372"/>
      <w:bookmarkStart w:id="506" w:name="_Toc503063459"/>
      <w:bookmarkStart w:id="507" w:name="_Toc249525253"/>
      <w:bookmarkStart w:id="508" w:name="_Toc415499902"/>
      <w:bookmarkStart w:id="509" w:name="_Toc177189246"/>
      <w:bookmarkStart w:id="510" w:name="_Toc500747234"/>
      <w:r>
        <w:rPr>
          <w:rFonts w:hint="eastAsia" w:ascii="仿宋" w:hAnsi="仿宋" w:eastAsia="仿宋" w:cs="仿宋"/>
          <w:b/>
          <w:bCs/>
        </w:rPr>
        <w:t>第三部分  偏离表</w:t>
      </w:r>
    </w:p>
    <w:p>
      <w:pPr>
        <w:rPr>
          <w:rFonts w:hint="eastAsia" w:ascii="仿宋" w:hAnsi="仿宋" w:eastAsia="仿宋" w:cs="仿宋"/>
        </w:rPr>
      </w:pPr>
    </w:p>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pPr>
        <w:pStyle w:val="23"/>
        <w:rPr>
          <w:rFonts w:hint="eastAsia" w:ascii="仿宋" w:hAnsi="仿宋" w:eastAsia="仿宋" w:cs="仿宋"/>
          <w:sz w:val="24"/>
        </w:rPr>
      </w:pPr>
      <w:r>
        <w:rPr>
          <w:rFonts w:hint="eastAsia" w:ascii="仿宋" w:hAnsi="仿宋" w:eastAsia="仿宋" w:cs="仿宋"/>
          <w:sz w:val="24"/>
        </w:rPr>
        <w:t>项目编号：</w:t>
      </w:r>
    </w:p>
    <w:p>
      <w:pPr>
        <w:pStyle w:val="23"/>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pPr>
              <w:pStyle w:val="29"/>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pPr>
              <w:pStyle w:val="29"/>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pPr>
              <w:pStyle w:val="29"/>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pPr>
              <w:pStyle w:val="29"/>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pPr>
              <w:pStyle w:val="29"/>
              <w:jc w:val="center"/>
              <w:rPr>
                <w:rFonts w:hint="eastAsia" w:ascii="仿宋" w:hAnsi="仿宋" w:eastAsia="仿宋" w:cs="仿宋"/>
                <w:sz w:val="24"/>
                <w:szCs w:val="24"/>
              </w:rPr>
            </w:pPr>
            <w:r>
              <w:rPr>
                <w:rFonts w:hint="eastAsia" w:ascii="仿宋" w:hAnsi="仿宋" w:eastAsia="仿宋" w:cs="仿宋"/>
                <w:sz w:val="24"/>
                <w:szCs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jc w:val="center"/>
              <w:rPr>
                <w:rFonts w:hint="eastAsia" w:ascii="仿宋" w:hAnsi="仿宋" w:eastAsia="仿宋" w:cs="仿宋"/>
                <w:sz w:val="24"/>
                <w:szCs w:val="24"/>
              </w:rPr>
            </w:pPr>
          </w:p>
        </w:tc>
        <w:tc>
          <w:tcPr>
            <w:tcW w:w="2835" w:type="dxa"/>
          </w:tcPr>
          <w:p>
            <w:pPr>
              <w:pStyle w:val="29"/>
              <w:jc w:val="center"/>
              <w:rPr>
                <w:rFonts w:hint="eastAsia" w:ascii="仿宋" w:hAnsi="仿宋" w:eastAsia="仿宋" w:cs="仿宋"/>
                <w:sz w:val="24"/>
                <w:szCs w:val="24"/>
              </w:rPr>
            </w:pPr>
            <w:r>
              <w:rPr>
                <w:rFonts w:hint="eastAsia" w:ascii="仿宋" w:hAnsi="仿宋" w:eastAsia="仿宋" w:cs="仿宋"/>
                <w:sz w:val="24"/>
                <w:szCs w:val="24"/>
              </w:rPr>
              <w:t>建设地点</w:t>
            </w:r>
          </w:p>
        </w:tc>
        <w:tc>
          <w:tcPr>
            <w:tcW w:w="1701" w:type="dxa"/>
          </w:tcPr>
          <w:p>
            <w:pPr>
              <w:pStyle w:val="29"/>
              <w:jc w:val="center"/>
              <w:rPr>
                <w:rFonts w:hint="eastAsia" w:ascii="仿宋" w:hAnsi="仿宋" w:eastAsia="仿宋" w:cs="仿宋"/>
                <w:sz w:val="24"/>
                <w:szCs w:val="24"/>
              </w:rPr>
            </w:pPr>
          </w:p>
        </w:tc>
        <w:tc>
          <w:tcPr>
            <w:tcW w:w="1417" w:type="dxa"/>
          </w:tcPr>
          <w:p>
            <w:pPr>
              <w:pStyle w:val="29"/>
              <w:jc w:val="center"/>
              <w:rPr>
                <w:rFonts w:hint="eastAsia" w:ascii="仿宋" w:hAnsi="仿宋" w:eastAsia="仿宋" w:cs="仿宋"/>
                <w:sz w:val="24"/>
                <w:szCs w:val="24"/>
              </w:rPr>
            </w:pPr>
          </w:p>
        </w:tc>
        <w:tc>
          <w:tcPr>
            <w:tcW w:w="2195" w:type="dxa"/>
          </w:tcPr>
          <w:p>
            <w:pPr>
              <w:pStyle w:val="29"/>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工期</w:t>
            </w:r>
          </w:p>
        </w:tc>
        <w:tc>
          <w:tcPr>
            <w:tcW w:w="1701" w:type="dxa"/>
          </w:tcPr>
          <w:p>
            <w:pPr>
              <w:pStyle w:val="29"/>
              <w:ind w:left="1080" w:leftChars="257" w:hanging="540"/>
              <w:jc w:val="center"/>
              <w:rPr>
                <w:rFonts w:hint="eastAsia" w:ascii="仿宋" w:hAnsi="仿宋" w:eastAsia="仿宋" w:cs="仿宋"/>
                <w:sz w:val="24"/>
                <w:szCs w:val="24"/>
              </w:rPr>
            </w:pPr>
          </w:p>
        </w:tc>
        <w:tc>
          <w:tcPr>
            <w:tcW w:w="1417" w:type="dxa"/>
          </w:tcPr>
          <w:p>
            <w:pPr>
              <w:pStyle w:val="29"/>
              <w:ind w:left="1080" w:leftChars="257" w:hanging="540"/>
              <w:jc w:val="center"/>
              <w:rPr>
                <w:rFonts w:hint="eastAsia" w:ascii="仿宋" w:hAnsi="仿宋" w:eastAsia="仿宋" w:cs="仿宋"/>
                <w:sz w:val="24"/>
                <w:szCs w:val="24"/>
              </w:rPr>
            </w:pPr>
          </w:p>
        </w:tc>
        <w:tc>
          <w:tcPr>
            <w:tcW w:w="2195" w:type="dxa"/>
          </w:tcPr>
          <w:p>
            <w:pPr>
              <w:pStyle w:val="29"/>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工程质量</w:t>
            </w:r>
          </w:p>
        </w:tc>
        <w:tc>
          <w:tcPr>
            <w:tcW w:w="1701" w:type="dxa"/>
          </w:tcPr>
          <w:p>
            <w:pPr>
              <w:pStyle w:val="29"/>
              <w:ind w:left="1080" w:leftChars="257" w:hanging="540"/>
              <w:rPr>
                <w:rFonts w:hint="eastAsia" w:ascii="仿宋" w:hAnsi="仿宋" w:eastAsia="仿宋" w:cs="仿宋"/>
                <w:sz w:val="24"/>
                <w:szCs w:val="24"/>
              </w:rPr>
            </w:pPr>
          </w:p>
        </w:tc>
        <w:tc>
          <w:tcPr>
            <w:tcW w:w="1417" w:type="dxa"/>
          </w:tcPr>
          <w:p>
            <w:pPr>
              <w:pStyle w:val="29"/>
              <w:ind w:left="1080" w:leftChars="257" w:hanging="540"/>
              <w:rPr>
                <w:rFonts w:hint="eastAsia" w:ascii="仿宋" w:hAnsi="仿宋" w:eastAsia="仿宋" w:cs="仿宋"/>
                <w:sz w:val="24"/>
                <w:szCs w:val="24"/>
              </w:rPr>
            </w:pPr>
          </w:p>
        </w:tc>
        <w:tc>
          <w:tcPr>
            <w:tcW w:w="2195" w:type="dxa"/>
          </w:tcPr>
          <w:p>
            <w:pPr>
              <w:pStyle w:val="29"/>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质保期</w:t>
            </w:r>
          </w:p>
        </w:tc>
        <w:tc>
          <w:tcPr>
            <w:tcW w:w="1701" w:type="dxa"/>
          </w:tcPr>
          <w:p>
            <w:pPr>
              <w:pStyle w:val="29"/>
              <w:ind w:left="1080" w:leftChars="257" w:hanging="540"/>
              <w:rPr>
                <w:rFonts w:hint="eastAsia" w:ascii="仿宋" w:hAnsi="仿宋" w:eastAsia="仿宋" w:cs="仿宋"/>
                <w:sz w:val="24"/>
                <w:szCs w:val="24"/>
              </w:rPr>
            </w:pPr>
          </w:p>
        </w:tc>
        <w:tc>
          <w:tcPr>
            <w:tcW w:w="1417" w:type="dxa"/>
          </w:tcPr>
          <w:p>
            <w:pPr>
              <w:pStyle w:val="29"/>
              <w:ind w:left="1080" w:leftChars="257" w:hanging="540"/>
              <w:rPr>
                <w:rFonts w:hint="eastAsia" w:ascii="仿宋" w:hAnsi="仿宋" w:eastAsia="仿宋" w:cs="仿宋"/>
                <w:sz w:val="24"/>
                <w:szCs w:val="24"/>
              </w:rPr>
            </w:pPr>
          </w:p>
        </w:tc>
        <w:tc>
          <w:tcPr>
            <w:tcW w:w="2195" w:type="dxa"/>
          </w:tcPr>
          <w:p>
            <w:pPr>
              <w:pStyle w:val="29"/>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项目经理</w:t>
            </w:r>
          </w:p>
        </w:tc>
        <w:tc>
          <w:tcPr>
            <w:tcW w:w="1701" w:type="dxa"/>
          </w:tcPr>
          <w:p>
            <w:pPr>
              <w:pStyle w:val="29"/>
              <w:ind w:left="1080" w:leftChars="257" w:hanging="540"/>
              <w:rPr>
                <w:rFonts w:hint="eastAsia" w:ascii="仿宋" w:hAnsi="仿宋" w:eastAsia="仿宋" w:cs="仿宋"/>
                <w:sz w:val="24"/>
                <w:szCs w:val="24"/>
              </w:rPr>
            </w:pPr>
          </w:p>
        </w:tc>
        <w:tc>
          <w:tcPr>
            <w:tcW w:w="1417" w:type="dxa"/>
          </w:tcPr>
          <w:p>
            <w:pPr>
              <w:pStyle w:val="29"/>
              <w:ind w:left="1080" w:leftChars="257" w:hanging="540"/>
              <w:rPr>
                <w:rFonts w:hint="eastAsia" w:ascii="仿宋" w:hAnsi="仿宋" w:eastAsia="仿宋" w:cs="仿宋"/>
                <w:sz w:val="24"/>
                <w:szCs w:val="24"/>
              </w:rPr>
            </w:pPr>
          </w:p>
        </w:tc>
        <w:tc>
          <w:tcPr>
            <w:tcW w:w="2195" w:type="dxa"/>
          </w:tcPr>
          <w:p>
            <w:pPr>
              <w:pStyle w:val="29"/>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付款比例</w:t>
            </w:r>
          </w:p>
        </w:tc>
        <w:tc>
          <w:tcPr>
            <w:tcW w:w="1701" w:type="dxa"/>
          </w:tcPr>
          <w:p>
            <w:pPr>
              <w:pStyle w:val="29"/>
              <w:ind w:left="1080" w:leftChars="257" w:hanging="540"/>
              <w:rPr>
                <w:rFonts w:hint="eastAsia" w:ascii="仿宋" w:hAnsi="仿宋" w:eastAsia="仿宋" w:cs="仿宋"/>
                <w:sz w:val="24"/>
                <w:szCs w:val="24"/>
              </w:rPr>
            </w:pPr>
          </w:p>
        </w:tc>
        <w:tc>
          <w:tcPr>
            <w:tcW w:w="1417" w:type="dxa"/>
          </w:tcPr>
          <w:p>
            <w:pPr>
              <w:pStyle w:val="29"/>
              <w:ind w:left="1080" w:leftChars="257" w:hanging="540"/>
              <w:rPr>
                <w:rFonts w:hint="eastAsia" w:ascii="仿宋" w:hAnsi="仿宋" w:eastAsia="仿宋" w:cs="仿宋"/>
                <w:sz w:val="24"/>
                <w:szCs w:val="24"/>
              </w:rPr>
            </w:pPr>
          </w:p>
        </w:tc>
        <w:tc>
          <w:tcPr>
            <w:tcW w:w="2195" w:type="dxa"/>
          </w:tcPr>
          <w:p>
            <w:pPr>
              <w:pStyle w:val="29"/>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sz w:val="24"/>
              </w:rPr>
              <w:t>磋商保证金</w:t>
            </w:r>
          </w:p>
        </w:tc>
        <w:tc>
          <w:tcPr>
            <w:tcW w:w="1701" w:type="dxa"/>
          </w:tcPr>
          <w:p>
            <w:pPr>
              <w:pStyle w:val="29"/>
              <w:ind w:left="1080" w:leftChars="257" w:hanging="540"/>
              <w:rPr>
                <w:rFonts w:hint="eastAsia" w:ascii="仿宋" w:hAnsi="仿宋" w:eastAsia="仿宋" w:cs="仿宋"/>
                <w:sz w:val="24"/>
                <w:szCs w:val="24"/>
              </w:rPr>
            </w:pPr>
          </w:p>
        </w:tc>
        <w:tc>
          <w:tcPr>
            <w:tcW w:w="1417" w:type="dxa"/>
          </w:tcPr>
          <w:p>
            <w:pPr>
              <w:pStyle w:val="29"/>
              <w:ind w:left="1080" w:leftChars="257" w:hanging="540"/>
              <w:rPr>
                <w:rFonts w:hint="eastAsia" w:ascii="仿宋" w:hAnsi="仿宋" w:eastAsia="仿宋" w:cs="仿宋"/>
                <w:sz w:val="24"/>
                <w:szCs w:val="24"/>
              </w:rPr>
            </w:pPr>
          </w:p>
        </w:tc>
        <w:tc>
          <w:tcPr>
            <w:tcW w:w="2195" w:type="dxa"/>
          </w:tcPr>
          <w:p>
            <w:pPr>
              <w:pStyle w:val="29"/>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sz w:val="24"/>
                <w:szCs w:val="24"/>
              </w:rPr>
            </w:pPr>
          </w:p>
        </w:tc>
        <w:tc>
          <w:tcPr>
            <w:tcW w:w="2835" w:type="dxa"/>
          </w:tcPr>
          <w:p>
            <w:pPr>
              <w:pStyle w:val="29"/>
              <w:ind w:left="1080" w:leftChars="257" w:hanging="540"/>
              <w:rPr>
                <w:rFonts w:hint="eastAsia" w:ascii="仿宋" w:hAnsi="仿宋" w:eastAsia="仿宋" w:cs="仿宋"/>
                <w:sz w:val="24"/>
                <w:szCs w:val="24"/>
              </w:rPr>
            </w:pPr>
            <w:r>
              <w:rPr>
                <w:rFonts w:hint="eastAsia" w:ascii="仿宋" w:hAnsi="仿宋" w:eastAsia="仿宋" w:cs="仿宋"/>
                <w:sz w:val="24"/>
                <w:szCs w:val="24"/>
              </w:rPr>
              <w:t>响应文件有效期</w:t>
            </w:r>
          </w:p>
        </w:tc>
        <w:tc>
          <w:tcPr>
            <w:tcW w:w="1701" w:type="dxa"/>
          </w:tcPr>
          <w:p>
            <w:pPr>
              <w:pStyle w:val="29"/>
              <w:ind w:left="1080" w:leftChars="257" w:hanging="540"/>
              <w:rPr>
                <w:rFonts w:hint="eastAsia" w:ascii="仿宋" w:hAnsi="仿宋" w:eastAsia="仿宋" w:cs="仿宋"/>
                <w:sz w:val="24"/>
                <w:szCs w:val="24"/>
              </w:rPr>
            </w:pPr>
          </w:p>
        </w:tc>
        <w:tc>
          <w:tcPr>
            <w:tcW w:w="1417" w:type="dxa"/>
          </w:tcPr>
          <w:p>
            <w:pPr>
              <w:pStyle w:val="29"/>
              <w:ind w:left="1080" w:leftChars="257" w:hanging="540"/>
              <w:rPr>
                <w:rFonts w:hint="eastAsia" w:ascii="仿宋" w:hAnsi="仿宋" w:eastAsia="仿宋" w:cs="仿宋"/>
                <w:sz w:val="24"/>
                <w:szCs w:val="24"/>
              </w:rPr>
            </w:pPr>
          </w:p>
        </w:tc>
        <w:tc>
          <w:tcPr>
            <w:tcW w:w="2195" w:type="dxa"/>
          </w:tcPr>
          <w:p>
            <w:pPr>
              <w:pStyle w:val="29"/>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sz w:val="24"/>
                <w:szCs w:val="24"/>
              </w:rPr>
            </w:pPr>
          </w:p>
        </w:tc>
        <w:tc>
          <w:tcPr>
            <w:tcW w:w="2835" w:type="dxa"/>
          </w:tcPr>
          <w:p>
            <w:pPr>
              <w:pStyle w:val="29"/>
              <w:ind w:left="1080" w:leftChars="257" w:hanging="540"/>
              <w:rPr>
                <w:rFonts w:hint="eastAsia" w:ascii="仿宋" w:hAnsi="仿宋" w:eastAsia="仿宋" w:cs="仿宋"/>
                <w:sz w:val="24"/>
                <w:szCs w:val="24"/>
              </w:rPr>
            </w:pPr>
            <w:r>
              <w:rPr>
                <w:rFonts w:hint="eastAsia" w:ascii="仿宋" w:hAnsi="仿宋" w:eastAsia="仿宋" w:cs="仿宋"/>
                <w:sz w:val="24"/>
                <w:szCs w:val="24"/>
              </w:rPr>
              <w:t>……</w:t>
            </w:r>
          </w:p>
        </w:tc>
        <w:tc>
          <w:tcPr>
            <w:tcW w:w="1701" w:type="dxa"/>
          </w:tcPr>
          <w:p>
            <w:pPr>
              <w:pStyle w:val="29"/>
              <w:ind w:left="1080" w:leftChars="257" w:hanging="540"/>
              <w:rPr>
                <w:rFonts w:hint="eastAsia" w:ascii="仿宋" w:hAnsi="仿宋" w:eastAsia="仿宋" w:cs="仿宋"/>
                <w:sz w:val="24"/>
                <w:szCs w:val="24"/>
              </w:rPr>
            </w:pPr>
          </w:p>
        </w:tc>
        <w:tc>
          <w:tcPr>
            <w:tcW w:w="1417" w:type="dxa"/>
          </w:tcPr>
          <w:p>
            <w:pPr>
              <w:pStyle w:val="29"/>
              <w:ind w:left="1080" w:leftChars="257" w:hanging="540"/>
              <w:rPr>
                <w:rFonts w:hint="eastAsia" w:ascii="仿宋" w:hAnsi="仿宋" w:eastAsia="仿宋" w:cs="仿宋"/>
                <w:sz w:val="24"/>
                <w:szCs w:val="24"/>
              </w:rPr>
            </w:pPr>
          </w:p>
        </w:tc>
        <w:tc>
          <w:tcPr>
            <w:tcW w:w="2195" w:type="dxa"/>
          </w:tcPr>
          <w:p>
            <w:pPr>
              <w:pStyle w:val="29"/>
              <w:ind w:left="1080" w:leftChars="257" w:hanging="540"/>
              <w:rPr>
                <w:rFonts w:hint="eastAsia" w:ascii="仿宋" w:hAnsi="仿宋" w:eastAsia="仿宋" w:cs="仿宋"/>
                <w:sz w:val="24"/>
                <w:szCs w:val="24"/>
              </w:rPr>
            </w:pPr>
          </w:p>
        </w:tc>
      </w:tr>
    </w:tbl>
    <w:p>
      <w:pPr>
        <w:pStyle w:val="29"/>
        <w:ind w:left="1080" w:leftChars="257" w:hanging="540"/>
        <w:rPr>
          <w:rFonts w:hint="eastAsia" w:ascii="仿宋" w:hAnsi="仿宋" w:eastAsia="仿宋" w:cs="仿宋"/>
          <w:sz w:val="24"/>
          <w:szCs w:val="24"/>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pPr>
        <w:pStyle w:val="29"/>
        <w:ind w:left="1080" w:leftChars="257" w:hanging="540"/>
        <w:rPr>
          <w:rFonts w:hint="eastAsia" w:ascii="仿宋" w:hAnsi="仿宋" w:eastAsia="仿宋" w:cs="仿宋"/>
          <w:sz w:val="24"/>
          <w:szCs w:val="24"/>
        </w:rPr>
      </w:pPr>
    </w:p>
    <w:p>
      <w:pPr>
        <w:rPr>
          <w:rFonts w:hint="eastAsia" w:ascii="仿宋" w:hAnsi="仿宋" w:eastAsia="仿宋" w:cs="仿宋"/>
          <w:b/>
          <w:bCs/>
          <w:sz w:val="28"/>
          <w:szCs w:val="36"/>
        </w:rPr>
      </w:pPr>
      <w:bookmarkStart w:id="511" w:name="_Toc414445775"/>
      <w:bookmarkStart w:id="512" w:name="_Toc7005136"/>
      <w:bookmarkStart w:id="513" w:name="_Toc410631184"/>
      <w:bookmarkStart w:id="514" w:name="_Toc416103825"/>
      <w:r>
        <w:rPr>
          <w:rFonts w:hint="eastAsia" w:ascii="仿宋" w:hAnsi="仿宋" w:eastAsia="仿宋" w:cs="仿宋"/>
          <w:b/>
          <w:bCs/>
          <w:sz w:val="28"/>
          <w:szCs w:val="36"/>
        </w:rPr>
        <w:br w:type="page"/>
      </w:r>
    </w:p>
    <w:p>
      <w:pPr>
        <w:pStyle w:val="6"/>
        <w:jc w:val="center"/>
        <w:rPr>
          <w:rFonts w:hint="eastAsia" w:ascii="仿宋" w:hAnsi="仿宋" w:eastAsia="仿宋" w:cs="仿宋"/>
        </w:rPr>
      </w:pPr>
      <w:r>
        <w:rPr>
          <w:rFonts w:hint="eastAsia" w:ascii="仿宋" w:hAnsi="仿宋" w:eastAsia="仿宋" w:cs="仿宋"/>
          <w:b/>
          <w:bCs/>
          <w:sz w:val="28"/>
          <w:szCs w:val="36"/>
        </w:rPr>
        <w:t>二、技术偏离表</w:t>
      </w:r>
      <w:bookmarkEnd w:id="511"/>
      <w:bookmarkEnd w:id="512"/>
      <w:bookmarkEnd w:id="513"/>
      <w:bookmarkEnd w:id="514"/>
    </w:p>
    <w:p>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3"/>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262"/>
        <w:gridCol w:w="875"/>
        <w:gridCol w:w="2774"/>
        <w:gridCol w:w="2127"/>
        <w:gridCol w:w="1417"/>
        <w:gridCol w:w="10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262"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75"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774"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262" w:type="dxa"/>
            <w:vAlign w:val="center"/>
          </w:tcPr>
          <w:p>
            <w:pPr>
              <w:widowControl/>
              <w:adjustRightInd w:val="0"/>
              <w:snapToGrid w:val="0"/>
              <w:jc w:val="center"/>
              <w:rPr>
                <w:rFonts w:hint="eastAsia" w:ascii="仿宋" w:hAnsi="仿宋" w:eastAsia="仿宋" w:cs="仿宋"/>
                <w:sz w:val="24"/>
              </w:rPr>
            </w:pPr>
          </w:p>
        </w:tc>
        <w:tc>
          <w:tcPr>
            <w:tcW w:w="875" w:type="dxa"/>
          </w:tcPr>
          <w:p>
            <w:pPr>
              <w:spacing w:line="400" w:lineRule="exact"/>
              <w:rPr>
                <w:rFonts w:hint="eastAsia" w:ascii="仿宋" w:hAnsi="仿宋" w:eastAsia="仿宋" w:cs="仿宋"/>
                <w:sz w:val="24"/>
              </w:rPr>
            </w:pPr>
          </w:p>
        </w:tc>
        <w:tc>
          <w:tcPr>
            <w:tcW w:w="2774"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262" w:type="dxa"/>
            <w:vAlign w:val="center"/>
          </w:tcPr>
          <w:p>
            <w:pPr>
              <w:widowControl/>
              <w:adjustRightInd w:val="0"/>
              <w:snapToGrid w:val="0"/>
              <w:jc w:val="center"/>
              <w:rPr>
                <w:rFonts w:hint="eastAsia" w:ascii="仿宋" w:hAnsi="仿宋" w:eastAsia="仿宋" w:cs="仿宋"/>
                <w:sz w:val="24"/>
              </w:rPr>
            </w:pPr>
          </w:p>
        </w:tc>
        <w:tc>
          <w:tcPr>
            <w:tcW w:w="875" w:type="dxa"/>
          </w:tcPr>
          <w:p>
            <w:pPr>
              <w:spacing w:line="400" w:lineRule="exact"/>
              <w:rPr>
                <w:rFonts w:hint="eastAsia" w:ascii="仿宋" w:hAnsi="仿宋" w:eastAsia="仿宋" w:cs="仿宋"/>
                <w:sz w:val="24"/>
              </w:rPr>
            </w:pPr>
          </w:p>
        </w:tc>
        <w:tc>
          <w:tcPr>
            <w:tcW w:w="2774"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262" w:type="dxa"/>
            <w:vAlign w:val="center"/>
          </w:tcPr>
          <w:p>
            <w:pPr>
              <w:widowControl/>
              <w:adjustRightInd w:val="0"/>
              <w:snapToGrid w:val="0"/>
              <w:jc w:val="center"/>
              <w:rPr>
                <w:rFonts w:hint="eastAsia" w:ascii="仿宋" w:hAnsi="仿宋" w:eastAsia="仿宋" w:cs="仿宋"/>
                <w:sz w:val="24"/>
              </w:rPr>
            </w:pPr>
          </w:p>
        </w:tc>
        <w:tc>
          <w:tcPr>
            <w:tcW w:w="875" w:type="dxa"/>
          </w:tcPr>
          <w:p>
            <w:pPr>
              <w:spacing w:line="400" w:lineRule="exact"/>
              <w:rPr>
                <w:rFonts w:hint="eastAsia" w:ascii="仿宋" w:hAnsi="仿宋" w:eastAsia="仿宋" w:cs="仿宋"/>
                <w:sz w:val="24"/>
              </w:rPr>
            </w:pPr>
          </w:p>
        </w:tc>
        <w:tc>
          <w:tcPr>
            <w:tcW w:w="2774"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262" w:type="dxa"/>
            <w:vAlign w:val="center"/>
          </w:tcPr>
          <w:p>
            <w:pPr>
              <w:widowControl/>
              <w:adjustRightInd w:val="0"/>
              <w:snapToGrid w:val="0"/>
              <w:jc w:val="center"/>
              <w:rPr>
                <w:rFonts w:hint="eastAsia" w:ascii="仿宋" w:hAnsi="仿宋" w:eastAsia="仿宋" w:cs="仿宋"/>
                <w:sz w:val="24"/>
              </w:rPr>
            </w:pPr>
          </w:p>
        </w:tc>
        <w:tc>
          <w:tcPr>
            <w:tcW w:w="875" w:type="dxa"/>
          </w:tcPr>
          <w:p>
            <w:pPr>
              <w:spacing w:line="400" w:lineRule="exact"/>
              <w:rPr>
                <w:rFonts w:hint="eastAsia" w:ascii="仿宋" w:hAnsi="仿宋" w:eastAsia="仿宋" w:cs="仿宋"/>
                <w:sz w:val="24"/>
              </w:rPr>
            </w:pPr>
          </w:p>
        </w:tc>
        <w:tc>
          <w:tcPr>
            <w:tcW w:w="2774"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262" w:type="dxa"/>
            <w:vAlign w:val="center"/>
          </w:tcPr>
          <w:p>
            <w:pPr>
              <w:widowControl/>
              <w:adjustRightInd w:val="0"/>
              <w:snapToGrid w:val="0"/>
              <w:jc w:val="center"/>
              <w:rPr>
                <w:rFonts w:hint="eastAsia" w:ascii="仿宋" w:hAnsi="仿宋" w:eastAsia="仿宋" w:cs="仿宋"/>
                <w:sz w:val="24"/>
              </w:rPr>
            </w:pPr>
          </w:p>
        </w:tc>
        <w:tc>
          <w:tcPr>
            <w:tcW w:w="875" w:type="dxa"/>
          </w:tcPr>
          <w:p>
            <w:pPr>
              <w:spacing w:line="400" w:lineRule="exact"/>
              <w:rPr>
                <w:rFonts w:hint="eastAsia" w:ascii="仿宋" w:hAnsi="仿宋" w:eastAsia="仿宋" w:cs="仿宋"/>
                <w:sz w:val="24"/>
              </w:rPr>
            </w:pPr>
          </w:p>
        </w:tc>
        <w:tc>
          <w:tcPr>
            <w:tcW w:w="2774"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262" w:type="dxa"/>
            <w:vAlign w:val="center"/>
          </w:tcPr>
          <w:p>
            <w:pPr>
              <w:widowControl/>
              <w:adjustRightInd w:val="0"/>
              <w:snapToGrid w:val="0"/>
              <w:jc w:val="center"/>
              <w:rPr>
                <w:rFonts w:hint="eastAsia" w:ascii="仿宋" w:hAnsi="仿宋" w:eastAsia="仿宋" w:cs="仿宋"/>
                <w:sz w:val="24"/>
              </w:rPr>
            </w:pPr>
          </w:p>
        </w:tc>
        <w:tc>
          <w:tcPr>
            <w:tcW w:w="875" w:type="dxa"/>
          </w:tcPr>
          <w:p>
            <w:pPr>
              <w:spacing w:line="400" w:lineRule="exact"/>
              <w:rPr>
                <w:rFonts w:hint="eastAsia" w:ascii="仿宋" w:hAnsi="仿宋" w:eastAsia="仿宋" w:cs="仿宋"/>
                <w:sz w:val="24"/>
              </w:rPr>
            </w:pPr>
          </w:p>
        </w:tc>
        <w:tc>
          <w:tcPr>
            <w:tcW w:w="2774"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pPr>
              <w:spacing w:line="400" w:lineRule="exact"/>
              <w:rPr>
                <w:rFonts w:hint="eastAsia" w:ascii="仿宋" w:hAnsi="仿宋" w:eastAsia="仿宋" w:cs="仿宋"/>
                <w:sz w:val="24"/>
              </w:rPr>
            </w:pPr>
          </w:p>
        </w:tc>
        <w:tc>
          <w:tcPr>
            <w:tcW w:w="1262" w:type="dxa"/>
          </w:tcPr>
          <w:p>
            <w:pPr>
              <w:spacing w:line="400" w:lineRule="exact"/>
              <w:rPr>
                <w:rFonts w:hint="eastAsia" w:ascii="仿宋" w:hAnsi="仿宋" w:eastAsia="仿宋" w:cs="仿宋"/>
                <w:bCs/>
                <w:sz w:val="24"/>
              </w:rPr>
            </w:pPr>
          </w:p>
        </w:tc>
        <w:tc>
          <w:tcPr>
            <w:tcW w:w="875" w:type="dxa"/>
          </w:tcPr>
          <w:p>
            <w:pPr>
              <w:spacing w:line="400" w:lineRule="exact"/>
              <w:rPr>
                <w:rFonts w:hint="eastAsia" w:ascii="仿宋" w:hAnsi="仿宋" w:eastAsia="仿宋" w:cs="仿宋"/>
                <w:sz w:val="24"/>
              </w:rPr>
            </w:pPr>
          </w:p>
        </w:tc>
        <w:tc>
          <w:tcPr>
            <w:tcW w:w="2774"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bl>
    <w:p>
      <w:pPr>
        <w:spacing w:line="360" w:lineRule="auto"/>
        <w:ind w:firstLine="1920" w:firstLineChars="800"/>
        <w:rPr>
          <w:rFonts w:hint="eastAsia" w:ascii="仿宋" w:hAnsi="仿宋" w:eastAsia="仿宋" w:cs="仿宋"/>
          <w:sz w:val="24"/>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spacing w:line="360" w:lineRule="auto"/>
        <w:rPr>
          <w:rFonts w:hint="eastAsia" w:ascii="仿宋" w:hAnsi="仿宋" w:eastAsia="仿宋" w:cs="仿宋"/>
        </w:rPr>
      </w:pPr>
    </w:p>
    <w:p>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b/>
          <w:sz w:val="32"/>
          <w:szCs w:val="32"/>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pPr>
        <w:pStyle w:val="4"/>
        <w:jc w:val="center"/>
        <w:rPr>
          <w:rFonts w:hint="eastAsia" w:ascii="仿宋" w:hAnsi="仿宋" w:eastAsia="仿宋" w:cs="仿宋"/>
          <w:b/>
          <w:bCs/>
        </w:rPr>
      </w:pPr>
      <w:r>
        <w:rPr>
          <w:rFonts w:hint="eastAsia" w:ascii="仿宋" w:hAnsi="仿宋" w:eastAsia="仿宋" w:cs="仿宋"/>
          <w:b/>
          <w:bCs/>
        </w:rPr>
        <w:t>第四部分  响应方案说明</w:t>
      </w:r>
    </w:p>
    <w:p>
      <w:pPr>
        <w:pStyle w:val="23"/>
        <w:rPr>
          <w:rFonts w:hint="eastAsia" w:ascii="仿宋" w:hAnsi="仿宋" w:eastAsia="仿宋" w:cs="仿宋"/>
          <w:lang w:val="zh-CN"/>
        </w:rPr>
      </w:pPr>
    </w:p>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pPr>
              <w:jc w:val="center"/>
              <w:rPr>
                <w:rFonts w:hint="eastAsia" w:ascii="仿宋" w:hAnsi="仿宋" w:eastAsia="仿宋" w:cs="仿宋"/>
                <w:color w:val="auto"/>
                <w:sz w:val="24"/>
                <w:highlight w:val="none"/>
              </w:rPr>
            </w:pPr>
          </w:p>
        </w:tc>
        <w:tc>
          <w:tcPr>
            <w:tcW w:w="1135"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pPr>
              <w:jc w:val="center"/>
              <w:rPr>
                <w:rFonts w:hint="eastAsia" w:ascii="仿宋" w:hAnsi="仿宋" w:eastAsia="仿宋" w:cs="仿宋"/>
                <w:color w:val="auto"/>
                <w:sz w:val="24"/>
                <w:highlight w:val="none"/>
              </w:rPr>
            </w:pPr>
          </w:p>
        </w:tc>
        <w:tc>
          <w:tcPr>
            <w:tcW w:w="1135"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pPr>
              <w:jc w:val="center"/>
              <w:rPr>
                <w:rFonts w:hint="eastAsia" w:ascii="仿宋" w:hAnsi="仿宋" w:eastAsia="仿宋" w:cs="仿宋"/>
                <w:color w:val="auto"/>
                <w:sz w:val="24"/>
                <w:highlight w:val="none"/>
              </w:rPr>
            </w:pPr>
          </w:p>
        </w:tc>
        <w:tc>
          <w:tcPr>
            <w:tcW w:w="127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pPr>
              <w:jc w:val="center"/>
              <w:rPr>
                <w:rFonts w:hint="eastAsia" w:ascii="仿宋" w:hAnsi="仿宋" w:eastAsia="仿宋" w:cs="仿宋"/>
                <w:color w:val="auto"/>
                <w:sz w:val="24"/>
                <w:highlight w:val="none"/>
              </w:rPr>
            </w:pPr>
          </w:p>
        </w:tc>
        <w:tc>
          <w:tcPr>
            <w:tcW w:w="1135"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pPr>
              <w:jc w:val="center"/>
              <w:rPr>
                <w:rFonts w:hint="eastAsia" w:ascii="仿宋" w:hAnsi="仿宋" w:eastAsia="仿宋" w:cs="仿宋"/>
                <w:color w:val="auto"/>
                <w:sz w:val="24"/>
                <w:highlight w:val="none"/>
              </w:rPr>
            </w:pPr>
          </w:p>
        </w:tc>
        <w:tc>
          <w:tcPr>
            <w:tcW w:w="1135"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5672" w:type="dxa"/>
            <w:gridSpan w:val="5"/>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vMerge w:val="restart"/>
            <w:noWrap w:val="0"/>
            <w:vAlign w:val="center"/>
          </w:tcPr>
          <w:p>
            <w:pPr>
              <w:jc w:val="center"/>
              <w:rPr>
                <w:rFonts w:hint="eastAsia" w:ascii="仿宋" w:hAnsi="仿宋" w:eastAsia="仿宋" w:cs="仿宋"/>
                <w:color w:val="auto"/>
                <w:sz w:val="24"/>
                <w:highlight w:val="none"/>
              </w:rPr>
            </w:pPr>
          </w:p>
        </w:tc>
        <w:tc>
          <w:tcPr>
            <w:tcW w:w="890" w:type="dxa"/>
            <w:vMerge w:val="restar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pPr>
              <w:jc w:val="center"/>
              <w:rPr>
                <w:rFonts w:hint="eastAsia" w:ascii="仿宋" w:hAnsi="仿宋" w:eastAsia="仿宋" w:cs="仿宋"/>
                <w:color w:val="auto"/>
                <w:sz w:val="24"/>
                <w:highlight w:val="none"/>
              </w:rPr>
            </w:pPr>
          </w:p>
        </w:tc>
        <w:tc>
          <w:tcPr>
            <w:tcW w:w="1845" w:type="dxa"/>
            <w:gridSpan w:val="2"/>
            <w:vMerge w:val="continue"/>
            <w:noWrap w:val="0"/>
            <w:vAlign w:val="center"/>
          </w:tcPr>
          <w:p>
            <w:pPr>
              <w:jc w:val="center"/>
              <w:rPr>
                <w:rFonts w:hint="eastAsia" w:ascii="仿宋" w:hAnsi="仿宋" w:eastAsia="仿宋" w:cs="仿宋"/>
                <w:color w:val="auto"/>
                <w:sz w:val="24"/>
                <w:highlight w:val="none"/>
              </w:rPr>
            </w:pPr>
          </w:p>
        </w:tc>
        <w:tc>
          <w:tcPr>
            <w:tcW w:w="890" w:type="dxa"/>
            <w:vMerge w:val="continue"/>
            <w:noWrap w:val="0"/>
            <w:vAlign w:val="center"/>
          </w:tcPr>
          <w:p>
            <w:pPr>
              <w:jc w:val="center"/>
              <w:rPr>
                <w:rFonts w:hint="eastAsia" w:ascii="仿宋" w:hAnsi="仿宋" w:eastAsia="仿宋" w:cs="仿宋"/>
                <w:color w:val="auto"/>
                <w:sz w:val="24"/>
                <w:highlight w:val="none"/>
              </w:rPr>
            </w:pP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890" w:type="dxa"/>
            <w:vMerge w:val="continue"/>
            <w:noWrap w:val="0"/>
            <w:vAlign w:val="center"/>
          </w:tcPr>
          <w:p>
            <w:pPr>
              <w:jc w:val="center"/>
              <w:rPr>
                <w:rFonts w:hint="eastAsia" w:ascii="仿宋" w:hAnsi="仿宋" w:eastAsia="仿宋" w:cs="仿宋"/>
                <w:color w:val="auto"/>
                <w:sz w:val="24"/>
                <w:highlight w:val="none"/>
              </w:rPr>
            </w:pP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890" w:type="dxa"/>
            <w:vMerge w:val="continue"/>
            <w:noWrap w:val="0"/>
            <w:vAlign w:val="center"/>
          </w:tcPr>
          <w:p>
            <w:pPr>
              <w:jc w:val="center"/>
              <w:rPr>
                <w:rFonts w:hint="eastAsia" w:ascii="仿宋" w:hAnsi="仿宋" w:eastAsia="仿宋" w:cs="仿宋"/>
                <w:color w:val="auto"/>
                <w:sz w:val="24"/>
                <w:highlight w:val="none"/>
              </w:rPr>
            </w:pP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890" w:type="dxa"/>
            <w:vMerge w:val="continue"/>
            <w:noWrap w:val="0"/>
            <w:vAlign w:val="center"/>
          </w:tcPr>
          <w:p>
            <w:pPr>
              <w:jc w:val="center"/>
              <w:rPr>
                <w:rFonts w:hint="eastAsia" w:ascii="仿宋" w:hAnsi="仿宋" w:eastAsia="仿宋" w:cs="仿宋"/>
                <w:color w:val="auto"/>
                <w:sz w:val="24"/>
                <w:highlight w:val="none"/>
              </w:rPr>
            </w:pP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pPr>
              <w:jc w:val="center"/>
              <w:rPr>
                <w:rFonts w:hint="eastAsia" w:ascii="仿宋" w:hAnsi="仿宋" w:eastAsia="仿宋" w:cs="仿宋"/>
                <w:color w:val="auto"/>
                <w:sz w:val="24"/>
                <w:highlight w:val="none"/>
              </w:rPr>
            </w:pPr>
          </w:p>
        </w:tc>
      </w:tr>
    </w:tbl>
    <w:p>
      <w:pPr>
        <w:pStyle w:val="23"/>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后附：企业营业执照复印件。</w:t>
      </w:r>
    </w:p>
    <w:p>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2343"/>
        <w:gridCol w:w="1076"/>
        <w:gridCol w:w="1672"/>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1"/>
                <w:szCs w:val="21"/>
              </w:rPr>
            </w:pPr>
            <w:r>
              <w:rPr>
                <w:rFonts w:hint="eastAsia" w:ascii="仿宋" w:hAnsi="仿宋" w:eastAsia="仿宋" w:cs="仿宋"/>
                <w:bCs/>
                <w:sz w:val="21"/>
                <w:szCs w:val="21"/>
              </w:rPr>
              <w:t>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234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bl>
    <w:p>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拟派施工项目经理简历表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522" w:type="dxa"/>
            <w:gridSpan w:val="9"/>
            <w:noWrap w:val="0"/>
            <w:vAlign w:val="center"/>
          </w:tcPr>
          <w:p>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职  称</w:t>
            </w:r>
            <w:r>
              <w:rPr>
                <w:rFonts w:hint="eastAsia" w:ascii="仿宋" w:hAnsi="仿宋" w:eastAsia="仿宋" w:cs="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color w:val="auto"/>
          <w:sz w:val="24"/>
          <w:highlight w:val="none"/>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pStyle w:val="5"/>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303"/>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bl>
    <w:p>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pPr>
        <w:spacing w:line="218" w:lineRule="exact"/>
        <w:rPr>
          <w:rFonts w:hint="eastAsia" w:ascii="仿宋" w:hAnsi="仿宋" w:eastAsia="仿宋" w:cs="仿宋"/>
        </w:rPr>
      </w:pPr>
    </w:p>
    <w:tbl>
      <w:tblPr>
        <w:tblStyle w:val="303"/>
        <w:tblW w:w="89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496" w:type="dxa"/>
            <w:tcBorders>
              <w:top w:val="single" w:color="000000" w:sz="2" w:space="0"/>
              <w:bottom w:val="single" w:color="000000" w:sz="2" w:space="0"/>
            </w:tcBorders>
            <w:noWrap w:val="0"/>
            <w:textDirection w:val="tbRlV"/>
            <w:vAlign w:val="top"/>
          </w:tcPr>
          <w:p>
            <w:pPr>
              <w:jc w:val="center"/>
              <w:rPr>
                <w:rFonts w:hint="eastAsia" w:ascii="仿宋" w:hAnsi="仿宋" w:eastAsia="仿宋" w:cs="仿宋"/>
                <w:lang w:eastAsia="zh-CN"/>
              </w:rPr>
            </w:pPr>
            <w:r>
              <w:rPr>
                <w:rFonts w:hint="eastAsia" w:ascii="仿宋" w:hAnsi="仿宋" w:eastAsia="仿宋" w:cs="仿宋"/>
                <w:lang w:eastAsia="zh-CN"/>
              </w:rPr>
              <w:t>序号</w:t>
            </w:r>
          </w:p>
        </w:tc>
        <w:tc>
          <w:tcPr>
            <w:tcW w:w="1130"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仪器设备 名称</w:t>
            </w:r>
          </w:p>
        </w:tc>
        <w:tc>
          <w:tcPr>
            <w:tcW w:w="1176"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型号规格</w:t>
            </w:r>
          </w:p>
        </w:tc>
        <w:tc>
          <w:tcPr>
            <w:tcW w:w="706"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数量</w:t>
            </w:r>
          </w:p>
        </w:tc>
        <w:tc>
          <w:tcPr>
            <w:tcW w:w="823"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国别产地</w:t>
            </w:r>
          </w:p>
        </w:tc>
        <w:tc>
          <w:tcPr>
            <w:tcW w:w="1174"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制造年份</w:t>
            </w:r>
          </w:p>
        </w:tc>
        <w:tc>
          <w:tcPr>
            <w:tcW w:w="1654"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己使用台时数</w:t>
            </w:r>
          </w:p>
        </w:tc>
        <w:tc>
          <w:tcPr>
            <w:tcW w:w="995"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用途</w:t>
            </w:r>
          </w:p>
        </w:tc>
        <w:tc>
          <w:tcPr>
            <w:tcW w:w="822"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bl>
    <w:p>
      <w:pPr>
        <w:pStyle w:val="5"/>
        <w:numPr>
          <w:ilvl w:val="0"/>
          <w:numId w:val="0"/>
        </w:numPr>
        <w:spacing w:line="360" w:lineRule="auto"/>
        <w:ind w:leftChars="0"/>
        <w:rPr>
          <w:rFonts w:hint="eastAsia" w:ascii="仿宋" w:hAnsi="仿宋" w:eastAsia="仿宋" w:cs="仿宋"/>
        </w:rPr>
      </w:pPr>
    </w:p>
    <w:p>
      <w:pPr>
        <w:pStyle w:val="5"/>
        <w:numPr>
          <w:ilvl w:val="0"/>
          <w:numId w:val="0"/>
        </w:numPr>
        <w:spacing w:line="360" w:lineRule="auto"/>
        <w:ind w:leftChars="0"/>
        <w:rPr>
          <w:rFonts w:hint="eastAsia" w:ascii="仿宋" w:hAnsi="仿宋" w:eastAsia="仿宋" w:cs="仿宋"/>
        </w:rPr>
      </w:pPr>
    </w:p>
    <w:p>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pPr>
        <w:spacing w:line="147" w:lineRule="exact"/>
        <w:rPr>
          <w:rFonts w:hint="eastAsia" w:ascii="仿宋" w:hAnsi="仿宋" w:eastAsia="仿宋" w:cs="仿宋"/>
        </w:rPr>
      </w:pPr>
    </w:p>
    <w:tbl>
      <w:tblPr>
        <w:tblStyle w:val="303"/>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bl>
    <w:p>
      <w:pPr>
        <w:pStyle w:val="6"/>
        <w:ind w:left="0" w:leftChars="0" w:firstLine="0" w:firstLineChars="0"/>
        <w:jc w:val="center"/>
        <w:rPr>
          <w:rFonts w:hint="eastAsia" w:ascii="仿宋" w:hAnsi="仿宋" w:eastAsia="仿宋" w:cs="仿宋"/>
          <w:sz w:val="32"/>
          <w:szCs w:val="32"/>
          <w:lang w:eastAsia="zh-CN"/>
        </w:rPr>
      </w:pPr>
      <w:bookmarkStart w:id="524" w:name="_GoBack"/>
      <w:bookmarkEnd w:id="524"/>
      <w:r>
        <w:rPr>
          <w:rFonts w:hint="eastAsia" w:ascii="仿宋" w:hAnsi="仿宋" w:eastAsia="仿宋" w:cs="仿宋"/>
          <w:sz w:val="32"/>
          <w:szCs w:val="32"/>
          <w:lang w:eastAsia="zh-CN"/>
        </w:rPr>
        <w:br w:type="page"/>
      </w:r>
    </w:p>
    <w:p>
      <w:pPr>
        <w:pStyle w:val="6"/>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pPr>
        <w:pStyle w:val="23"/>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pPr>
        <w:pStyle w:val="6"/>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15" w:name="_Toc60929148"/>
      <w:bookmarkStart w:id="516" w:name="_Toc60928916"/>
    </w:p>
    <w:bookmarkEnd w:id="515"/>
    <w:bookmarkEnd w:id="516"/>
    <w:p>
      <w:pPr>
        <w:pStyle w:val="23"/>
        <w:tabs>
          <w:tab w:val="left" w:pos="567"/>
        </w:tabs>
        <w:jc w:val="center"/>
        <w:rPr>
          <w:rFonts w:hint="eastAsia" w:ascii="仿宋" w:hAnsi="仿宋" w:eastAsia="仿宋" w:cs="仿宋"/>
          <w:b/>
          <w:bCs/>
          <w:sz w:val="32"/>
          <w:szCs w:val="32"/>
          <w:lang w:eastAsia="zh-CN"/>
        </w:rPr>
      </w:pPr>
      <w:bookmarkStart w:id="517" w:name="_Toc60929149"/>
      <w:bookmarkStart w:id="518" w:name="_Toc60928917"/>
      <w:r>
        <w:rPr>
          <w:rFonts w:hint="eastAsia" w:ascii="仿宋" w:hAnsi="仿宋" w:eastAsia="仿宋" w:cs="仿宋"/>
          <w:b/>
          <w:bCs/>
          <w:sz w:val="32"/>
          <w:szCs w:val="32"/>
          <w:lang w:eastAsia="zh-CN"/>
        </w:rPr>
        <w:t>施工组织设计方案</w:t>
      </w:r>
    </w:p>
    <w:p>
      <w:pPr>
        <w:pStyle w:val="23"/>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17"/>
      <w:bookmarkEnd w:id="518"/>
    </w:p>
    <w:p>
      <w:pPr>
        <w:rPr>
          <w:rFonts w:hint="eastAsia" w:ascii="仿宋" w:hAnsi="仿宋" w:eastAsia="仿宋" w:cs="仿宋"/>
        </w:rPr>
      </w:pPr>
    </w:p>
    <w:p>
      <w:pPr>
        <w:pStyle w:val="5"/>
        <w:spacing w:line="360" w:lineRule="auto"/>
        <w:ind w:firstLine="480" w:firstLineChars="200"/>
        <w:rPr>
          <w:rFonts w:hint="eastAsia" w:ascii="仿宋" w:hAnsi="仿宋" w:eastAsia="仿宋" w:cs="仿宋"/>
        </w:rPr>
      </w:pPr>
      <w:r>
        <w:rPr>
          <w:rFonts w:hint="eastAsia" w:ascii="仿宋" w:hAnsi="仿宋" w:eastAsia="仿宋" w:cs="仿宋"/>
        </w:rPr>
        <w:br w:type="page"/>
      </w:r>
    </w:p>
    <w:p>
      <w:pPr>
        <w:pStyle w:val="6"/>
        <w:ind w:firstLine="0" w:firstLineChars="0"/>
        <w:jc w:val="center"/>
        <w:rPr>
          <w:rFonts w:hint="eastAsia" w:ascii="仿宋" w:hAnsi="仿宋" w:eastAsia="仿宋" w:cs="仿宋"/>
          <w:sz w:val="32"/>
          <w:szCs w:val="32"/>
        </w:rPr>
      </w:pPr>
      <w:bookmarkStart w:id="519" w:name="_Toc62194361"/>
      <w:bookmarkStart w:id="520" w:name="_Toc60929150"/>
      <w:bookmarkStart w:id="521" w:name="_Toc60928918"/>
      <w:r>
        <w:rPr>
          <w:rFonts w:hint="eastAsia" w:ascii="仿宋" w:hAnsi="仿宋" w:eastAsia="仿宋" w:cs="仿宋"/>
          <w:sz w:val="32"/>
          <w:szCs w:val="32"/>
        </w:rPr>
        <w:t>业绩一览表</w:t>
      </w:r>
      <w:bookmarkEnd w:id="519"/>
      <w:bookmarkEnd w:id="520"/>
      <w:bookmarkEnd w:id="521"/>
    </w:p>
    <w:p>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pPr>
              <w:jc w:val="center"/>
              <w:rPr>
                <w:rFonts w:hint="eastAsia" w:ascii="仿宋" w:hAnsi="仿宋" w:eastAsia="仿宋" w:cs="仿宋"/>
                <w:sz w:val="24"/>
              </w:rPr>
            </w:pPr>
            <w:r>
              <w:rPr>
                <w:rFonts w:hint="eastAsia" w:ascii="仿宋" w:hAnsi="仿宋" w:eastAsia="仿宋" w:cs="仿宋"/>
                <w:sz w:val="24"/>
              </w:rPr>
              <w:t>业主名称、联系人及电话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bl>
    <w:p>
      <w:pPr>
        <w:snapToGrid w:val="0"/>
        <w:ind w:left="349" w:hanging="348" w:hangingChars="166"/>
        <w:rPr>
          <w:rFonts w:hint="eastAsia" w:ascii="仿宋" w:hAnsi="仿宋" w:eastAsia="仿宋" w:cs="仿宋"/>
        </w:rPr>
      </w:pPr>
    </w:p>
    <w:p>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pPr>
        <w:rPr>
          <w:rFonts w:hint="eastAsia" w:ascii="仿宋" w:hAnsi="仿宋" w:eastAsia="仿宋" w:cs="仿宋"/>
        </w:rPr>
      </w:pPr>
    </w:p>
    <w:p>
      <w:pPr>
        <w:pStyle w:val="23"/>
        <w:tabs>
          <w:tab w:val="left" w:pos="567"/>
        </w:tabs>
        <w:rPr>
          <w:rFonts w:hint="eastAsia" w:ascii="仿宋" w:hAnsi="仿宋" w:eastAsia="仿宋" w:cs="仿宋"/>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pPr>
        <w:pStyle w:val="29"/>
        <w:tabs>
          <w:tab w:val="left" w:pos="5580"/>
        </w:tabs>
        <w:spacing w:line="360" w:lineRule="auto"/>
        <w:ind w:firstLine="1920" w:firstLineChars="8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pPr>
        <w:spacing w:after="120"/>
        <w:rPr>
          <w:rFonts w:hint="eastAsia" w:ascii="仿宋" w:hAnsi="仿宋" w:eastAsia="仿宋" w:cs="仿宋"/>
        </w:rPr>
      </w:pPr>
      <w:r>
        <w:rPr>
          <w:rFonts w:hint="eastAsia" w:ascii="仿宋" w:hAnsi="仿宋" w:eastAsia="仿宋" w:cs="仿宋"/>
        </w:rPr>
        <w:br w:type="page"/>
      </w:r>
    </w:p>
    <w:p>
      <w:pPr>
        <w:pStyle w:val="4"/>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pPr>
        <w:pStyle w:val="200"/>
        <w:rPr>
          <w:rFonts w:hint="eastAsia" w:ascii="仿宋" w:hAnsi="仿宋" w:eastAsia="仿宋" w:cs="仿宋"/>
          <w:b/>
          <w:bCs/>
          <w:sz w:val="32"/>
          <w:szCs w:val="32"/>
        </w:rPr>
      </w:pPr>
    </w:p>
    <w:p>
      <w:pPr>
        <w:ind w:left="315" w:leftChars="150" w:firstLine="270" w:firstLineChars="150"/>
        <w:rPr>
          <w:rFonts w:hint="eastAsia" w:ascii="仿宋" w:hAnsi="仿宋" w:eastAsia="仿宋" w:cs="仿宋"/>
          <w:kern w:val="0"/>
          <w:sz w:val="18"/>
          <w:szCs w:val="18"/>
        </w:rPr>
      </w:pPr>
      <w:bookmarkStart w:id="522" w:name="_Toc7005133"/>
    </w:p>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中小企业声明函（工程）</w:t>
      </w:r>
    </w:p>
    <w:p>
      <w:pPr>
        <w:rPr>
          <w:rFonts w:hint="eastAsia" w:ascii="仿宋" w:hAnsi="仿宋" w:eastAsia="仿宋" w:cs="仿宋"/>
          <w:kern w:val="0"/>
          <w:sz w:val="30"/>
          <w:szCs w:val="30"/>
        </w:rPr>
      </w:pP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pPr>
        <w:pStyle w:val="72"/>
        <w:numPr>
          <w:ilvl w:val="0"/>
          <w:numId w:val="13"/>
        </w:numPr>
        <w:spacing w:line="560" w:lineRule="exact"/>
        <w:ind w:left="0" w:firstLine="600" w:firstLineChars="0"/>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pPr>
        <w:spacing w:line="560" w:lineRule="exact"/>
        <w:ind w:firstLine="4320" w:firstLineChars="1800"/>
        <w:rPr>
          <w:rFonts w:hint="eastAsia" w:ascii="仿宋" w:hAnsi="仿宋" w:eastAsia="仿宋" w:cs="仿宋"/>
          <w:kern w:val="0"/>
          <w:sz w:val="30"/>
          <w:szCs w:val="30"/>
          <w:u w:val="single"/>
        </w:rPr>
      </w:pPr>
      <w:r>
        <w:rPr>
          <w:rFonts w:hint="eastAsia" w:ascii="仿宋" w:hAnsi="仿宋" w:eastAsia="仿宋" w:cs="仿宋"/>
          <w:kern w:val="0"/>
          <w:sz w:val="24"/>
        </w:rPr>
        <w:t>日期：</w:t>
      </w:r>
      <w:r>
        <w:rPr>
          <w:rFonts w:hint="eastAsia" w:ascii="仿宋" w:hAnsi="仿宋" w:eastAsia="仿宋" w:cs="仿宋"/>
          <w:kern w:val="0"/>
          <w:sz w:val="30"/>
          <w:szCs w:val="30"/>
          <w:u w:val="single"/>
        </w:rPr>
        <w:t xml:space="preserve">                                        </w:t>
      </w:r>
    </w:p>
    <w:p>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pPr>
        <w:rPr>
          <w:rFonts w:hint="eastAsia" w:ascii="仿宋" w:hAnsi="仿宋" w:eastAsia="仿宋" w:cs="仿宋"/>
          <w:b/>
          <w:sz w:val="28"/>
          <w:szCs w:val="28"/>
        </w:rPr>
      </w:pPr>
      <w:r>
        <w:rPr>
          <w:rFonts w:hint="eastAsia" w:ascii="仿宋" w:hAnsi="仿宋" w:eastAsia="仿宋" w:cs="仿宋"/>
          <w:b/>
          <w:sz w:val="28"/>
          <w:szCs w:val="28"/>
        </w:rPr>
        <w:br w:type="page"/>
      </w:r>
    </w:p>
    <w:bookmarkEnd w:id="522"/>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pPr>
        <w:spacing w:line="360" w:lineRule="auto"/>
        <w:rPr>
          <w:rFonts w:hint="eastAsia" w:ascii="仿宋" w:hAnsi="仿宋" w:eastAsia="仿宋" w:cs="仿宋"/>
          <w:b/>
          <w:kern w:val="0"/>
          <w:sz w:val="24"/>
          <w:szCs w:val="20"/>
        </w:rPr>
      </w:pPr>
    </w:p>
    <w:p>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widowControl/>
        <w:spacing w:before="100" w:beforeAutospacing="1" w:after="100" w:afterAutospacing="1" w:line="360" w:lineRule="auto"/>
        <w:jc w:val="left"/>
        <w:rPr>
          <w:rFonts w:hint="eastAsia" w:ascii="仿宋" w:hAnsi="仿宋" w:eastAsia="仿宋" w:cs="仿宋"/>
          <w:kern w:val="0"/>
          <w:sz w:val="24"/>
          <w:u w:val="single"/>
        </w:rPr>
      </w:pPr>
    </w:p>
    <w:p>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pPr>
        <w:rPr>
          <w:rFonts w:hint="eastAsia" w:ascii="仿宋" w:hAnsi="仿宋" w:eastAsia="仿宋" w:cs="仿宋"/>
          <w:sz w:val="32"/>
          <w:szCs w:val="32"/>
        </w:rPr>
      </w:pPr>
    </w:p>
    <w:p>
      <w:pPr>
        <w:pStyle w:val="6"/>
        <w:jc w:val="center"/>
        <w:rPr>
          <w:rFonts w:hint="eastAsia" w:ascii="仿宋" w:hAnsi="仿宋" w:eastAsia="仿宋" w:cs="仿宋"/>
          <w:b/>
          <w:sz w:val="32"/>
          <w:szCs w:val="32"/>
        </w:rPr>
      </w:pPr>
      <w:bookmarkStart w:id="523"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23"/>
    </w:p>
    <w:p>
      <w:pPr>
        <w:spacing w:after="120"/>
        <w:rPr>
          <w:rFonts w:hint="eastAsia" w:ascii="仿宋" w:hAnsi="仿宋" w:eastAsia="仿宋" w:cs="仿宋"/>
        </w:rPr>
      </w:pPr>
    </w:p>
    <w:p>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pPr>
        <w:rPr>
          <w:rFonts w:hint="eastAsia" w:ascii="仿宋" w:hAnsi="仿宋" w:eastAsia="仿宋" w:cs="仿宋"/>
          <w:sz w:val="24"/>
        </w:rPr>
      </w:pP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 xml:space="preserve"> </w:t>
      </w:r>
    </w:p>
    <w:p>
      <w:pPr>
        <w:rPr>
          <w:rFonts w:hint="eastAsia" w:ascii="仿宋" w:hAnsi="仿宋" w:eastAsia="仿宋" w:cs="仿宋"/>
          <w:sz w:val="24"/>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ind w:firstLine="3600" w:firstLineChars="1500"/>
        <w:rPr>
          <w:rFonts w:hint="eastAsia" w:ascii="仿宋" w:hAnsi="仿宋" w:eastAsia="仿宋" w:cs="仿宋"/>
          <w:sz w:val="24"/>
        </w:rPr>
      </w:pPr>
    </w:p>
    <w:p>
      <w:pPr>
        <w:rPr>
          <w:rFonts w:hint="eastAsia" w:ascii="仿宋" w:hAnsi="仿宋" w:eastAsia="仿宋" w:cs="仿宋"/>
          <w:sz w:val="24"/>
        </w:rPr>
      </w:pPr>
    </w:p>
    <w:p>
      <w:pPr>
        <w:snapToGrid w:val="0"/>
        <w:spacing w:before="120" w:beforeLines="50"/>
        <w:jc w:val="center"/>
        <w:rPr>
          <w:rFonts w:hint="eastAsia" w:ascii="仿宋" w:hAnsi="仿宋" w:eastAsia="仿宋" w:cs="仿宋"/>
          <w:b/>
          <w:sz w:val="24"/>
          <w:szCs w:val="21"/>
        </w:rPr>
      </w:pPr>
    </w:p>
    <w:p>
      <w:pPr>
        <w:widowControl/>
        <w:jc w:val="left"/>
        <w:rPr>
          <w:rFonts w:hint="eastAsia" w:ascii="仿宋" w:hAnsi="仿宋" w:eastAsia="仿宋" w:cs="仿宋"/>
          <w:sz w:val="24"/>
        </w:rPr>
      </w:pPr>
      <w:r>
        <w:rPr>
          <w:rFonts w:hint="eastAsia" w:ascii="仿宋" w:hAnsi="仿宋" w:eastAsia="仿宋" w:cs="仿宋"/>
          <w:sz w:val="24"/>
        </w:rPr>
        <w:br w:type="page"/>
      </w:r>
    </w:p>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pPr>
        <w:spacing w:line="360" w:lineRule="auto"/>
        <w:ind w:firstLine="480" w:firstLineChars="200"/>
        <w:rPr>
          <w:rFonts w:hint="eastAsia" w:ascii="仿宋" w:hAnsi="仿宋" w:eastAsia="仿宋" w:cs="仿宋"/>
          <w:sz w:val="24"/>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pStyle w:val="23"/>
        <w:rPr>
          <w:rFonts w:hint="eastAsia" w:ascii="仿宋" w:hAnsi="仿宋" w:eastAsia="仿宋" w:cs="仿宋"/>
        </w:rPr>
      </w:pPr>
      <w:r>
        <w:rPr>
          <w:rFonts w:hint="eastAsia" w:ascii="仿宋" w:hAnsi="仿宋" w:eastAsia="仿宋" w:cs="仿宋"/>
        </w:rPr>
        <w:br w:type="page"/>
      </w:r>
    </w:p>
    <w:p>
      <w:pPr>
        <w:pStyle w:val="4"/>
        <w:jc w:val="center"/>
        <w:rPr>
          <w:rFonts w:hint="eastAsia" w:ascii="仿宋" w:hAnsi="仿宋" w:eastAsia="仿宋" w:cs="仿宋"/>
          <w:b/>
          <w:bCs/>
        </w:rPr>
      </w:pPr>
      <w:r>
        <w:rPr>
          <w:rFonts w:hint="eastAsia" w:ascii="仿宋" w:hAnsi="仿宋" w:eastAsia="仿宋" w:cs="仿宋"/>
          <w:b/>
          <w:bCs/>
        </w:rPr>
        <w:t xml:space="preserve">第六部分  </w:t>
      </w:r>
      <w:r>
        <w:rPr>
          <w:rFonts w:hint="eastAsia" w:ascii="仿宋" w:hAnsi="仿宋" w:eastAsia="仿宋" w:cs="仿宋"/>
          <w:b/>
          <w:bCs/>
          <w:lang w:eastAsia="zh-CN"/>
        </w:rPr>
        <w:t>投标信用承诺书</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项目</w:t>
      </w:r>
      <w:r>
        <w:rPr>
          <w:rFonts w:hint="eastAsia" w:ascii="仿宋" w:hAnsi="仿宋" w:eastAsia="仿宋" w:cs="仿宋"/>
          <w:sz w:val="24"/>
          <w:lang w:eastAsia="zh-CN"/>
        </w:rPr>
        <w:t>名称</w:t>
      </w:r>
      <w:r>
        <w:rPr>
          <w:rFonts w:hint="eastAsia" w:ascii="仿宋" w:hAnsi="仿宋" w:eastAsia="仿宋" w:cs="仿宋"/>
          <w:sz w:val="24"/>
          <w:lang w:val="en-US" w:eastAsia="zh-CN"/>
        </w:rPr>
        <w:t>/标段</w:t>
      </w:r>
      <w:r>
        <w:rPr>
          <w:rFonts w:hint="eastAsia" w:ascii="仿宋" w:hAnsi="仿宋" w:eastAsia="仿宋" w:cs="仿宋"/>
          <w:sz w:val="24"/>
        </w:rPr>
        <w:t>：</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                                                                  </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                                                                    </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统一社会信用代码：                               法人代表：                 </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在本项目标段招投标活动中，我公司（单位）自愿作出以下投标信用承诺：</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（一）能严格遵守法律法规、职业道德和行业规范。</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numPr>
          <w:ilvl w:val="0"/>
          <w:numId w:val="0"/>
        </w:numPr>
        <w:snapToGrid w:val="0"/>
        <w:spacing w:line="288" w:lineRule="auto"/>
        <w:ind w:firstLine="480" w:firstLineChars="200"/>
        <w:rPr>
          <w:rFonts w:hint="eastAsia" w:ascii="仿宋" w:hAnsi="仿宋" w:eastAsia="仿宋" w:cs="仿宋"/>
          <w:sz w:val="24"/>
        </w:rPr>
      </w:pPr>
    </w:p>
    <w:p>
      <w:pPr>
        <w:pStyle w:val="42"/>
        <w:rPr>
          <w:rFonts w:hint="eastAsia" w:ascii="仿宋" w:hAnsi="仿宋" w:eastAsia="仿宋" w:cs="仿宋"/>
          <w:sz w:val="24"/>
        </w:rPr>
      </w:pPr>
    </w:p>
    <w:p>
      <w:pPr>
        <w:pStyle w:val="42"/>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法定代表人（签章）：             投标人（盖章）：</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承诺时间：       年     月     日</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lang w:eastAsia="zh-CN"/>
        </w:rPr>
      </w:pPr>
      <w:r>
        <w:rPr>
          <w:rFonts w:hint="eastAsia" w:ascii="仿宋" w:hAnsi="仿宋" w:eastAsia="仿宋" w:cs="仿宋"/>
          <w:b/>
          <w:bCs/>
          <w:sz w:val="24"/>
        </w:rPr>
        <w:t>说明：</w:t>
      </w:r>
      <w:r>
        <w:rPr>
          <w:rFonts w:hint="eastAsia" w:ascii="仿宋" w:hAnsi="仿宋" w:eastAsia="仿宋" w:cs="仿宋"/>
          <w:b/>
          <w:bCs/>
          <w:sz w:val="24"/>
          <w:lang w:eastAsia="zh-CN"/>
        </w:rPr>
        <w:t>（</w:t>
      </w:r>
      <w:r>
        <w:rPr>
          <w:rFonts w:hint="eastAsia" w:ascii="仿宋" w:hAnsi="仿宋" w:eastAsia="仿宋" w:cs="仿宋"/>
          <w:b/>
          <w:bCs/>
          <w:sz w:val="24"/>
          <w:lang w:val="en-US" w:eastAsia="zh-CN"/>
        </w:rPr>
        <w:t>1</w:t>
      </w:r>
      <w:r>
        <w:rPr>
          <w:rFonts w:hint="eastAsia" w:ascii="仿宋" w:hAnsi="仿宋" w:eastAsia="仿宋" w:cs="仿宋"/>
          <w:b/>
          <w:bCs/>
          <w:sz w:val="24"/>
          <w:lang w:eastAsia="zh-CN"/>
        </w:rPr>
        <w:t>）</w:t>
      </w:r>
      <w:r>
        <w:rPr>
          <w:rFonts w:hint="eastAsia" w:ascii="仿宋" w:hAnsi="仿宋" w:eastAsia="仿宋" w:cs="仿宋"/>
          <w:b/>
          <w:bCs/>
          <w:sz w:val="24"/>
        </w:rPr>
        <w:t>本承诺书效力和作用等同投标保证金，其有效期与投标有效期一致</w:t>
      </w:r>
      <w:r>
        <w:rPr>
          <w:rFonts w:hint="eastAsia" w:ascii="仿宋" w:hAnsi="仿宋" w:eastAsia="仿宋" w:cs="仿宋"/>
          <w:b/>
          <w:bCs/>
          <w:sz w:val="24"/>
          <w:lang w:eastAsia="zh-CN"/>
        </w:rPr>
        <w:t>；</w:t>
      </w:r>
    </w:p>
    <w:p>
      <w:pPr>
        <w:pStyle w:val="200"/>
        <w:rPr>
          <w:rFonts w:hint="eastAsia" w:ascii="仿宋" w:hAnsi="仿宋" w:eastAsia="仿宋" w:cs="仿宋"/>
          <w:b/>
          <w:sz w:val="32"/>
          <w:szCs w:val="32"/>
        </w:rPr>
      </w:pPr>
      <w:r>
        <w:rPr>
          <w:rFonts w:hint="eastAsia" w:ascii="仿宋" w:hAnsi="仿宋" w:eastAsia="仿宋" w:cs="仿宋"/>
          <w:b/>
          <w:bCs/>
          <w:sz w:val="24"/>
          <w:lang w:eastAsia="zh-CN"/>
        </w:rPr>
        <w:t>（</w:t>
      </w:r>
      <w:r>
        <w:rPr>
          <w:rFonts w:hint="eastAsia" w:ascii="仿宋" w:hAnsi="仿宋" w:eastAsia="仿宋" w:cs="仿宋"/>
          <w:b/>
          <w:bCs/>
          <w:sz w:val="24"/>
          <w:lang w:val="en-US" w:eastAsia="zh-CN"/>
        </w:rPr>
        <w:t>2</w:t>
      </w:r>
      <w:r>
        <w:rPr>
          <w:rFonts w:hint="eastAsia" w:ascii="仿宋" w:hAnsi="仿宋" w:eastAsia="仿宋" w:cs="仿宋"/>
          <w:b/>
          <w:bCs/>
          <w:sz w:val="24"/>
          <w:lang w:eastAsia="zh-CN"/>
        </w:rPr>
        <w:t>）</w:t>
      </w:r>
      <w:r>
        <w:rPr>
          <w:rFonts w:hint="eastAsia" w:ascii="仿宋" w:hAnsi="仿宋" w:eastAsia="仿宋" w:cs="仿宋"/>
          <w:b/>
          <w:bCs/>
          <w:sz w:val="24"/>
        </w:rPr>
        <w:t xml:space="preserve"> </w:t>
      </w:r>
      <w:r>
        <w:rPr>
          <w:rFonts w:hint="eastAsia" w:ascii="仿宋" w:hAnsi="仿宋" w:eastAsia="仿宋" w:cs="仿宋"/>
          <w:b/>
          <w:bCs/>
          <w:sz w:val="24"/>
          <w:lang w:eastAsia="zh-CN"/>
        </w:rPr>
        <w:t>附已在网址上申报的信用中国陕西榆林投标信用承诺截图；</w:t>
      </w:r>
    </w:p>
    <w:p>
      <w:pPr>
        <w:rPr>
          <w:rFonts w:hint="eastAsia" w:ascii="仿宋" w:hAnsi="仿宋" w:eastAsia="仿宋" w:cs="仿宋"/>
          <w:sz w:val="24"/>
        </w:rPr>
      </w:pPr>
    </w:p>
    <w:p>
      <w:pPr>
        <w:spacing w:after="120"/>
        <w:rPr>
          <w:rFonts w:hint="eastAsia" w:ascii="仿宋" w:hAnsi="仿宋" w:eastAsia="仿宋" w:cs="仿宋"/>
        </w:rPr>
      </w:pPr>
    </w:p>
    <w:p>
      <w:pPr>
        <w:spacing w:after="120"/>
        <w:rPr>
          <w:rFonts w:hint="eastAsia" w:ascii="仿宋" w:hAnsi="仿宋" w:eastAsia="仿宋" w:cs="仿宋"/>
        </w:rPr>
      </w:pPr>
    </w:p>
    <w:p>
      <w:pPr>
        <w:pStyle w:val="6"/>
        <w:rPr>
          <w:rFonts w:hint="eastAsia" w:ascii="仿宋" w:hAnsi="仿宋" w:eastAsia="仿宋" w:cs="仿宋"/>
          <w:b/>
          <w:bCs/>
          <w:sz w:val="28"/>
          <w:szCs w:val="36"/>
          <w:lang w:val="en-US" w:eastAsia="zh-CN"/>
        </w:rPr>
      </w:pPr>
      <w:r>
        <w:rPr>
          <w:rFonts w:hint="eastAsia" w:ascii="仿宋" w:hAnsi="仿宋" w:eastAsia="仿宋" w:cs="仿宋"/>
          <w:b/>
          <w:bCs/>
          <w:sz w:val="28"/>
          <w:szCs w:val="36"/>
        </w:rPr>
        <w:t>附件</w:t>
      </w:r>
      <w:r>
        <w:rPr>
          <w:rFonts w:hint="eastAsia" w:ascii="仿宋" w:hAnsi="仿宋" w:eastAsia="仿宋" w:cs="仿宋"/>
          <w:b/>
          <w:bCs/>
          <w:sz w:val="28"/>
          <w:szCs w:val="36"/>
          <w:lang w:val="en-US" w:eastAsia="zh-CN"/>
        </w:rPr>
        <w:t>1：</w:t>
      </w:r>
    </w:p>
    <w:p>
      <w:pPr>
        <w:jc w:val="center"/>
        <w:rPr>
          <w:rFonts w:hint="eastAsia" w:ascii="仿宋" w:hAnsi="仿宋" w:eastAsia="仿宋" w:cs="仿宋"/>
          <w:b/>
          <w:bCs/>
          <w:sz w:val="28"/>
          <w:szCs w:val="36"/>
        </w:rPr>
      </w:pPr>
    </w:p>
    <w:p>
      <w:pPr>
        <w:jc w:val="center"/>
        <w:rPr>
          <w:rFonts w:hint="eastAsia" w:ascii="仿宋" w:hAnsi="仿宋" w:eastAsia="仿宋" w:cs="仿宋"/>
          <w:b/>
          <w:bCs/>
          <w:sz w:val="28"/>
          <w:szCs w:val="36"/>
        </w:rPr>
      </w:pPr>
      <w:r>
        <w:rPr>
          <w:rFonts w:hint="eastAsia" w:ascii="仿宋" w:hAnsi="仿宋" w:eastAsia="仿宋" w:cs="仿宋"/>
          <w:b/>
          <w:bCs/>
          <w:sz w:val="28"/>
          <w:szCs w:val="36"/>
        </w:rPr>
        <w:t>（最后）磋商响应报价</w:t>
      </w:r>
      <w:r>
        <w:rPr>
          <w:rFonts w:hint="eastAsia" w:ascii="仿宋" w:hAnsi="仿宋" w:eastAsia="仿宋" w:cs="仿宋"/>
          <w:b/>
          <w:bCs/>
          <w:sz w:val="28"/>
          <w:szCs w:val="36"/>
          <w:lang w:val="en-US" w:eastAsia="zh-CN"/>
        </w:rPr>
        <w:t>一览</w:t>
      </w:r>
      <w:r>
        <w:rPr>
          <w:rFonts w:hint="eastAsia" w:ascii="仿宋" w:hAnsi="仿宋" w:eastAsia="仿宋" w:cs="仿宋"/>
          <w:b/>
          <w:bCs/>
          <w:sz w:val="28"/>
          <w:szCs w:val="36"/>
        </w:rPr>
        <w:t>表</w:t>
      </w:r>
    </w:p>
    <w:p>
      <w:pPr>
        <w:pStyle w:val="23"/>
        <w:rPr>
          <w:rFonts w:hint="eastAsia" w:ascii="仿宋" w:hAnsi="仿宋" w:eastAsia="仿宋" w:cs="仿宋"/>
          <w:lang w:val="zh-CN"/>
        </w:rPr>
      </w:pPr>
    </w:p>
    <w:p>
      <w:pPr>
        <w:rPr>
          <w:rFonts w:hint="eastAsia" w:ascii="仿宋" w:hAnsi="仿宋" w:eastAsia="仿宋" w:cs="仿宋"/>
          <w:lang w:val="zh-CN"/>
        </w:rPr>
      </w:pP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3"/>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pPr>
              <w:pStyle w:val="23"/>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pPr>
              <w:pStyle w:val="23"/>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pPr>
              <w:pStyle w:val="23"/>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pPr>
              <w:pStyle w:val="23"/>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3"/>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pPr>
              <w:pStyle w:val="23"/>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pPr>
              <w:pStyle w:val="23"/>
              <w:rPr>
                <w:rFonts w:hint="eastAsia" w:ascii="仿宋" w:hAnsi="仿宋" w:eastAsia="仿宋" w:cs="仿宋"/>
                <w:sz w:val="24"/>
              </w:rPr>
            </w:pPr>
          </w:p>
        </w:tc>
      </w:tr>
    </w:tbl>
    <w:p>
      <w:pPr>
        <w:autoSpaceDE w:val="0"/>
        <w:autoSpaceDN w:val="0"/>
        <w:adjustRightInd w:val="0"/>
        <w:snapToGrid w:val="0"/>
        <w:spacing w:line="360" w:lineRule="auto"/>
        <w:rPr>
          <w:rFonts w:hint="eastAsia" w:ascii="仿宋" w:hAnsi="仿宋" w:eastAsia="仿宋" w:cs="仿宋"/>
          <w:sz w:val="24"/>
        </w:rPr>
      </w:pPr>
      <w:r>
        <w:rPr>
          <w:rFonts w:hint="eastAsia" w:ascii="仿宋" w:hAnsi="仿宋" w:eastAsia="仿宋" w:cs="仿宋"/>
          <w:b/>
          <w:bCs/>
          <w:sz w:val="24"/>
        </w:rPr>
        <w:t xml:space="preserve">                                                                            </w:t>
      </w: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jc w:val="both"/>
        <w:rPr>
          <w:rFonts w:hint="eastAsia" w:ascii="仿宋" w:hAnsi="仿宋" w:eastAsia="仿宋" w:cs="仿宋"/>
          <w:b/>
          <w:bCs/>
          <w:lang w:val="zh-CN"/>
        </w:rPr>
      </w:pPr>
    </w:p>
    <w:p>
      <w:pPr>
        <w:pStyle w:val="77"/>
        <w:spacing w:line="360" w:lineRule="auto"/>
        <w:ind w:firstLine="562" w:firstLineChars="200"/>
        <w:jc w:val="both"/>
        <w:rPr>
          <w:rFonts w:hint="eastAsia" w:ascii="仿宋" w:hAnsi="仿宋" w:eastAsia="仿宋" w:cs="仿宋"/>
          <w:b/>
          <w:bCs/>
          <w:sz w:val="28"/>
          <w:szCs w:val="36"/>
        </w:rPr>
      </w:pPr>
      <w:r>
        <w:rPr>
          <w:rFonts w:hint="eastAsia" w:ascii="仿宋" w:hAnsi="仿宋" w:eastAsia="仿宋" w:cs="仿宋"/>
          <w:b/>
          <w:bCs/>
          <w:lang w:val="zh-CN"/>
        </w:rPr>
        <w:t>注：该表无需制作在响应文件中，仅为后期投标人在中标后由中标人向采购人单独打印提供。</w:t>
      </w:r>
      <w:r>
        <w:rPr>
          <w:rFonts w:hint="eastAsia" w:ascii="仿宋" w:hAnsi="仿宋" w:eastAsia="仿宋" w:cs="仿宋"/>
          <w:b/>
          <w:bCs/>
          <w:sz w:val="28"/>
          <w:szCs w:val="36"/>
        </w:rPr>
        <w:br w:type="page"/>
      </w:r>
    </w:p>
    <w:p>
      <w:pPr>
        <w:pStyle w:val="6"/>
        <w:ind w:firstLine="0" w:firstLineChars="0"/>
        <w:jc w:val="center"/>
        <w:rPr>
          <w:rFonts w:hint="eastAsia" w:ascii="仿宋" w:hAnsi="仿宋" w:eastAsia="仿宋" w:cs="仿宋"/>
          <w:b/>
          <w:bCs/>
          <w:sz w:val="28"/>
          <w:szCs w:val="36"/>
        </w:rPr>
      </w:pPr>
      <w:r>
        <w:rPr>
          <w:rFonts w:hint="eastAsia" w:ascii="仿宋" w:hAnsi="仿宋" w:eastAsia="仿宋" w:cs="仿宋"/>
          <w:b/>
          <w:bCs/>
          <w:color w:val="auto"/>
          <w:sz w:val="32"/>
          <w:szCs w:val="32"/>
          <w:highlight w:val="none"/>
        </w:rPr>
        <w:t>已标价工程量清单</w:t>
      </w:r>
    </w:p>
    <w:p>
      <w:pPr>
        <w:pStyle w:val="77"/>
        <w:spacing w:line="360" w:lineRule="auto"/>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6、投标报价应与工程量清单的报价汇总表数字一致。精确到元.角.分。</w:t>
      </w:r>
    </w:p>
    <w:p>
      <w:pPr>
        <w:pStyle w:val="77"/>
        <w:spacing w:line="360" w:lineRule="auto"/>
        <w:ind w:firstLine="480" w:firstLineChars="200"/>
        <w:jc w:val="both"/>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2、已标价工程量清单</w:t>
      </w:r>
      <w:r>
        <w:rPr>
          <w:rFonts w:hint="eastAsia" w:ascii="仿宋" w:hAnsi="仿宋" w:eastAsia="仿宋" w:cs="仿宋"/>
          <w:bCs/>
          <w:color w:val="auto"/>
          <w:sz w:val="24"/>
          <w:szCs w:val="24"/>
          <w:highlight w:val="none"/>
          <w:lang w:eastAsia="zh-CN"/>
        </w:rPr>
        <w:t>（以外附的</w:t>
      </w:r>
      <w:r>
        <w:rPr>
          <w:rFonts w:hint="eastAsia" w:ascii="仿宋" w:hAnsi="仿宋" w:eastAsia="仿宋" w:cs="仿宋"/>
          <w:bCs/>
          <w:color w:val="auto"/>
          <w:sz w:val="24"/>
          <w:szCs w:val="24"/>
          <w:highlight w:val="none"/>
          <w:lang w:val="en-US" w:eastAsia="zh-CN"/>
        </w:rPr>
        <w:t>Excel工程量清单格式为准</w:t>
      </w:r>
      <w:r>
        <w:rPr>
          <w:rFonts w:hint="eastAsia" w:ascii="仿宋" w:hAnsi="仿宋" w:eastAsia="仿宋" w:cs="仿宋"/>
          <w:bCs/>
          <w:color w:val="auto"/>
          <w:sz w:val="24"/>
          <w:szCs w:val="24"/>
          <w:highlight w:val="none"/>
          <w:lang w:eastAsia="zh-CN"/>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要求必须具有如下内容：</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投标报价汇总表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分部分项工程量清单计价表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措施项目清单计价表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其它项目清单计价表 </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分部分项工程量清单综合单价分析表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措施项目费（综合计价）分析表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主要材料价格表</w:t>
      </w:r>
    </w:p>
    <w:p>
      <w:pPr>
        <w:pStyle w:val="5"/>
        <w:rPr>
          <w:rFonts w:hint="eastAsia" w:ascii="仿宋" w:hAnsi="仿宋" w:eastAsia="仿宋" w:cs="仿宋"/>
        </w:rPr>
      </w:pPr>
    </w:p>
    <w:p>
      <w:pPr>
        <w:spacing w:line="360" w:lineRule="auto"/>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pPr>
        <w:spacing w:after="120"/>
        <w:ind w:firstLine="1920" w:firstLineChars="8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b/>
          <w:color w:val="auto"/>
          <w:kern w:val="0"/>
          <w:sz w:val="32"/>
          <w:szCs w:val="32"/>
          <w:highlight w:val="none"/>
          <w:shd w:val="clear" w:color="auto" w:fill="FFFFFF"/>
          <w:lang w:val="en-US" w:eastAsia="zh-CN" w:bidi="ar-SA"/>
        </w:rPr>
        <w:br w:type="page"/>
      </w:r>
    </w:p>
    <w:p>
      <w:pPr>
        <w:spacing w:after="120"/>
        <w:rPr>
          <w:rFonts w:hint="eastAsia" w:ascii="仿宋" w:hAnsi="仿宋" w:eastAsia="仿宋" w:cs="仿宋"/>
        </w:rPr>
      </w:pPr>
    </w:p>
    <w:p>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kern w:val="0"/>
          <w:sz w:val="32"/>
          <w:szCs w:val="32"/>
          <w:shd w:val="clear" w:color="auto" w:fill="FFFFFF"/>
        </w:rPr>
      </w:pPr>
      <w:r>
        <w:rPr>
          <w:rFonts w:hint="eastAsia" w:ascii="仿宋" w:hAnsi="仿宋" w:eastAsia="仿宋" w:cs="仿宋"/>
          <w:b/>
          <w:color w:val="auto"/>
          <w:kern w:val="0"/>
          <w:sz w:val="32"/>
          <w:szCs w:val="32"/>
          <w:highlight w:val="none"/>
          <w:shd w:val="clear" w:color="auto" w:fill="FFFFFF"/>
          <w:lang w:val="en-US" w:eastAsia="zh-CN" w:bidi="ar-SA"/>
        </w:rPr>
        <w:t>附件2:</w:t>
      </w:r>
      <w:r>
        <w:rPr>
          <w:rFonts w:hint="eastAsia" w:ascii="仿宋" w:hAnsi="仿宋" w:eastAsia="仿宋" w:cs="仿宋"/>
          <w:b/>
          <w:kern w:val="0"/>
          <w:sz w:val="32"/>
          <w:szCs w:val="32"/>
          <w:shd w:val="clear" w:color="auto" w:fill="FFFFFF"/>
        </w:rPr>
        <w:t>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2"/>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3"/>
        <w:tabs>
          <w:tab w:val="left" w:pos="567"/>
        </w:tabs>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rPr>
        <w:sectPr>
          <w:pgSz w:w="11906" w:h="16838"/>
          <w:pgMar w:top="1440" w:right="1531" w:bottom="1440" w:left="1531" w:header="720" w:footer="720" w:gutter="0"/>
          <w:cols w:space="720" w:num="1"/>
          <w:docGrid w:type="lines" w:linePitch="312" w:charSpace="0"/>
        </w:sectPr>
      </w:pPr>
    </w:p>
    <w:p>
      <w:pPr>
        <w:spacing w:line="560" w:lineRule="exact"/>
        <w:ind w:right="-2"/>
        <w:jc w:val="center"/>
        <w:rPr>
          <w:rFonts w:hint="eastAsia" w:ascii="仿宋" w:hAnsi="仿宋" w:eastAsia="仿宋" w:cs="仿宋"/>
          <w:b/>
          <w:bCs/>
          <w:sz w:val="32"/>
          <w:szCs w:val="32"/>
        </w:rPr>
      </w:pPr>
      <w:r>
        <w:rPr>
          <w:rFonts w:hint="eastAsia" w:ascii="仿宋" w:hAnsi="仿宋" w:eastAsia="仿宋" w:cs="仿宋"/>
          <w:b/>
          <w:bCs/>
          <w:sz w:val="32"/>
          <w:szCs w:val="32"/>
        </w:rPr>
        <w:t>投标人委托代理人员信用承诺书</w:t>
      </w:r>
    </w:p>
    <w:p>
      <w:pPr>
        <w:pStyle w:val="23"/>
        <w:rPr>
          <w:rFonts w:hint="eastAsia" w:ascii="仿宋" w:hAnsi="仿宋" w:eastAsia="仿宋" w:cs="仿宋"/>
        </w:rPr>
      </w:pP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pStyle w:val="304"/>
        <w:rPr>
          <w:rFonts w:hint="eastAsia" w:ascii="仿宋" w:hAnsi="仿宋" w:eastAsia="仿宋" w:cs="仿宋"/>
        </w:rPr>
      </w:pPr>
    </w:p>
    <w:p>
      <w:pPr>
        <w:widowControl/>
        <w:spacing w:line="300" w:lineRule="auto"/>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  —</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00" w:lineRule="auto"/>
        <w:ind w:firstLine="482"/>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00" w:lineRule="auto"/>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sz w:val="24"/>
        </w:rPr>
        <w:t>（签字或盖章）</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spacing w:line="300" w:lineRule="auto"/>
        <w:ind w:firstLine="480" w:firstLineChars="200"/>
        <w:rPr>
          <w:rFonts w:hint="eastAsia" w:ascii="仿宋" w:hAnsi="仿宋" w:eastAsia="仿宋" w:cs="仿宋"/>
          <w:b/>
          <w:kern w:val="0"/>
          <w:sz w:val="32"/>
          <w:szCs w:val="32"/>
          <w:shd w:val="clear" w:color="auto" w:fill="FFFFFF"/>
          <w:lang w:val="zh-CN"/>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numPr>
          <w:ilvl w:val="0"/>
          <w:numId w:val="0"/>
        </w:numPr>
        <w:tabs>
          <w:tab w:val="left" w:pos="993"/>
          <w:tab w:val="left" w:pos="1030"/>
          <w:tab w:val="left" w:pos="8364"/>
        </w:tabs>
        <w:snapToGrid w:val="0"/>
        <w:spacing w:after="120" w:afterLines="50" w:line="360" w:lineRule="auto"/>
        <w:ind w:right="-57" w:rightChars="-27"/>
        <w:jc w:val="center"/>
        <w:rPr>
          <w:rFonts w:hint="eastAsia" w:ascii="仿宋" w:hAnsi="仿宋" w:eastAsia="仿宋" w:cs="仿宋"/>
          <w:b/>
          <w:color w:val="auto"/>
          <w:kern w:val="0"/>
          <w:sz w:val="32"/>
          <w:szCs w:val="32"/>
          <w:highlight w:val="none"/>
          <w:shd w:val="clear" w:color="auto" w:fill="FFFFFF"/>
          <w:lang w:val="en-US" w:eastAsia="zh-CN" w:bidi="ar-SA"/>
        </w:rPr>
      </w:pP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b/>
          <w:kern w:val="0"/>
          <w:sz w:val="32"/>
          <w:szCs w:val="32"/>
          <w:shd w:val="clear" w:color="auto" w:fill="FFFFFF"/>
          <w:lang w:val="zh-CN"/>
        </w:rPr>
        <w:t>提供在信用中国（陕西榆林）网址上申报的截图</w:t>
      </w: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rPr>
        <w:t>关于信用承诺网上公示的通知及操作指南</w:t>
      </w:r>
      <w:r>
        <w:rPr>
          <w:rFonts w:hint="eastAsia" w:ascii="仿宋" w:hAnsi="仿宋" w:eastAsia="仿宋" w:cs="仿宋"/>
        </w:rPr>
        <w:drawing>
          <wp:inline distT="0" distB="0" distL="114300" distR="114300">
            <wp:extent cx="5441950" cy="4284980"/>
            <wp:effectExtent l="0" t="0" r="635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730875" cy="3284220"/>
            <wp:effectExtent l="0" t="0" r="317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730875" cy="328422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6"/>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8"/>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9"/>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rcRect t="10237" b="8508"/>
                    <a:stretch>
                      <a:fillRect/>
                    </a:stretch>
                  </pic:blipFill>
                  <pic:spPr>
                    <a:xfrm>
                      <a:off x="0" y="0"/>
                      <a:ext cx="6181090" cy="3074670"/>
                    </a:xfrm>
                    <a:prstGeom prst="rect">
                      <a:avLst/>
                    </a:prstGeom>
                    <a:noFill/>
                    <a:ln>
                      <a:noFill/>
                    </a:ln>
                  </pic:spPr>
                </pic:pic>
              </a:graphicData>
            </a:graphic>
          </wp:inline>
        </w:drawing>
      </w:r>
    </w:p>
    <w:p>
      <w:pPr>
        <w:spacing w:line="360" w:lineRule="auto"/>
        <w:ind w:firstLine="1920" w:firstLineChars="800"/>
        <w:rPr>
          <w:rFonts w:hint="eastAsia" w:ascii="仿宋" w:hAnsi="仿宋" w:eastAsia="仿宋" w:cs="仿宋"/>
          <w:kern w:val="0"/>
          <w:sz w:val="24"/>
          <w:u w:val="single"/>
        </w:rPr>
      </w:pPr>
    </w:p>
    <w:sectPr>
      <w:footerReference r:id="rId9" w:type="first"/>
      <w:headerReference r:id="rId7" w:type="default"/>
      <w:footerReference r:id="rId8"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0000000000000000000"/>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幼圆">
    <w:altName w:val="宋体"/>
    <w:panose1 w:val="02010509060101010101"/>
    <w:charset w:val="86"/>
    <w:family w:val="modern"/>
    <w:pitch w:val="default"/>
    <w:sig w:usb0="00000000" w:usb1="0000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0000000000000000000"/>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2"/>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1F64F9C"/>
    <w:multiLevelType w:val="multilevel"/>
    <w:tmpl w:val="E1F64F9C"/>
    <w:lvl w:ilvl="0" w:tentative="0">
      <w:start w:val="1"/>
      <w:numFmt w:val="lowerLetter"/>
      <w:lvlText w:val="%1)"/>
      <w:lvlJc w:val="left"/>
      <w:pPr>
        <w:tabs>
          <w:tab w:val="left" w:pos="900"/>
        </w:tabs>
        <w:ind w:left="900" w:hanging="420"/>
      </w:pPr>
      <w:rPr>
        <w:rFonts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6"/>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DCB4934"/>
    <w:multiLevelType w:val="multilevel"/>
    <w:tmpl w:val="3DCB4934"/>
    <w:lvl w:ilvl="0" w:tentative="0">
      <w:start w:val="1"/>
      <w:numFmt w:val="decimal"/>
      <w:pStyle w:val="67"/>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537AA372"/>
    <w:multiLevelType w:val="singleLevel"/>
    <w:tmpl w:val="537AA372"/>
    <w:lvl w:ilvl="0" w:tentative="0">
      <w:start w:val="21"/>
      <w:numFmt w:val="decimal"/>
      <w:suff w:val="space"/>
      <w:lvlText w:val="%1."/>
      <w:lvlJc w:val="left"/>
    </w:lvl>
  </w:abstractNum>
  <w:abstractNum w:abstractNumId="9">
    <w:nsid w:val="58E9361C"/>
    <w:multiLevelType w:val="multilevel"/>
    <w:tmpl w:val="58E9361C"/>
    <w:lvl w:ilvl="0" w:tentative="0">
      <w:start w:val="1"/>
      <w:numFmt w:val="lowerLetter"/>
      <w:lvlText w:val="%1)"/>
      <w:lvlJc w:val="left"/>
      <w:pPr>
        <w:tabs>
          <w:tab w:val="left" w:pos="900"/>
        </w:tabs>
        <w:ind w:left="900" w:hanging="420"/>
      </w:pPr>
      <w:rPr>
        <w:rFonts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0">
    <w:nsid w:val="624D1350"/>
    <w:multiLevelType w:val="singleLevel"/>
    <w:tmpl w:val="624D1350"/>
    <w:lvl w:ilvl="0" w:tentative="0">
      <w:start w:val="25"/>
      <w:numFmt w:val="decimal"/>
      <w:suff w:val="space"/>
      <w:lvlText w:val="%1."/>
      <w:lvlJc w:val="left"/>
    </w:lvl>
  </w:abstractNum>
  <w:abstractNum w:abstractNumId="11">
    <w:nsid w:val="6CEA2025"/>
    <w:multiLevelType w:val="multilevel"/>
    <w:tmpl w:val="6CEA2025"/>
    <w:lvl w:ilvl="0" w:tentative="0">
      <w:start w:val="1"/>
      <w:numFmt w:val="none"/>
      <w:pStyle w:val="244"/>
      <w:suff w:val="nothing"/>
      <w:lvlText w:val="%1"/>
      <w:lvlJc w:val="left"/>
      <w:pPr>
        <w:ind w:left="0" w:firstLine="0"/>
      </w:pPr>
      <w:rPr>
        <w:rFonts w:hint="default" w:ascii="Times New Roman" w:hAnsi="Times New Roman"/>
        <w:b/>
        <w:i w:val="0"/>
        <w:sz w:val="21"/>
      </w:rPr>
    </w:lvl>
    <w:lvl w:ilvl="1" w:tentative="0">
      <w:start w:val="1"/>
      <w:numFmt w:val="decimal"/>
      <w:pStyle w:val="245"/>
      <w:suff w:val="nothing"/>
      <w:lvlText w:val="%1%2　"/>
      <w:lvlJc w:val="left"/>
      <w:pPr>
        <w:ind w:left="315" w:firstLine="0"/>
      </w:pPr>
      <w:rPr>
        <w:rFonts w:hint="eastAsia" w:ascii="黑体" w:hAnsi="Times New Roman" w:eastAsia="黑体"/>
        <w:b w:val="0"/>
        <w:i w:val="0"/>
        <w:sz w:val="21"/>
      </w:rPr>
    </w:lvl>
    <w:lvl w:ilvl="2" w:tentative="0">
      <w:start w:val="1"/>
      <w:numFmt w:val="decimal"/>
      <w:pStyle w:val="246"/>
      <w:suff w:val="nothing"/>
      <w:lvlText w:val="%1%2.%3　"/>
      <w:lvlJc w:val="left"/>
      <w:pPr>
        <w:ind w:left="630" w:firstLine="0"/>
      </w:pPr>
      <w:rPr>
        <w:rFonts w:hint="eastAsia" w:ascii="黑体" w:hAnsi="Times New Roman" w:eastAsia="黑体"/>
        <w:b w:val="0"/>
        <w:i w:val="0"/>
        <w:sz w:val="21"/>
      </w:rPr>
    </w:lvl>
    <w:lvl w:ilvl="3" w:tentative="0">
      <w:start w:val="1"/>
      <w:numFmt w:val="decimal"/>
      <w:pStyle w:val="247"/>
      <w:suff w:val="nothing"/>
      <w:lvlText w:val="%1%2.%3.%4　"/>
      <w:lvlJc w:val="left"/>
      <w:pPr>
        <w:ind w:left="567" w:firstLine="0"/>
      </w:pPr>
      <w:rPr>
        <w:rFonts w:hint="eastAsia" w:ascii="黑体" w:hAnsi="Times New Roman" w:eastAsia="黑体"/>
        <w:b w:val="0"/>
        <w:i w:val="0"/>
        <w:sz w:val="21"/>
      </w:rPr>
    </w:lvl>
    <w:lvl w:ilvl="4" w:tentative="0">
      <w:start w:val="1"/>
      <w:numFmt w:val="decimal"/>
      <w:pStyle w:val="249"/>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50"/>
      <w:suff w:val="nothing"/>
      <w:lvlText w:val="%1%2.%3.%4.%5.%6　"/>
      <w:lvlJc w:val="left"/>
      <w:pPr>
        <w:ind w:left="0" w:firstLine="0"/>
      </w:pPr>
      <w:rPr>
        <w:rFonts w:hint="eastAsia" w:ascii="黑体" w:hAnsi="Times New Roman" w:eastAsia="黑体"/>
        <w:b w:val="0"/>
        <w:i w:val="0"/>
        <w:sz w:val="21"/>
      </w:rPr>
    </w:lvl>
    <w:lvl w:ilvl="6" w:tentative="0">
      <w:start w:val="1"/>
      <w:numFmt w:val="decimal"/>
      <w:pStyle w:val="25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76933334"/>
    <w:multiLevelType w:val="multilevel"/>
    <w:tmpl w:val="76933334"/>
    <w:lvl w:ilvl="0" w:tentative="0">
      <w:start w:val="1"/>
      <w:numFmt w:val="none"/>
      <w:pStyle w:val="248"/>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7"/>
  </w:num>
  <w:num w:numId="3">
    <w:abstractNumId w:val="2"/>
  </w:num>
  <w:num w:numId="4">
    <w:abstractNumId w:val="11"/>
  </w:num>
  <w:num w:numId="5">
    <w:abstractNumId w:val="13"/>
  </w:num>
  <w:num w:numId="6">
    <w:abstractNumId w:val="6"/>
  </w:num>
  <w:num w:numId="7">
    <w:abstractNumId w:val="5"/>
  </w:num>
  <w:num w:numId="8">
    <w:abstractNumId w:val="8"/>
  </w:num>
  <w:num w:numId="9">
    <w:abstractNumId w:val="10"/>
  </w:num>
  <w:num w:numId="10">
    <w:abstractNumId w:val="4"/>
  </w:num>
  <w:num w:numId="11">
    <w:abstractNumId w:val="1"/>
  </w:num>
  <w:num w:numId="12">
    <w:abstractNumId w:val="9"/>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yYTA5M2U4MDg4NWZlZTgwNmQ2MWI2OTRhMzllNDI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091C"/>
    <w:rsid w:val="000739EC"/>
    <w:rsid w:val="000864F6"/>
    <w:rsid w:val="0008767F"/>
    <w:rsid w:val="00090E0B"/>
    <w:rsid w:val="00091EC9"/>
    <w:rsid w:val="0009361A"/>
    <w:rsid w:val="0009381E"/>
    <w:rsid w:val="00093935"/>
    <w:rsid w:val="0009799D"/>
    <w:rsid w:val="000A0D66"/>
    <w:rsid w:val="000A15A6"/>
    <w:rsid w:val="000A2D28"/>
    <w:rsid w:val="000A4FE6"/>
    <w:rsid w:val="000B5CCC"/>
    <w:rsid w:val="000C135C"/>
    <w:rsid w:val="000C3906"/>
    <w:rsid w:val="000C5BB6"/>
    <w:rsid w:val="000D231B"/>
    <w:rsid w:val="000D4A95"/>
    <w:rsid w:val="000D6BDC"/>
    <w:rsid w:val="000E103E"/>
    <w:rsid w:val="000E1212"/>
    <w:rsid w:val="000E2D1B"/>
    <w:rsid w:val="000E5101"/>
    <w:rsid w:val="000E638B"/>
    <w:rsid w:val="000F3A5B"/>
    <w:rsid w:val="001019AA"/>
    <w:rsid w:val="00101B5E"/>
    <w:rsid w:val="001027AD"/>
    <w:rsid w:val="00106BC6"/>
    <w:rsid w:val="00112F6D"/>
    <w:rsid w:val="0011313B"/>
    <w:rsid w:val="00115263"/>
    <w:rsid w:val="0012603F"/>
    <w:rsid w:val="00130EAA"/>
    <w:rsid w:val="00134EE0"/>
    <w:rsid w:val="00136E83"/>
    <w:rsid w:val="001408CC"/>
    <w:rsid w:val="00145E81"/>
    <w:rsid w:val="001500A1"/>
    <w:rsid w:val="0015108F"/>
    <w:rsid w:val="0015361A"/>
    <w:rsid w:val="00153D2A"/>
    <w:rsid w:val="001618BA"/>
    <w:rsid w:val="00162B16"/>
    <w:rsid w:val="00163258"/>
    <w:rsid w:val="001633CE"/>
    <w:rsid w:val="00167244"/>
    <w:rsid w:val="00170E92"/>
    <w:rsid w:val="00172A27"/>
    <w:rsid w:val="00173C23"/>
    <w:rsid w:val="00173CC1"/>
    <w:rsid w:val="00175AAF"/>
    <w:rsid w:val="00183796"/>
    <w:rsid w:val="00185079"/>
    <w:rsid w:val="00187220"/>
    <w:rsid w:val="00194AEF"/>
    <w:rsid w:val="00195D18"/>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17DC"/>
    <w:rsid w:val="001E5ACA"/>
    <w:rsid w:val="001E6E32"/>
    <w:rsid w:val="001F2147"/>
    <w:rsid w:val="001F2DA3"/>
    <w:rsid w:val="001F642F"/>
    <w:rsid w:val="00200AA2"/>
    <w:rsid w:val="00210A41"/>
    <w:rsid w:val="0021263B"/>
    <w:rsid w:val="0021351E"/>
    <w:rsid w:val="002156D3"/>
    <w:rsid w:val="00220DD5"/>
    <w:rsid w:val="00222276"/>
    <w:rsid w:val="00225490"/>
    <w:rsid w:val="0022779B"/>
    <w:rsid w:val="00237812"/>
    <w:rsid w:val="00240C69"/>
    <w:rsid w:val="00246479"/>
    <w:rsid w:val="00247D31"/>
    <w:rsid w:val="002527EC"/>
    <w:rsid w:val="0026051F"/>
    <w:rsid w:val="00262E9E"/>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2515"/>
    <w:rsid w:val="002D4A13"/>
    <w:rsid w:val="002E0001"/>
    <w:rsid w:val="002E321E"/>
    <w:rsid w:val="002E32E8"/>
    <w:rsid w:val="002E5A17"/>
    <w:rsid w:val="002E601A"/>
    <w:rsid w:val="002F1770"/>
    <w:rsid w:val="002F2F49"/>
    <w:rsid w:val="002F2FB6"/>
    <w:rsid w:val="002F5F72"/>
    <w:rsid w:val="002F6981"/>
    <w:rsid w:val="00304929"/>
    <w:rsid w:val="00310A20"/>
    <w:rsid w:val="00326D08"/>
    <w:rsid w:val="003312CA"/>
    <w:rsid w:val="00334EF7"/>
    <w:rsid w:val="00340ED3"/>
    <w:rsid w:val="00355C44"/>
    <w:rsid w:val="00367444"/>
    <w:rsid w:val="003703B4"/>
    <w:rsid w:val="0037250B"/>
    <w:rsid w:val="00373E63"/>
    <w:rsid w:val="0037458F"/>
    <w:rsid w:val="003778AA"/>
    <w:rsid w:val="003803CD"/>
    <w:rsid w:val="003816EF"/>
    <w:rsid w:val="00381BAF"/>
    <w:rsid w:val="00383DEC"/>
    <w:rsid w:val="0038577F"/>
    <w:rsid w:val="00387748"/>
    <w:rsid w:val="0039011E"/>
    <w:rsid w:val="0039337E"/>
    <w:rsid w:val="00394350"/>
    <w:rsid w:val="00394484"/>
    <w:rsid w:val="00396A62"/>
    <w:rsid w:val="003A02D7"/>
    <w:rsid w:val="003A0A59"/>
    <w:rsid w:val="003B41E8"/>
    <w:rsid w:val="003C1B37"/>
    <w:rsid w:val="003C3FCE"/>
    <w:rsid w:val="003C5F20"/>
    <w:rsid w:val="003D08D2"/>
    <w:rsid w:val="003D1432"/>
    <w:rsid w:val="003D378B"/>
    <w:rsid w:val="003D6CC0"/>
    <w:rsid w:val="003D6F83"/>
    <w:rsid w:val="003E0455"/>
    <w:rsid w:val="003E6091"/>
    <w:rsid w:val="003E6268"/>
    <w:rsid w:val="003F1C98"/>
    <w:rsid w:val="003F598A"/>
    <w:rsid w:val="00400609"/>
    <w:rsid w:val="00401C3B"/>
    <w:rsid w:val="00402745"/>
    <w:rsid w:val="0040289E"/>
    <w:rsid w:val="004035B3"/>
    <w:rsid w:val="00410849"/>
    <w:rsid w:val="00421C0B"/>
    <w:rsid w:val="004247BB"/>
    <w:rsid w:val="00424FDA"/>
    <w:rsid w:val="00424FED"/>
    <w:rsid w:val="00425851"/>
    <w:rsid w:val="00425E9F"/>
    <w:rsid w:val="00427494"/>
    <w:rsid w:val="0043286E"/>
    <w:rsid w:val="00441E37"/>
    <w:rsid w:val="00442A84"/>
    <w:rsid w:val="00443C15"/>
    <w:rsid w:val="00465B46"/>
    <w:rsid w:val="0046702F"/>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E6739"/>
    <w:rsid w:val="004F4B90"/>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57657"/>
    <w:rsid w:val="00562743"/>
    <w:rsid w:val="00562C82"/>
    <w:rsid w:val="005724F7"/>
    <w:rsid w:val="0057296E"/>
    <w:rsid w:val="00572DA7"/>
    <w:rsid w:val="00573153"/>
    <w:rsid w:val="00573C62"/>
    <w:rsid w:val="00574517"/>
    <w:rsid w:val="00593677"/>
    <w:rsid w:val="00594BFB"/>
    <w:rsid w:val="005A157D"/>
    <w:rsid w:val="005A3176"/>
    <w:rsid w:val="005A3911"/>
    <w:rsid w:val="005B0EE1"/>
    <w:rsid w:val="005B4961"/>
    <w:rsid w:val="005C1347"/>
    <w:rsid w:val="005C2FC9"/>
    <w:rsid w:val="005C32D0"/>
    <w:rsid w:val="005C75CD"/>
    <w:rsid w:val="005D0DAD"/>
    <w:rsid w:val="005D11BD"/>
    <w:rsid w:val="005D3236"/>
    <w:rsid w:val="005D391F"/>
    <w:rsid w:val="005D4608"/>
    <w:rsid w:val="005D5C6A"/>
    <w:rsid w:val="005D626C"/>
    <w:rsid w:val="005E226F"/>
    <w:rsid w:val="005E62A2"/>
    <w:rsid w:val="005E725B"/>
    <w:rsid w:val="005F2153"/>
    <w:rsid w:val="005F5F4A"/>
    <w:rsid w:val="005F65DF"/>
    <w:rsid w:val="005F7683"/>
    <w:rsid w:val="00610176"/>
    <w:rsid w:val="0061360E"/>
    <w:rsid w:val="006140A6"/>
    <w:rsid w:val="00625A1F"/>
    <w:rsid w:val="0062765A"/>
    <w:rsid w:val="0063060A"/>
    <w:rsid w:val="00630C07"/>
    <w:rsid w:val="00630C0C"/>
    <w:rsid w:val="006369E3"/>
    <w:rsid w:val="0064266B"/>
    <w:rsid w:val="00643C14"/>
    <w:rsid w:val="00651B51"/>
    <w:rsid w:val="0065448D"/>
    <w:rsid w:val="00656141"/>
    <w:rsid w:val="006561CA"/>
    <w:rsid w:val="0065724B"/>
    <w:rsid w:val="00660AD9"/>
    <w:rsid w:val="00661C43"/>
    <w:rsid w:val="0066575C"/>
    <w:rsid w:val="00670409"/>
    <w:rsid w:val="0067503A"/>
    <w:rsid w:val="006753AD"/>
    <w:rsid w:val="00675BB2"/>
    <w:rsid w:val="006760B5"/>
    <w:rsid w:val="00682569"/>
    <w:rsid w:val="00684CC0"/>
    <w:rsid w:val="00685847"/>
    <w:rsid w:val="006859E8"/>
    <w:rsid w:val="006906B1"/>
    <w:rsid w:val="00691990"/>
    <w:rsid w:val="00694AD5"/>
    <w:rsid w:val="006A0D3D"/>
    <w:rsid w:val="006A414E"/>
    <w:rsid w:val="006A5F7C"/>
    <w:rsid w:val="006A6858"/>
    <w:rsid w:val="006A7003"/>
    <w:rsid w:val="006B00F6"/>
    <w:rsid w:val="006C0DD3"/>
    <w:rsid w:val="006C20DF"/>
    <w:rsid w:val="006C2CFB"/>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0773"/>
    <w:rsid w:val="00705212"/>
    <w:rsid w:val="007079A5"/>
    <w:rsid w:val="007108A1"/>
    <w:rsid w:val="00711EA4"/>
    <w:rsid w:val="00716957"/>
    <w:rsid w:val="00720269"/>
    <w:rsid w:val="007219AF"/>
    <w:rsid w:val="007247E7"/>
    <w:rsid w:val="007249D9"/>
    <w:rsid w:val="00724A04"/>
    <w:rsid w:val="00735AA2"/>
    <w:rsid w:val="00735EA4"/>
    <w:rsid w:val="00740059"/>
    <w:rsid w:val="00740FB3"/>
    <w:rsid w:val="00741699"/>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76F94"/>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2B77"/>
    <w:rsid w:val="008F42F1"/>
    <w:rsid w:val="008F5042"/>
    <w:rsid w:val="00902DE7"/>
    <w:rsid w:val="00904AE8"/>
    <w:rsid w:val="0091049B"/>
    <w:rsid w:val="00912229"/>
    <w:rsid w:val="00915E8C"/>
    <w:rsid w:val="00921008"/>
    <w:rsid w:val="00921EB2"/>
    <w:rsid w:val="009224A5"/>
    <w:rsid w:val="009238F5"/>
    <w:rsid w:val="009311D0"/>
    <w:rsid w:val="009312FA"/>
    <w:rsid w:val="0093690A"/>
    <w:rsid w:val="0094157C"/>
    <w:rsid w:val="00945162"/>
    <w:rsid w:val="00945555"/>
    <w:rsid w:val="009523E8"/>
    <w:rsid w:val="0095414E"/>
    <w:rsid w:val="00954420"/>
    <w:rsid w:val="00957118"/>
    <w:rsid w:val="00961697"/>
    <w:rsid w:val="009633A0"/>
    <w:rsid w:val="00966B28"/>
    <w:rsid w:val="00972AD9"/>
    <w:rsid w:val="00972D74"/>
    <w:rsid w:val="0097394C"/>
    <w:rsid w:val="00976333"/>
    <w:rsid w:val="00976425"/>
    <w:rsid w:val="009808B4"/>
    <w:rsid w:val="00982114"/>
    <w:rsid w:val="00985D63"/>
    <w:rsid w:val="009864F9"/>
    <w:rsid w:val="0099054D"/>
    <w:rsid w:val="00992349"/>
    <w:rsid w:val="00992AA1"/>
    <w:rsid w:val="00994A20"/>
    <w:rsid w:val="009954FA"/>
    <w:rsid w:val="009A00B0"/>
    <w:rsid w:val="009A10A6"/>
    <w:rsid w:val="009A36D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01CC5"/>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428E"/>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076"/>
    <w:rsid w:val="00AF0FAA"/>
    <w:rsid w:val="00AF1C97"/>
    <w:rsid w:val="00AF28CD"/>
    <w:rsid w:val="00AF4B6C"/>
    <w:rsid w:val="00AF7370"/>
    <w:rsid w:val="00B010E0"/>
    <w:rsid w:val="00B02899"/>
    <w:rsid w:val="00B02F52"/>
    <w:rsid w:val="00B15DD6"/>
    <w:rsid w:val="00B15DFE"/>
    <w:rsid w:val="00B165F7"/>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72D2A"/>
    <w:rsid w:val="00B8179D"/>
    <w:rsid w:val="00B84903"/>
    <w:rsid w:val="00B92025"/>
    <w:rsid w:val="00B967ED"/>
    <w:rsid w:val="00B97F5C"/>
    <w:rsid w:val="00BA17CC"/>
    <w:rsid w:val="00BA6742"/>
    <w:rsid w:val="00BA7DCB"/>
    <w:rsid w:val="00BC231E"/>
    <w:rsid w:val="00BC3338"/>
    <w:rsid w:val="00BC495B"/>
    <w:rsid w:val="00BC4FE1"/>
    <w:rsid w:val="00BC5F50"/>
    <w:rsid w:val="00BD1731"/>
    <w:rsid w:val="00BD2C47"/>
    <w:rsid w:val="00BD4D76"/>
    <w:rsid w:val="00BD4E36"/>
    <w:rsid w:val="00BD763B"/>
    <w:rsid w:val="00BD7F15"/>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47D9B"/>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CF22E2"/>
    <w:rsid w:val="00CF4A40"/>
    <w:rsid w:val="00D01379"/>
    <w:rsid w:val="00D0569E"/>
    <w:rsid w:val="00D23560"/>
    <w:rsid w:val="00D25854"/>
    <w:rsid w:val="00D27402"/>
    <w:rsid w:val="00D30536"/>
    <w:rsid w:val="00D31E4B"/>
    <w:rsid w:val="00D325EA"/>
    <w:rsid w:val="00D35348"/>
    <w:rsid w:val="00D3565A"/>
    <w:rsid w:val="00D411BC"/>
    <w:rsid w:val="00D41306"/>
    <w:rsid w:val="00D45F64"/>
    <w:rsid w:val="00D506F5"/>
    <w:rsid w:val="00D51A3F"/>
    <w:rsid w:val="00D54273"/>
    <w:rsid w:val="00D55ADC"/>
    <w:rsid w:val="00D62DF1"/>
    <w:rsid w:val="00D6592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6F9A"/>
    <w:rsid w:val="00DA178E"/>
    <w:rsid w:val="00DA1939"/>
    <w:rsid w:val="00DA552B"/>
    <w:rsid w:val="00DA6A22"/>
    <w:rsid w:val="00DC0934"/>
    <w:rsid w:val="00DC546D"/>
    <w:rsid w:val="00DD10CD"/>
    <w:rsid w:val="00DE4818"/>
    <w:rsid w:val="00DE57D5"/>
    <w:rsid w:val="00DF2F86"/>
    <w:rsid w:val="00DF4D97"/>
    <w:rsid w:val="00DF780E"/>
    <w:rsid w:val="00E040F3"/>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2373"/>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993"/>
    <w:rsid w:val="00EB5B56"/>
    <w:rsid w:val="00EB75AB"/>
    <w:rsid w:val="00EC4AB3"/>
    <w:rsid w:val="00EC603D"/>
    <w:rsid w:val="00EC618E"/>
    <w:rsid w:val="00ED12D4"/>
    <w:rsid w:val="00ED4E89"/>
    <w:rsid w:val="00EE20B7"/>
    <w:rsid w:val="00EE4502"/>
    <w:rsid w:val="00EF77C3"/>
    <w:rsid w:val="00F00998"/>
    <w:rsid w:val="00F013B5"/>
    <w:rsid w:val="00F06D26"/>
    <w:rsid w:val="00F0784F"/>
    <w:rsid w:val="00F204B5"/>
    <w:rsid w:val="00F2464A"/>
    <w:rsid w:val="00F25E73"/>
    <w:rsid w:val="00F26088"/>
    <w:rsid w:val="00F41DAF"/>
    <w:rsid w:val="00F46F0E"/>
    <w:rsid w:val="00F50828"/>
    <w:rsid w:val="00F52936"/>
    <w:rsid w:val="00F52B8C"/>
    <w:rsid w:val="00F602DF"/>
    <w:rsid w:val="00F64DF4"/>
    <w:rsid w:val="00F67C33"/>
    <w:rsid w:val="00F7008C"/>
    <w:rsid w:val="00F74506"/>
    <w:rsid w:val="00F77351"/>
    <w:rsid w:val="00F81A9D"/>
    <w:rsid w:val="00F83C5D"/>
    <w:rsid w:val="00F83DAA"/>
    <w:rsid w:val="00F854CB"/>
    <w:rsid w:val="00F86F2D"/>
    <w:rsid w:val="00F92E18"/>
    <w:rsid w:val="00F95CCB"/>
    <w:rsid w:val="00F977A0"/>
    <w:rsid w:val="00F97A26"/>
    <w:rsid w:val="00FA1D2C"/>
    <w:rsid w:val="00FA1F1A"/>
    <w:rsid w:val="00FA2237"/>
    <w:rsid w:val="00FA2C5D"/>
    <w:rsid w:val="00FA5FF9"/>
    <w:rsid w:val="00FB49E3"/>
    <w:rsid w:val="00FB64AE"/>
    <w:rsid w:val="00FB7DA7"/>
    <w:rsid w:val="00FC2897"/>
    <w:rsid w:val="00FD2F77"/>
    <w:rsid w:val="00FD2F93"/>
    <w:rsid w:val="00FD71F3"/>
    <w:rsid w:val="00FE7373"/>
    <w:rsid w:val="00FE7EEA"/>
    <w:rsid w:val="00FF1ECD"/>
    <w:rsid w:val="00FF6AE6"/>
    <w:rsid w:val="01276CE6"/>
    <w:rsid w:val="01391AF7"/>
    <w:rsid w:val="01497155"/>
    <w:rsid w:val="01730E01"/>
    <w:rsid w:val="017E0CD4"/>
    <w:rsid w:val="01A56820"/>
    <w:rsid w:val="01B73196"/>
    <w:rsid w:val="01DB0F21"/>
    <w:rsid w:val="01F85948"/>
    <w:rsid w:val="027D1EDC"/>
    <w:rsid w:val="02AA6F17"/>
    <w:rsid w:val="02E6429D"/>
    <w:rsid w:val="032E5AB3"/>
    <w:rsid w:val="03374FA4"/>
    <w:rsid w:val="0380752A"/>
    <w:rsid w:val="03C4317A"/>
    <w:rsid w:val="03CF5E03"/>
    <w:rsid w:val="041E1097"/>
    <w:rsid w:val="04874841"/>
    <w:rsid w:val="04AF0DC0"/>
    <w:rsid w:val="04B0389B"/>
    <w:rsid w:val="04E35F2C"/>
    <w:rsid w:val="04EB4ECE"/>
    <w:rsid w:val="053371D4"/>
    <w:rsid w:val="053B700A"/>
    <w:rsid w:val="05A9381E"/>
    <w:rsid w:val="05CA3B1B"/>
    <w:rsid w:val="05D40F8A"/>
    <w:rsid w:val="05E97CB2"/>
    <w:rsid w:val="060D6A3B"/>
    <w:rsid w:val="06127C3D"/>
    <w:rsid w:val="06193B1E"/>
    <w:rsid w:val="06383C8B"/>
    <w:rsid w:val="06402A94"/>
    <w:rsid w:val="06AB6FF1"/>
    <w:rsid w:val="06C6067E"/>
    <w:rsid w:val="06DF18E2"/>
    <w:rsid w:val="0707497A"/>
    <w:rsid w:val="07394A3D"/>
    <w:rsid w:val="07416329"/>
    <w:rsid w:val="07501B9E"/>
    <w:rsid w:val="07C548CA"/>
    <w:rsid w:val="081C62E9"/>
    <w:rsid w:val="082B0E32"/>
    <w:rsid w:val="0838785B"/>
    <w:rsid w:val="08545BC6"/>
    <w:rsid w:val="08727C1D"/>
    <w:rsid w:val="087D0B78"/>
    <w:rsid w:val="08894DF6"/>
    <w:rsid w:val="0920129B"/>
    <w:rsid w:val="09225EC4"/>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275A89"/>
    <w:rsid w:val="0C774C9E"/>
    <w:rsid w:val="0CBB5882"/>
    <w:rsid w:val="0CD61017"/>
    <w:rsid w:val="0D531CDF"/>
    <w:rsid w:val="0D7C25A0"/>
    <w:rsid w:val="0DB939A6"/>
    <w:rsid w:val="0DCA3125"/>
    <w:rsid w:val="0E211365"/>
    <w:rsid w:val="0E416A77"/>
    <w:rsid w:val="0E5C2657"/>
    <w:rsid w:val="0E5C7CE8"/>
    <w:rsid w:val="0EA34036"/>
    <w:rsid w:val="0EB049DF"/>
    <w:rsid w:val="0EB63F9D"/>
    <w:rsid w:val="0EFA06A7"/>
    <w:rsid w:val="0F227C07"/>
    <w:rsid w:val="0F245037"/>
    <w:rsid w:val="0F54794B"/>
    <w:rsid w:val="0F6A354E"/>
    <w:rsid w:val="0F88478D"/>
    <w:rsid w:val="0F916CE2"/>
    <w:rsid w:val="0FB73DA5"/>
    <w:rsid w:val="0FCE37C4"/>
    <w:rsid w:val="0FDE2587"/>
    <w:rsid w:val="101271B8"/>
    <w:rsid w:val="101B0BC4"/>
    <w:rsid w:val="103649EC"/>
    <w:rsid w:val="1040315F"/>
    <w:rsid w:val="10507757"/>
    <w:rsid w:val="105772C0"/>
    <w:rsid w:val="107A1082"/>
    <w:rsid w:val="109E7189"/>
    <w:rsid w:val="10C72BB3"/>
    <w:rsid w:val="10E700D4"/>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95DC4"/>
    <w:rsid w:val="142A3E2D"/>
    <w:rsid w:val="144A7973"/>
    <w:rsid w:val="149F40AE"/>
    <w:rsid w:val="14E5758A"/>
    <w:rsid w:val="14FB7DA2"/>
    <w:rsid w:val="15567E44"/>
    <w:rsid w:val="158710F3"/>
    <w:rsid w:val="15920D94"/>
    <w:rsid w:val="15BC1451"/>
    <w:rsid w:val="15C772F3"/>
    <w:rsid w:val="15CE4C34"/>
    <w:rsid w:val="15D631FF"/>
    <w:rsid w:val="15F0775C"/>
    <w:rsid w:val="15F775EA"/>
    <w:rsid w:val="1609374C"/>
    <w:rsid w:val="160A0AD0"/>
    <w:rsid w:val="16156D9B"/>
    <w:rsid w:val="16206886"/>
    <w:rsid w:val="16401732"/>
    <w:rsid w:val="165B6F79"/>
    <w:rsid w:val="166E5EB0"/>
    <w:rsid w:val="16C01EAE"/>
    <w:rsid w:val="16F214B3"/>
    <w:rsid w:val="16F50974"/>
    <w:rsid w:val="17123F41"/>
    <w:rsid w:val="17390428"/>
    <w:rsid w:val="173F1D8E"/>
    <w:rsid w:val="177A195D"/>
    <w:rsid w:val="17D56968"/>
    <w:rsid w:val="17D67E1B"/>
    <w:rsid w:val="17E50036"/>
    <w:rsid w:val="1820060E"/>
    <w:rsid w:val="18205BA9"/>
    <w:rsid w:val="18370FAA"/>
    <w:rsid w:val="188D7D42"/>
    <w:rsid w:val="1890464C"/>
    <w:rsid w:val="18C45643"/>
    <w:rsid w:val="19146F58"/>
    <w:rsid w:val="19153875"/>
    <w:rsid w:val="19575882"/>
    <w:rsid w:val="195E155B"/>
    <w:rsid w:val="197321D5"/>
    <w:rsid w:val="199944A6"/>
    <w:rsid w:val="19BE3F0C"/>
    <w:rsid w:val="1A0C41D1"/>
    <w:rsid w:val="1A336BE7"/>
    <w:rsid w:val="1A497C7A"/>
    <w:rsid w:val="1A612D7C"/>
    <w:rsid w:val="1A654C99"/>
    <w:rsid w:val="1A7F6A7E"/>
    <w:rsid w:val="1A807E72"/>
    <w:rsid w:val="1A8A2A47"/>
    <w:rsid w:val="1B16166A"/>
    <w:rsid w:val="1BB93E83"/>
    <w:rsid w:val="1BC644B6"/>
    <w:rsid w:val="1BF50CA0"/>
    <w:rsid w:val="1C613AB1"/>
    <w:rsid w:val="1C763D6F"/>
    <w:rsid w:val="1C8C0466"/>
    <w:rsid w:val="1CBA3F3A"/>
    <w:rsid w:val="1CC854C2"/>
    <w:rsid w:val="1D0121D0"/>
    <w:rsid w:val="1D525097"/>
    <w:rsid w:val="1D5B524F"/>
    <w:rsid w:val="1D6D3522"/>
    <w:rsid w:val="1D8A1EF5"/>
    <w:rsid w:val="1DAB5588"/>
    <w:rsid w:val="1DD72694"/>
    <w:rsid w:val="1DDE1DE9"/>
    <w:rsid w:val="1DFA7416"/>
    <w:rsid w:val="1EFD5795"/>
    <w:rsid w:val="1F474868"/>
    <w:rsid w:val="1F883C9F"/>
    <w:rsid w:val="1F971592"/>
    <w:rsid w:val="1FB94E27"/>
    <w:rsid w:val="1FE57CFE"/>
    <w:rsid w:val="1FF41576"/>
    <w:rsid w:val="200A3A73"/>
    <w:rsid w:val="208337BA"/>
    <w:rsid w:val="208357DD"/>
    <w:rsid w:val="20947DAF"/>
    <w:rsid w:val="20AF20C5"/>
    <w:rsid w:val="20EB717A"/>
    <w:rsid w:val="20ED7306"/>
    <w:rsid w:val="20F96916"/>
    <w:rsid w:val="211106C5"/>
    <w:rsid w:val="21431785"/>
    <w:rsid w:val="219E251A"/>
    <w:rsid w:val="21C24F4B"/>
    <w:rsid w:val="21D73DBD"/>
    <w:rsid w:val="22071464"/>
    <w:rsid w:val="22283C9F"/>
    <w:rsid w:val="2232235C"/>
    <w:rsid w:val="23171F3C"/>
    <w:rsid w:val="23291785"/>
    <w:rsid w:val="23710488"/>
    <w:rsid w:val="2381304A"/>
    <w:rsid w:val="23A7789F"/>
    <w:rsid w:val="23BB002C"/>
    <w:rsid w:val="23C33515"/>
    <w:rsid w:val="23F1680C"/>
    <w:rsid w:val="242E494F"/>
    <w:rsid w:val="243479AD"/>
    <w:rsid w:val="243E15D5"/>
    <w:rsid w:val="24551238"/>
    <w:rsid w:val="248E2DBA"/>
    <w:rsid w:val="25224672"/>
    <w:rsid w:val="25250089"/>
    <w:rsid w:val="25252A8D"/>
    <w:rsid w:val="25A67057"/>
    <w:rsid w:val="25D54115"/>
    <w:rsid w:val="25F72F27"/>
    <w:rsid w:val="260F4C55"/>
    <w:rsid w:val="26291B1A"/>
    <w:rsid w:val="26763E6F"/>
    <w:rsid w:val="267C3983"/>
    <w:rsid w:val="26D82BDE"/>
    <w:rsid w:val="26EB0757"/>
    <w:rsid w:val="270101AC"/>
    <w:rsid w:val="2719451E"/>
    <w:rsid w:val="27455C6D"/>
    <w:rsid w:val="274D71B2"/>
    <w:rsid w:val="2751147F"/>
    <w:rsid w:val="27706CF6"/>
    <w:rsid w:val="279C6957"/>
    <w:rsid w:val="27D32B77"/>
    <w:rsid w:val="27DE5929"/>
    <w:rsid w:val="27DF2EAA"/>
    <w:rsid w:val="27E14C4C"/>
    <w:rsid w:val="27E64D5A"/>
    <w:rsid w:val="282160D2"/>
    <w:rsid w:val="286C62A1"/>
    <w:rsid w:val="289E5635"/>
    <w:rsid w:val="28A069B8"/>
    <w:rsid w:val="28C21683"/>
    <w:rsid w:val="28F72971"/>
    <w:rsid w:val="290F3C6E"/>
    <w:rsid w:val="299763A4"/>
    <w:rsid w:val="2A3073E0"/>
    <w:rsid w:val="2AE35535"/>
    <w:rsid w:val="2AF41E87"/>
    <w:rsid w:val="2B496FA3"/>
    <w:rsid w:val="2B532BFE"/>
    <w:rsid w:val="2B6A469F"/>
    <w:rsid w:val="2BAC65A8"/>
    <w:rsid w:val="2BB024B4"/>
    <w:rsid w:val="2BC60F98"/>
    <w:rsid w:val="2BCB45F0"/>
    <w:rsid w:val="2C066A1A"/>
    <w:rsid w:val="2C0B4AE6"/>
    <w:rsid w:val="2C3F7504"/>
    <w:rsid w:val="2C4375F9"/>
    <w:rsid w:val="2C5B510F"/>
    <w:rsid w:val="2C8165FA"/>
    <w:rsid w:val="2C944EC5"/>
    <w:rsid w:val="2CAC7CBD"/>
    <w:rsid w:val="2CCC08A3"/>
    <w:rsid w:val="2D0A514C"/>
    <w:rsid w:val="2D2F30DD"/>
    <w:rsid w:val="2D3F44AA"/>
    <w:rsid w:val="2DB235BF"/>
    <w:rsid w:val="2DE774D2"/>
    <w:rsid w:val="2E577392"/>
    <w:rsid w:val="2E6E6547"/>
    <w:rsid w:val="2E8B1B62"/>
    <w:rsid w:val="2E970AE4"/>
    <w:rsid w:val="2EB227A5"/>
    <w:rsid w:val="2F502084"/>
    <w:rsid w:val="2F822BAC"/>
    <w:rsid w:val="2F96630B"/>
    <w:rsid w:val="2FAC7913"/>
    <w:rsid w:val="301F6139"/>
    <w:rsid w:val="30641E74"/>
    <w:rsid w:val="30810E1D"/>
    <w:rsid w:val="30D616E4"/>
    <w:rsid w:val="30F97581"/>
    <w:rsid w:val="314256C4"/>
    <w:rsid w:val="316E48C8"/>
    <w:rsid w:val="31947CF5"/>
    <w:rsid w:val="31C65637"/>
    <w:rsid w:val="32417274"/>
    <w:rsid w:val="324A563C"/>
    <w:rsid w:val="324A57AF"/>
    <w:rsid w:val="329A4281"/>
    <w:rsid w:val="329F04E5"/>
    <w:rsid w:val="32F9755F"/>
    <w:rsid w:val="32FE731E"/>
    <w:rsid w:val="331B2806"/>
    <w:rsid w:val="333214D1"/>
    <w:rsid w:val="3370495E"/>
    <w:rsid w:val="33CC0FC6"/>
    <w:rsid w:val="33DD0EAC"/>
    <w:rsid w:val="340622E0"/>
    <w:rsid w:val="341220B6"/>
    <w:rsid w:val="34143D51"/>
    <w:rsid w:val="34302898"/>
    <w:rsid w:val="345B460B"/>
    <w:rsid w:val="347B1D25"/>
    <w:rsid w:val="348E2B4F"/>
    <w:rsid w:val="34BB4966"/>
    <w:rsid w:val="34EF0002"/>
    <w:rsid w:val="35C97D56"/>
    <w:rsid w:val="35EE5D6B"/>
    <w:rsid w:val="36054F45"/>
    <w:rsid w:val="362D624A"/>
    <w:rsid w:val="3637765B"/>
    <w:rsid w:val="363A3F05"/>
    <w:rsid w:val="365311E6"/>
    <w:rsid w:val="367112A8"/>
    <w:rsid w:val="37473FEE"/>
    <w:rsid w:val="375445E4"/>
    <w:rsid w:val="376964D6"/>
    <w:rsid w:val="378D71CC"/>
    <w:rsid w:val="379C0110"/>
    <w:rsid w:val="379C3619"/>
    <w:rsid w:val="37BA3B0D"/>
    <w:rsid w:val="37DA3D81"/>
    <w:rsid w:val="384A2F51"/>
    <w:rsid w:val="387C3364"/>
    <w:rsid w:val="38CC73F3"/>
    <w:rsid w:val="395B66C1"/>
    <w:rsid w:val="395E3B0F"/>
    <w:rsid w:val="39AE15AC"/>
    <w:rsid w:val="39E218FD"/>
    <w:rsid w:val="39E83FB4"/>
    <w:rsid w:val="3A153790"/>
    <w:rsid w:val="3A1F11A7"/>
    <w:rsid w:val="3A86575A"/>
    <w:rsid w:val="3AC94052"/>
    <w:rsid w:val="3B115AB0"/>
    <w:rsid w:val="3B341FC1"/>
    <w:rsid w:val="3B6F11E8"/>
    <w:rsid w:val="3B732683"/>
    <w:rsid w:val="3B851216"/>
    <w:rsid w:val="3C4C3631"/>
    <w:rsid w:val="3CD5093F"/>
    <w:rsid w:val="3D084D63"/>
    <w:rsid w:val="3D0B4A9A"/>
    <w:rsid w:val="3D420A8C"/>
    <w:rsid w:val="3D517AA3"/>
    <w:rsid w:val="3DA349DC"/>
    <w:rsid w:val="3DEC56E0"/>
    <w:rsid w:val="3E0F5C92"/>
    <w:rsid w:val="3E2D6905"/>
    <w:rsid w:val="3E3457B0"/>
    <w:rsid w:val="3E9753EA"/>
    <w:rsid w:val="3E9948D1"/>
    <w:rsid w:val="3EC72495"/>
    <w:rsid w:val="3EE41CB3"/>
    <w:rsid w:val="3F43088C"/>
    <w:rsid w:val="3F49244C"/>
    <w:rsid w:val="3F5E71A0"/>
    <w:rsid w:val="3F7F3F6B"/>
    <w:rsid w:val="3FAA346A"/>
    <w:rsid w:val="3FAB317E"/>
    <w:rsid w:val="3FE327A2"/>
    <w:rsid w:val="40602185"/>
    <w:rsid w:val="406D3C7A"/>
    <w:rsid w:val="408D0A8F"/>
    <w:rsid w:val="40DD4529"/>
    <w:rsid w:val="412A3AB2"/>
    <w:rsid w:val="414920DE"/>
    <w:rsid w:val="41550B18"/>
    <w:rsid w:val="41841C62"/>
    <w:rsid w:val="41E371A6"/>
    <w:rsid w:val="4206324A"/>
    <w:rsid w:val="42B01A80"/>
    <w:rsid w:val="42B540C6"/>
    <w:rsid w:val="42D656CD"/>
    <w:rsid w:val="42EF6D61"/>
    <w:rsid w:val="43124DBF"/>
    <w:rsid w:val="43267EE9"/>
    <w:rsid w:val="433D2CCC"/>
    <w:rsid w:val="43411BCB"/>
    <w:rsid w:val="435C4BA0"/>
    <w:rsid w:val="436A7A26"/>
    <w:rsid w:val="4373005F"/>
    <w:rsid w:val="43CF0940"/>
    <w:rsid w:val="442326F2"/>
    <w:rsid w:val="442418FE"/>
    <w:rsid w:val="44781DAA"/>
    <w:rsid w:val="44C9249B"/>
    <w:rsid w:val="44CA357E"/>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465EC"/>
    <w:rsid w:val="4B387880"/>
    <w:rsid w:val="4B44760D"/>
    <w:rsid w:val="4B5C5D27"/>
    <w:rsid w:val="4B5E326D"/>
    <w:rsid w:val="4B840ACD"/>
    <w:rsid w:val="4B8C42AD"/>
    <w:rsid w:val="4BC51F60"/>
    <w:rsid w:val="4BD2475B"/>
    <w:rsid w:val="4BF72474"/>
    <w:rsid w:val="4C2E5AE5"/>
    <w:rsid w:val="4C4F0B45"/>
    <w:rsid w:val="4C5D5C39"/>
    <w:rsid w:val="4C6411F6"/>
    <w:rsid w:val="4C7F1DD7"/>
    <w:rsid w:val="4D74458A"/>
    <w:rsid w:val="4D7908B5"/>
    <w:rsid w:val="4DA40847"/>
    <w:rsid w:val="4DA74A82"/>
    <w:rsid w:val="4DA969FC"/>
    <w:rsid w:val="4DAE54FF"/>
    <w:rsid w:val="4DB73FDD"/>
    <w:rsid w:val="4E3B70D2"/>
    <w:rsid w:val="4E5C3A58"/>
    <w:rsid w:val="4E7B1D31"/>
    <w:rsid w:val="4E865AFC"/>
    <w:rsid w:val="4ECE23D9"/>
    <w:rsid w:val="4F066320"/>
    <w:rsid w:val="4F0C4606"/>
    <w:rsid w:val="4F3D5624"/>
    <w:rsid w:val="4F440434"/>
    <w:rsid w:val="4F4E6EBF"/>
    <w:rsid w:val="4F7D4C71"/>
    <w:rsid w:val="4FA80A1B"/>
    <w:rsid w:val="4FCA7073"/>
    <w:rsid w:val="4FE259E9"/>
    <w:rsid w:val="4FFF7183"/>
    <w:rsid w:val="50092961"/>
    <w:rsid w:val="501D7C2E"/>
    <w:rsid w:val="50963550"/>
    <w:rsid w:val="50BD3A0A"/>
    <w:rsid w:val="50E35A2B"/>
    <w:rsid w:val="512C7508"/>
    <w:rsid w:val="52321D93"/>
    <w:rsid w:val="52420452"/>
    <w:rsid w:val="524A5FDD"/>
    <w:rsid w:val="52533FC1"/>
    <w:rsid w:val="525C30D5"/>
    <w:rsid w:val="52B85DAB"/>
    <w:rsid w:val="52F30FD8"/>
    <w:rsid w:val="530973DA"/>
    <w:rsid w:val="53BB70AD"/>
    <w:rsid w:val="53DA43C4"/>
    <w:rsid w:val="53E267AB"/>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CF6D97"/>
    <w:rsid w:val="56D66689"/>
    <w:rsid w:val="570E46A2"/>
    <w:rsid w:val="57847C36"/>
    <w:rsid w:val="57B310A8"/>
    <w:rsid w:val="580558FE"/>
    <w:rsid w:val="584E2691"/>
    <w:rsid w:val="586A742C"/>
    <w:rsid w:val="5881039C"/>
    <w:rsid w:val="58C134D7"/>
    <w:rsid w:val="58C94C3F"/>
    <w:rsid w:val="591E42EB"/>
    <w:rsid w:val="592A1676"/>
    <w:rsid w:val="595F6FA9"/>
    <w:rsid w:val="59E71DDE"/>
    <w:rsid w:val="5A064D2E"/>
    <w:rsid w:val="5A496D02"/>
    <w:rsid w:val="5A53496E"/>
    <w:rsid w:val="5A7756D8"/>
    <w:rsid w:val="5A96078C"/>
    <w:rsid w:val="5ABB0552"/>
    <w:rsid w:val="5AC87CD6"/>
    <w:rsid w:val="5AE85A5C"/>
    <w:rsid w:val="5B18744E"/>
    <w:rsid w:val="5BC63955"/>
    <w:rsid w:val="5C4A2BD7"/>
    <w:rsid w:val="5CAF68F6"/>
    <w:rsid w:val="5CF84E92"/>
    <w:rsid w:val="5D213D72"/>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9F50E9"/>
    <w:rsid w:val="61394E2C"/>
    <w:rsid w:val="617F4494"/>
    <w:rsid w:val="61BF6E9A"/>
    <w:rsid w:val="61FE7898"/>
    <w:rsid w:val="621C7A8F"/>
    <w:rsid w:val="62A11A47"/>
    <w:rsid w:val="62A80220"/>
    <w:rsid w:val="62B4089B"/>
    <w:rsid w:val="62E94FF3"/>
    <w:rsid w:val="62F475B6"/>
    <w:rsid w:val="630C6A64"/>
    <w:rsid w:val="631F7E44"/>
    <w:rsid w:val="63376FCF"/>
    <w:rsid w:val="635D124F"/>
    <w:rsid w:val="637C04DD"/>
    <w:rsid w:val="63964CCA"/>
    <w:rsid w:val="63B3451B"/>
    <w:rsid w:val="63C33359"/>
    <w:rsid w:val="648D18F2"/>
    <w:rsid w:val="652A2E44"/>
    <w:rsid w:val="654E4849"/>
    <w:rsid w:val="65686657"/>
    <w:rsid w:val="65BD69EB"/>
    <w:rsid w:val="664977CF"/>
    <w:rsid w:val="66841228"/>
    <w:rsid w:val="66886A01"/>
    <w:rsid w:val="66EC4975"/>
    <w:rsid w:val="66F92550"/>
    <w:rsid w:val="67016B09"/>
    <w:rsid w:val="67203D95"/>
    <w:rsid w:val="67597141"/>
    <w:rsid w:val="67AA4E8D"/>
    <w:rsid w:val="67F83FF2"/>
    <w:rsid w:val="681B27B3"/>
    <w:rsid w:val="683116BC"/>
    <w:rsid w:val="688F3871"/>
    <w:rsid w:val="68D862F5"/>
    <w:rsid w:val="68DC76F5"/>
    <w:rsid w:val="68E74072"/>
    <w:rsid w:val="69173BDC"/>
    <w:rsid w:val="692D3B8D"/>
    <w:rsid w:val="69BD4674"/>
    <w:rsid w:val="6A036769"/>
    <w:rsid w:val="6A325674"/>
    <w:rsid w:val="6A4D2C84"/>
    <w:rsid w:val="6A52291B"/>
    <w:rsid w:val="6A7B10E5"/>
    <w:rsid w:val="6A817F02"/>
    <w:rsid w:val="6A8A48EA"/>
    <w:rsid w:val="6ABF2B74"/>
    <w:rsid w:val="6B351E6F"/>
    <w:rsid w:val="6B7A4051"/>
    <w:rsid w:val="6BBA3B00"/>
    <w:rsid w:val="6BDD581C"/>
    <w:rsid w:val="6BE07043"/>
    <w:rsid w:val="6BE14999"/>
    <w:rsid w:val="6BF427CD"/>
    <w:rsid w:val="6BFB5FD1"/>
    <w:rsid w:val="6C2B3C2F"/>
    <w:rsid w:val="6CDE55CC"/>
    <w:rsid w:val="6D045B43"/>
    <w:rsid w:val="6D12175F"/>
    <w:rsid w:val="6D1F5AF0"/>
    <w:rsid w:val="6D360A02"/>
    <w:rsid w:val="6D42342C"/>
    <w:rsid w:val="6DF57E44"/>
    <w:rsid w:val="6E1D76E4"/>
    <w:rsid w:val="6E4870A7"/>
    <w:rsid w:val="6E544C48"/>
    <w:rsid w:val="6E67178A"/>
    <w:rsid w:val="6ED54165"/>
    <w:rsid w:val="6EF45FED"/>
    <w:rsid w:val="6F0C74B5"/>
    <w:rsid w:val="6F0F4773"/>
    <w:rsid w:val="6F3657AD"/>
    <w:rsid w:val="6F3B10C9"/>
    <w:rsid w:val="6F5B091E"/>
    <w:rsid w:val="6F8A1C5E"/>
    <w:rsid w:val="6F974373"/>
    <w:rsid w:val="6FAF7C66"/>
    <w:rsid w:val="6FC71802"/>
    <w:rsid w:val="6FC74058"/>
    <w:rsid w:val="70040E87"/>
    <w:rsid w:val="704871A4"/>
    <w:rsid w:val="70592DFA"/>
    <w:rsid w:val="70694F36"/>
    <w:rsid w:val="706C2E6E"/>
    <w:rsid w:val="70880C5C"/>
    <w:rsid w:val="70B523D0"/>
    <w:rsid w:val="70DD3906"/>
    <w:rsid w:val="7109479F"/>
    <w:rsid w:val="719B076B"/>
    <w:rsid w:val="71C160BF"/>
    <w:rsid w:val="71DC2403"/>
    <w:rsid w:val="72EC7281"/>
    <w:rsid w:val="732F41B4"/>
    <w:rsid w:val="73393BC2"/>
    <w:rsid w:val="737B44DB"/>
    <w:rsid w:val="73842E33"/>
    <w:rsid w:val="738D5DBE"/>
    <w:rsid w:val="7390694A"/>
    <w:rsid w:val="73D310AD"/>
    <w:rsid w:val="73DB55DA"/>
    <w:rsid w:val="74262B1B"/>
    <w:rsid w:val="747F1F65"/>
    <w:rsid w:val="74A6094A"/>
    <w:rsid w:val="74CC21DF"/>
    <w:rsid w:val="74E16F35"/>
    <w:rsid w:val="75194969"/>
    <w:rsid w:val="753F3D93"/>
    <w:rsid w:val="75532D3D"/>
    <w:rsid w:val="758805C2"/>
    <w:rsid w:val="7588697C"/>
    <w:rsid w:val="761F2330"/>
    <w:rsid w:val="763F26D5"/>
    <w:rsid w:val="764D0528"/>
    <w:rsid w:val="76621CC3"/>
    <w:rsid w:val="768677C8"/>
    <w:rsid w:val="76C82F19"/>
    <w:rsid w:val="77045A49"/>
    <w:rsid w:val="77266E5A"/>
    <w:rsid w:val="77291B31"/>
    <w:rsid w:val="775C7088"/>
    <w:rsid w:val="77701354"/>
    <w:rsid w:val="77750DFA"/>
    <w:rsid w:val="77902D8C"/>
    <w:rsid w:val="779A189F"/>
    <w:rsid w:val="781F51BA"/>
    <w:rsid w:val="78494544"/>
    <w:rsid w:val="78810ADD"/>
    <w:rsid w:val="788E2C97"/>
    <w:rsid w:val="78D36201"/>
    <w:rsid w:val="78DC47E1"/>
    <w:rsid w:val="78E431C4"/>
    <w:rsid w:val="78EB4A40"/>
    <w:rsid w:val="796C6682"/>
    <w:rsid w:val="79BB696B"/>
    <w:rsid w:val="79F944AF"/>
    <w:rsid w:val="7A2F69EB"/>
    <w:rsid w:val="7A4413F9"/>
    <w:rsid w:val="7A5711E4"/>
    <w:rsid w:val="7A822D65"/>
    <w:rsid w:val="7AEA0E27"/>
    <w:rsid w:val="7BAF6112"/>
    <w:rsid w:val="7BBE1FE9"/>
    <w:rsid w:val="7BEE5100"/>
    <w:rsid w:val="7C2F7BF3"/>
    <w:rsid w:val="7C4A702F"/>
    <w:rsid w:val="7C735E4E"/>
    <w:rsid w:val="7D071AF5"/>
    <w:rsid w:val="7D394FD8"/>
    <w:rsid w:val="7D7E7646"/>
    <w:rsid w:val="7DAF623E"/>
    <w:rsid w:val="7DC26738"/>
    <w:rsid w:val="7E972C19"/>
    <w:rsid w:val="7EBB2BFC"/>
    <w:rsid w:val="7EC36535"/>
    <w:rsid w:val="7EED06B1"/>
    <w:rsid w:val="7F6E4E40"/>
    <w:rsid w:val="7F7E2419"/>
    <w:rsid w:val="7F856BE9"/>
    <w:rsid w:val="7FDE527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qFormat="1"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5"/>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5"/>
    <w:link w:val="107"/>
    <w:autoRedefine/>
    <w:qFormat/>
    <w:uiPriority w:val="99"/>
    <w:pPr>
      <w:spacing w:before="260" w:after="260" w:line="416" w:lineRule="atLeast"/>
      <w:outlineLvl w:val="1"/>
    </w:pPr>
    <w:rPr>
      <w:rFonts w:ascii="Cambria" w:hAnsi="Cambria"/>
      <w:sz w:val="32"/>
      <w:szCs w:val="32"/>
    </w:rPr>
  </w:style>
  <w:style w:type="paragraph" w:styleId="6">
    <w:name w:val="heading 3"/>
    <w:basedOn w:val="1"/>
    <w:next w:val="1"/>
    <w:link w:val="117"/>
    <w:autoRedefine/>
    <w:qFormat/>
    <w:uiPriority w:val="99"/>
    <w:pPr>
      <w:tabs>
        <w:tab w:val="left" w:pos="588"/>
      </w:tabs>
      <w:spacing w:line="360" w:lineRule="auto"/>
      <w:outlineLvl w:val="2"/>
    </w:pPr>
    <w:rPr>
      <w:rFonts w:ascii="Tahoma" w:hAnsi="Tahoma"/>
    </w:rPr>
  </w:style>
  <w:style w:type="paragraph" w:styleId="7">
    <w:name w:val="heading 4"/>
    <w:basedOn w:val="1"/>
    <w:next w:val="1"/>
    <w:link w:val="144"/>
    <w:autoRedefine/>
    <w:qFormat/>
    <w:uiPriority w:val="0"/>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6"/>
    <w:autoRedefine/>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7"/>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7"/>
    <w:autoRedefine/>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12"/>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9"/>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41"/>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5">
    <w:name w:val="Normal Indent"/>
    <w:basedOn w:val="1"/>
    <w:link w:val="140"/>
    <w:autoRedefine/>
    <w:qFormat/>
    <w:uiPriority w:val="0"/>
    <w:pPr>
      <w:spacing w:line="360" w:lineRule="auto"/>
      <w:ind w:firstLine="200" w:firstLineChars="200"/>
    </w:pPr>
    <w:rPr>
      <w:sz w:val="24"/>
      <w:szCs w:val="20"/>
    </w:rPr>
  </w:style>
  <w:style w:type="paragraph" w:styleId="13">
    <w:name w:val="toc 7"/>
    <w:basedOn w:val="1"/>
    <w:next w:val="1"/>
    <w:autoRedefine/>
    <w:qFormat/>
    <w:uiPriority w:val="39"/>
    <w:pPr>
      <w:spacing w:line="440" w:lineRule="exact"/>
      <w:ind w:left="1680"/>
      <w:jc w:val="left"/>
    </w:pPr>
    <w:rPr>
      <w:rFonts w:ascii="Calibri" w:hAnsi="Calibri"/>
      <w:sz w:val="18"/>
      <w:szCs w:val="18"/>
    </w:rPr>
  </w:style>
  <w:style w:type="paragraph" w:styleId="14">
    <w:name w:val="Note Heading"/>
    <w:basedOn w:val="15"/>
    <w:next w:val="15"/>
    <w:link w:val="204"/>
    <w:autoRedefine/>
    <w:qFormat/>
    <w:uiPriority w:val="0"/>
    <w:rPr>
      <w:rFonts w:ascii="..ì." w:eastAsia="..ì." w:cs="Times New Roman"/>
      <w:color w:val="auto"/>
      <w:szCs w:val="20"/>
    </w:rPr>
  </w:style>
  <w:style w:type="paragraph" w:customStyle="1" w:styleId="15">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6">
    <w:name w:val="caption"/>
    <w:basedOn w:val="1"/>
    <w:next w:val="1"/>
    <w:link w:val="98"/>
    <w:autoRedefine/>
    <w:qFormat/>
    <w:uiPriority w:val="0"/>
    <w:pPr>
      <w:spacing w:line="480" w:lineRule="auto"/>
    </w:pPr>
    <w:rPr>
      <w:rFonts w:ascii="华文中宋" w:eastAsia="华文中宋"/>
      <w:sz w:val="36"/>
      <w:szCs w:val="20"/>
    </w:rPr>
  </w:style>
  <w:style w:type="paragraph" w:styleId="17">
    <w:name w:val="index 5"/>
    <w:basedOn w:val="1"/>
    <w:next w:val="1"/>
    <w:autoRedefine/>
    <w:qFormat/>
    <w:uiPriority w:val="99"/>
    <w:pPr>
      <w:ind w:left="800" w:leftChars="800"/>
    </w:pPr>
    <w:rPr>
      <w:rFonts w:eastAsia="宋体"/>
    </w:rPr>
  </w:style>
  <w:style w:type="paragraph" w:styleId="18">
    <w:name w:val="Document Map"/>
    <w:basedOn w:val="1"/>
    <w:link w:val="134"/>
    <w:autoRedefine/>
    <w:qFormat/>
    <w:uiPriority w:val="99"/>
    <w:pPr>
      <w:spacing w:line="440" w:lineRule="exact"/>
    </w:pPr>
    <w:rPr>
      <w:rFonts w:ascii="宋体"/>
      <w:sz w:val="18"/>
      <w:szCs w:val="18"/>
    </w:rPr>
  </w:style>
  <w:style w:type="paragraph" w:styleId="19">
    <w:name w:val="toa heading"/>
    <w:basedOn w:val="1"/>
    <w:next w:val="1"/>
    <w:autoRedefine/>
    <w:unhideWhenUsed/>
    <w:qFormat/>
    <w:uiPriority w:val="99"/>
    <w:pPr>
      <w:spacing w:before="120"/>
    </w:pPr>
    <w:rPr>
      <w:rFonts w:ascii="Cambria" w:hAnsi="Cambria" w:eastAsia="宋体"/>
      <w:sz w:val="24"/>
    </w:rPr>
  </w:style>
  <w:style w:type="paragraph" w:styleId="20">
    <w:name w:val="annotation text"/>
    <w:basedOn w:val="1"/>
    <w:link w:val="104"/>
    <w:autoRedefine/>
    <w:qFormat/>
    <w:uiPriority w:val="0"/>
    <w:pPr>
      <w:jc w:val="left"/>
    </w:pPr>
    <w:rPr>
      <w:rFonts w:ascii="Tahoma" w:hAnsi="Tahoma"/>
    </w:rPr>
  </w:style>
  <w:style w:type="paragraph" w:styleId="21">
    <w:name w:val="Salutation"/>
    <w:basedOn w:val="15"/>
    <w:next w:val="15"/>
    <w:link w:val="203"/>
    <w:autoRedefine/>
    <w:qFormat/>
    <w:uiPriority w:val="0"/>
    <w:rPr>
      <w:rFonts w:ascii="..ì." w:eastAsia="..ì." w:cs="Times New Roman"/>
      <w:color w:val="auto"/>
      <w:szCs w:val="20"/>
    </w:rPr>
  </w:style>
  <w:style w:type="paragraph" w:styleId="22">
    <w:name w:val="Body Text 3"/>
    <w:basedOn w:val="1"/>
    <w:link w:val="211"/>
    <w:autoRedefine/>
    <w:qFormat/>
    <w:uiPriority w:val="99"/>
    <w:pPr>
      <w:spacing w:after="120"/>
    </w:pPr>
    <w:rPr>
      <w:rFonts w:eastAsia="宋体"/>
      <w:sz w:val="16"/>
      <w:szCs w:val="16"/>
    </w:rPr>
  </w:style>
  <w:style w:type="paragraph" w:styleId="23">
    <w:name w:val="Body Text"/>
    <w:basedOn w:val="1"/>
    <w:next w:val="1"/>
    <w:link w:val="138"/>
    <w:autoRedefine/>
    <w:qFormat/>
    <w:uiPriority w:val="0"/>
    <w:pPr>
      <w:spacing w:line="360" w:lineRule="auto"/>
    </w:pPr>
    <w:rPr>
      <w:rFonts w:ascii="Tahoma" w:hAnsi="Tahoma"/>
    </w:rPr>
  </w:style>
  <w:style w:type="paragraph" w:styleId="24">
    <w:name w:val="Body Text Indent"/>
    <w:basedOn w:val="1"/>
    <w:link w:val="170"/>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0"/>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5"/>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201"/>
    <w:autoRedefine/>
    <w:qFormat/>
    <w:uiPriority w:val="99"/>
    <w:pPr>
      <w:spacing w:line="360" w:lineRule="auto"/>
      <w:ind w:left="2500" w:leftChars="2500"/>
    </w:pPr>
    <w:rPr>
      <w:rFonts w:ascii="Tahoma" w:hAnsi="Tahoma"/>
    </w:rPr>
  </w:style>
  <w:style w:type="paragraph" w:styleId="32">
    <w:name w:val="Body Text Indent 2"/>
    <w:basedOn w:val="1"/>
    <w:link w:val="166"/>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100"/>
    <w:autoRedefine/>
    <w:qFormat/>
    <w:uiPriority w:val="0"/>
    <w:rPr>
      <w:sz w:val="18"/>
      <w:szCs w:val="18"/>
    </w:rPr>
  </w:style>
  <w:style w:type="paragraph" w:styleId="34">
    <w:name w:val="header"/>
    <w:basedOn w:val="1"/>
    <w:link w:val="126"/>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14"/>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72"/>
    <w:autoRedefine/>
    <w:qFormat/>
    <w:uiPriority w:val="99"/>
    <w:pPr>
      <w:spacing w:line="360" w:lineRule="auto"/>
      <w:ind w:right="26"/>
    </w:pPr>
    <w:rPr>
      <w:rFonts w:ascii="宋体" w:eastAsia="宋体"/>
      <w:szCs w:val="20"/>
    </w:rPr>
  </w:style>
  <w:style w:type="paragraph" w:styleId="43">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20"/>
    <w:next w:val="20"/>
    <w:link w:val="132"/>
    <w:autoRedefine/>
    <w:unhideWhenUsed/>
    <w:qFormat/>
    <w:uiPriority w:val="99"/>
    <w:pPr>
      <w:spacing w:line="440" w:lineRule="exact"/>
    </w:pPr>
    <w:rPr>
      <w:b/>
      <w:bCs/>
      <w:sz w:val="24"/>
      <w:szCs w:val="28"/>
    </w:rPr>
  </w:style>
  <w:style w:type="paragraph" w:styleId="48">
    <w:name w:val="Body Text First Indent"/>
    <w:basedOn w:val="23"/>
    <w:link w:val="135"/>
    <w:autoRedefine/>
    <w:qFormat/>
    <w:uiPriority w:val="0"/>
    <w:pPr>
      <w:spacing w:after="120" w:line="240" w:lineRule="auto"/>
      <w:ind w:firstLine="100" w:firstLineChars="100"/>
    </w:pPr>
  </w:style>
  <w:style w:type="paragraph" w:styleId="49">
    <w:name w:val="Body Text First Indent 2"/>
    <w:basedOn w:val="24"/>
    <w:link w:val="171"/>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Typewriter"/>
    <w:basedOn w:val="52"/>
    <w:autoRedefine/>
    <w:semiHidden/>
    <w:unhideWhenUsed/>
    <w:qFormat/>
    <w:uiPriority w:val="0"/>
    <w:rPr>
      <w:rFonts w:hint="default" w:ascii="monospace" w:hAnsi="monospace" w:eastAsia="monospace" w:cs="monospace"/>
      <w:sz w:val="20"/>
    </w:rPr>
  </w:style>
  <w:style w:type="character" w:styleId="59">
    <w:name w:val="HTML Acronym"/>
    <w:basedOn w:val="52"/>
    <w:autoRedefine/>
    <w:semiHidden/>
    <w:unhideWhenUsed/>
    <w:qFormat/>
    <w:uiPriority w:val="0"/>
  </w:style>
  <w:style w:type="character" w:styleId="60">
    <w:name w:val="HTML Variable"/>
    <w:autoRedefine/>
    <w:unhideWhenUsed/>
    <w:qFormat/>
    <w:uiPriority w:val="0"/>
  </w:style>
  <w:style w:type="character" w:styleId="61">
    <w:name w:val="Hyperlink"/>
    <w:autoRedefine/>
    <w:qFormat/>
    <w:uiPriority w:val="99"/>
    <w:rPr>
      <w:rFonts w:hint="eastAsia" w:ascii="宋体" w:hAnsi="宋体" w:eastAsia="宋体" w:cs="宋体"/>
      <w:color w:val="004A85"/>
      <w:sz w:val="12"/>
      <w:szCs w:val="12"/>
      <w:u w:val="single"/>
    </w:rPr>
  </w:style>
  <w:style w:type="character" w:styleId="62">
    <w:name w:val="HTML Code"/>
    <w:basedOn w:val="52"/>
    <w:autoRedefine/>
    <w:unhideWhenUsed/>
    <w:qFormat/>
    <w:uiPriority w:val="0"/>
    <w:rPr>
      <w:rFonts w:hint="default" w:ascii="monospace" w:hAnsi="monospace" w:eastAsia="monospace" w:cs="monospace"/>
      <w:sz w:val="20"/>
    </w:rPr>
  </w:style>
  <w:style w:type="character" w:styleId="63">
    <w:name w:val="annotation reference"/>
    <w:autoRedefine/>
    <w:qFormat/>
    <w:uiPriority w:val="99"/>
    <w:rPr>
      <w:sz w:val="21"/>
      <w:szCs w:val="21"/>
    </w:rPr>
  </w:style>
  <w:style w:type="character" w:styleId="64">
    <w:name w:val="HTML Cite"/>
    <w:autoRedefine/>
    <w:unhideWhenUsed/>
    <w:qFormat/>
    <w:uiPriority w:val="0"/>
  </w:style>
  <w:style w:type="character" w:styleId="65">
    <w:name w:val="HTML Keyboard"/>
    <w:basedOn w:val="52"/>
    <w:autoRedefine/>
    <w:semiHidden/>
    <w:unhideWhenUsed/>
    <w:qFormat/>
    <w:uiPriority w:val="0"/>
    <w:rPr>
      <w:rFonts w:hint="default" w:ascii="monospace" w:hAnsi="monospace" w:eastAsia="monospace" w:cs="monospace"/>
      <w:sz w:val="20"/>
    </w:rPr>
  </w:style>
  <w:style w:type="character" w:styleId="66">
    <w:name w:val="HTML Sample"/>
    <w:basedOn w:val="52"/>
    <w:autoRedefine/>
    <w:semiHidden/>
    <w:unhideWhenUsed/>
    <w:qFormat/>
    <w:uiPriority w:val="0"/>
    <w:rPr>
      <w:rFonts w:ascii="monospace" w:hAnsi="monospace" w:eastAsia="monospace" w:cs="monospace"/>
    </w:rPr>
  </w:style>
  <w:style w:type="paragraph" w:customStyle="1" w:styleId="67">
    <w:name w:val="我的正文"/>
    <w:basedOn w:val="1"/>
    <w:autoRedefine/>
    <w:qFormat/>
    <w:uiPriority w:val="0"/>
    <w:pPr>
      <w:widowControl/>
      <w:numPr>
        <w:ilvl w:val="0"/>
        <w:numId w:val="2"/>
      </w:numPr>
      <w:spacing w:line="288" w:lineRule="auto"/>
      <w:jc w:val="left"/>
    </w:pPr>
    <w:rPr>
      <w:rFonts w:ascii="幼圆" w:eastAsia="幼圆" w:cs="Arial"/>
      <w:spacing w:val="6"/>
      <w:szCs w:val="20"/>
    </w:rPr>
  </w:style>
  <w:style w:type="paragraph" w:customStyle="1" w:styleId="68">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9">
    <w:name w:val="列出段落2"/>
    <w:basedOn w:val="1"/>
    <w:autoRedefine/>
    <w:unhideWhenUsed/>
    <w:qFormat/>
    <w:uiPriority w:val="0"/>
    <w:pPr>
      <w:ind w:firstLine="420" w:firstLineChars="200"/>
    </w:pPr>
  </w:style>
  <w:style w:type="paragraph" w:customStyle="1" w:styleId="70">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71">
    <w:name w:val="_Style 67"/>
    <w:basedOn w:val="1"/>
    <w:next w:val="72"/>
    <w:autoRedefine/>
    <w:qFormat/>
    <w:uiPriority w:val="99"/>
    <w:pPr>
      <w:ind w:firstLine="420" w:firstLineChars="200"/>
    </w:pPr>
    <w:rPr>
      <w:rFonts w:ascii="Calibri" w:hAnsi="Calibri"/>
      <w:szCs w:val="22"/>
    </w:rPr>
  </w:style>
  <w:style w:type="paragraph" w:styleId="72">
    <w:name w:val="List Paragraph"/>
    <w:basedOn w:val="1"/>
    <w:autoRedefine/>
    <w:qFormat/>
    <w:uiPriority w:val="34"/>
    <w:pPr>
      <w:ind w:firstLine="420" w:firstLineChars="200"/>
    </w:pPr>
    <w:rPr>
      <w:rFonts w:ascii="Calibri" w:hAnsi="Calibri" w:eastAsia="宋体"/>
      <w:szCs w:val="22"/>
    </w:rPr>
  </w:style>
  <w:style w:type="paragraph" w:customStyle="1" w:styleId="73">
    <w:name w:val="_Style 2"/>
    <w:basedOn w:val="1"/>
    <w:autoRedefine/>
    <w:qFormat/>
    <w:uiPriority w:val="34"/>
    <w:pPr>
      <w:ind w:firstLine="420" w:firstLineChars="200"/>
    </w:pPr>
    <w:rPr>
      <w:rFonts w:ascii="Calibri" w:hAnsi="Calibri"/>
      <w:szCs w:val="22"/>
    </w:rPr>
  </w:style>
  <w:style w:type="paragraph" w:customStyle="1" w:styleId="74">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5">
    <w:name w:val="TOC 标题1"/>
    <w:basedOn w:val="3"/>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6">
    <w:name w:val="封面落款"/>
    <w:basedOn w:val="1"/>
    <w:autoRedefine/>
    <w:qFormat/>
    <w:uiPriority w:val="0"/>
    <w:pPr>
      <w:spacing w:line="360" w:lineRule="auto"/>
      <w:jc w:val="center"/>
    </w:pPr>
    <w:rPr>
      <w:rFonts w:ascii="Arial" w:hAnsi="Arial" w:eastAsia="黑体"/>
      <w:sz w:val="32"/>
      <w:szCs w:val="28"/>
    </w:rPr>
  </w:style>
  <w:style w:type="paragraph" w:customStyle="1" w:styleId="77">
    <w:name w:val="目录"/>
    <w:link w:val="109"/>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8">
    <w:name w:val="表格字体小四"/>
    <w:link w:val="108"/>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9">
    <w:name w:val="样式 标题 5 + 小四"/>
    <w:basedOn w:val="8"/>
    <w:autoRedefine/>
    <w:qFormat/>
    <w:uiPriority w:val="0"/>
    <w:pPr>
      <w:tabs>
        <w:tab w:val="left" w:pos="567"/>
      </w:tabs>
      <w:wordWrap w:val="0"/>
      <w:spacing w:line="377" w:lineRule="auto"/>
      <w:ind w:left="567" w:hanging="567"/>
      <w:jc w:val="left"/>
    </w:pPr>
  </w:style>
  <w:style w:type="paragraph" w:customStyle="1" w:styleId="80">
    <w:name w:val="表格格式"/>
    <w:basedOn w:val="1"/>
    <w:autoRedefine/>
    <w:qFormat/>
    <w:uiPriority w:val="0"/>
    <w:pPr>
      <w:adjustRightInd w:val="0"/>
      <w:snapToGrid w:val="0"/>
      <w:jc w:val="left"/>
      <w:textAlignment w:val="baseline"/>
    </w:pPr>
    <w:rPr>
      <w:rFonts w:ascii="宋体"/>
      <w:kern w:val="0"/>
      <w:szCs w:val="20"/>
    </w:rPr>
  </w:style>
  <w:style w:type="paragraph" w:customStyle="1" w:styleId="81">
    <w:name w:val="样式5"/>
    <w:basedOn w:val="5"/>
    <w:autoRedefine/>
    <w:qFormat/>
    <w:uiPriority w:val="0"/>
    <w:pPr>
      <w:ind w:firstLine="420"/>
    </w:pPr>
    <w:rPr>
      <w:sz w:val="21"/>
      <w:szCs w:val="21"/>
    </w:rPr>
  </w:style>
  <w:style w:type="paragraph" w:customStyle="1" w:styleId="82">
    <w:name w:val="标题2"/>
    <w:basedOn w:val="4"/>
    <w:next w:val="1"/>
    <w:link w:val="99"/>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3">
    <w:name w:val="三级"/>
    <w:basedOn w:val="4"/>
    <w:link w:val="110"/>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4">
    <w:name w:val="样式2"/>
    <w:basedOn w:val="1"/>
    <w:link w:val="122"/>
    <w:autoRedefine/>
    <w:qFormat/>
    <w:uiPriority w:val="0"/>
    <w:pPr>
      <w:spacing w:line="300" w:lineRule="auto"/>
      <w:jc w:val="center"/>
      <w:outlineLvl w:val="0"/>
    </w:pPr>
    <w:rPr>
      <w:b/>
      <w:sz w:val="24"/>
    </w:rPr>
  </w:style>
  <w:style w:type="paragraph" w:customStyle="1" w:styleId="85">
    <w:name w:val="Char1"/>
    <w:basedOn w:val="1"/>
    <w:autoRedefine/>
    <w:qFormat/>
    <w:uiPriority w:val="0"/>
    <w:pPr>
      <w:adjustRightInd w:val="0"/>
      <w:spacing w:line="360" w:lineRule="auto"/>
    </w:pPr>
    <w:rPr>
      <w:kern w:val="0"/>
      <w:sz w:val="24"/>
      <w:szCs w:val="20"/>
    </w:rPr>
  </w:style>
  <w:style w:type="paragraph" w:customStyle="1" w:styleId="86">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7">
    <w:name w:val="标题3"/>
    <w:basedOn w:val="6"/>
    <w:next w:val="1"/>
    <w:link w:val="143"/>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8">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9">
    <w:name w:val="表格标题"/>
    <w:basedOn w:val="16"/>
    <w:link w:val="136"/>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90">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91">
    <w:name w:val="图片"/>
    <w:basedOn w:val="1"/>
    <w:link w:val="124"/>
    <w:autoRedefine/>
    <w:qFormat/>
    <w:uiPriority w:val="0"/>
    <w:pPr>
      <w:jc w:val="center"/>
    </w:pPr>
    <w:rPr>
      <w:sz w:val="28"/>
      <w:szCs w:val="28"/>
    </w:rPr>
  </w:style>
  <w:style w:type="paragraph" w:customStyle="1" w:styleId="92">
    <w:name w:val="正文首行缩进1"/>
    <w:basedOn w:val="23"/>
    <w:autoRedefine/>
    <w:qFormat/>
    <w:uiPriority w:val="0"/>
    <w:pPr>
      <w:suppressAutoHyphens/>
      <w:spacing w:line="300" w:lineRule="auto"/>
      <w:ind w:left="426"/>
    </w:pPr>
    <w:rPr>
      <w:rFonts w:ascii="宋体" w:hAnsi="宋体"/>
      <w:szCs w:val="20"/>
    </w:rPr>
  </w:style>
  <w:style w:type="paragraph" w:customStyle="1" w:styleId="93">
    <w:name w:val="纯文本1"/>
    <w:basedOn w:val="1"/>
    <w:autoRedefine/>
    <w:qFormat/>
    <w:uiPriority w:val="0"/>
    <w:rPr>
      <w:rFonts w:ascii="宋体" w:hAnsi="Courier New"/>
    </w:rPr>
  </w:style>
  <w:style w:type="paragraph" w:customStyle="1" w:styleId="94">
    <w:name w:val="样式 首行不缩进"/>
    <w:basedOn w:val="1"/>
    <w:autoRedefine/>
    <w:qFormat/>
    <w:uiPriority w:val="0"/>
    <w:pPr>
      <w:spacing w:before="120" w:after="120" w:line="360" w:lineRule="auto"/>
      <w:jc w:val="center"/>
    </w:pPr>
    <w:rPr>
      <w:rFonts w:cs="宋体"/>
      <w:sz w:val="24"/>
      <w:szCs w:val="20"/>
    </w:rPr>
  </w:style>
  <w:style w:type="paragraph" w:customStyle="1" w:styleId="95">
    <w:name w:val="图题"/>
    <w:link w:val="118"/>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6">
    <w:name w:val="小列表"/>
    <w:basedOn w:val="1"/>
    <w:link w:val="102"/>
    <w:autoRedefine/>
    <w:qFormat/>
    <w:uiPriority w:val="0"/>
    <w:pPr>
      <w:numPr>
        <w:ilvl w:val="0"/>
        <w:numId w:val="3"/>
      </w:numPr>
      <w:autoSpaceDE w:val="0"/>
      <w:autoSpaceDN w:val="0"/>
      <w:spacing w:line="440" w:lineRule="exact"/>
      <w:ind w:firstLine="0"/>
    </w:pPr>
    <w:rPr>
      <w:sz w:val="24"/>
      <w:szCs w:val="28"/>
    </w:rPr>
  </w:style>
  <w:style w:type="paragraph" w:customStyle="1" w:styleId="97">
    <w:name w:val="表格正文"/>
    <w:basedOn w:val="1"/>
    <w:autoRedefine/>
    <w:qFormat/>
    <w:uiPriority w:val="0"/>
    <w:pPr>
      <w:widowControl/>
      <w:snapToGrid w:val="0"/>
      <w:spacing w:before="60" w:after="60"/>
      <w:ind w:left="11"/>
      <w:jc w:val="center"/>
    </w:pPr>
    <w:rPr>
      <w:kern w:val="0"/>
      <w:szCs w:val="21"/>
    </w:rPr>
  </w:style>
  <w:style w:type="character" w:customStyle="1" w:styleId="98">
    <w:name w:val="题注 字符"/>
    <w:link w:val="16"/>
    <w:autoRedefine/>
    <w:qFormat/>
    <w:uiPriority w:val="0"/>
    <w:rPr>
      <w:rFonts w:ascii="华文中宋" w:eastAsia="华文中宋"/>
      <w:kern w:val="2"/>
      <w:sz w:val="36"/>
    </w:rPr>
  </w:style>
  <w:style w:type="character" w:customStyle="1" w:styleId="99">
    <w:name w:val="标题2 Char Char"/>
    <w:link w:val="82"/>
    <w:autoRedefine/>
    <w:qFormat/>
    <w:uiPriority w:val="0"/>
    <w:rPr>
      <w:rFonts w:eastAsia="黑体"/>
      <w:kern w:val="2"/>
      <w:sz w:val="32"/>
      <w:szCs w:val="24"/>
    </w:rPr>
  </w:style>
  <w:style w:type="character" w:customStyle="1" w:styleId="100">
    <w:name w:val="批注框文本 字符"/>
    <w:link w:val="33"/>
    <w:autoRedefine/>
    <w:qFormat/>
    <w:uiPriority w:val="0"/>
    <w:rPr>
      <w:kern w:val="2"/>
      <w:sz w:val="18"/>
      <w:szCs w:val="18"/>
    </w:rPr>
  </w:style>
  <w:style w:type="character" w:customStyle="1" w:styleId="101">
    <w:name w:val="refresh"/>
    <w:basedOn w:val="52"/>
    <w:autoRedefine/>
    <w:qFormat/>
    <w:uiPriority w:val="0"/>
  </w:style>
  <w:style w:type="character" w:customStyle="1" w:styleId="102">
    <w:name w:val="小列表 Char Char"/>
    <w:link w:val="96"/>
    <w:autoRedefine/>
    <w:qFormat/>
    <w:uiPriority w:val="0"/>
    <w:rPr>
      <w:rFonts w:eastAsia="Arial Unicode MS"/>
      <w:kern w:val="2"/>
      <w:sz w:val="24"/>
      <w:szCs w:val="28"/>
    </w:rPr>
  </w:style>
  <w:style w:type="character" w:customStyle="1" w:styleId="103">
    <w:name w:val="del"/>
    <w:basedOn w:val="52"/>
    <w:autoRedefine/>
    <w:qFormat/>
    <w:uiPriority w:val="0"/>
  </w:style>
  <w:style w:type="character" w:customStyle="1" w:styleId="104">
    <w:name w:val="批注文字 字符"/>
    <w:link w:val="20"/>
    <w:autoRedefine/>
    <w:qFormat/>
    <w:uiPriority w:val="0"/>
    <w:rPr>
      <w:rFonts w:ascii="Tahoma" w:hAnsi="Tahoma"/>
      <w:kern w:val="2"/>
      <w:sz w:val="21"/>
      <w:szCs w:val="24"/>
    </w:rPr>
  </w:style>
  <w:style w:type="character" w:customStyle="1" w:styleId="105">
    <w:name w:val="正文缩进 Char1"/>
    <w:autoRedefine/>
    <w:qFormat/>
    <w:uiPriority w:val="0"/>
    <w:rPr>
      <w:rFonts w:eastAsia="宋体"/>
      <w:kern w:val="2"/>
      <w:sz w:val="21"/>
      <w:szCs w:val="24"/>
      <w:lang w:val="en-US" w:eastAsia="zh-CN" w:bidi="ar-SA"/>
    </w:rPr>
  </w:style>
  <w:style w:type="character" w:customStyle="1" w:styleId="106">
    <w:name w:val="标题 5 字符"/>
    <w:link w:val="8"/>
    <w:autoRedefine/>
    <w:qFormat/>
    <w:uiPriority w:val="99"/>
    <w:rPr>
      <w:b/>
      <w:bCs/>
      <w:kern w:val="2"/>
      <w:sz w:val="24"/>
      <w:szCs w:val="28"/>
    </w:rPr>
  </w:style>
  <w:style w:type="character" w:customStyle="1" w:styleId="107">
    <w:name w:val="标题 2 字符"/>
    <w:link w:val="4"/>
    <w:autoRedefine/>
    <w:qFormat/>
    <w:uiPriority w:val="99"/>
    <w:rPr>
      <w:rFonts w:ascii="Cambria" w:hAnsi="Cambria"/>
      <w:b/>
      <w:bCs/>
      <w:kern w:val="2"/>
      <w:sz w:val="32"/>
      <w:szCs w:val="32"/>
    </w:rPr>
  </w:style>
  <w:style w:type="character" w:customStyle="1" w:styleId="108">
    <w:name w:val="表格字体小四 Char Char"/>
    <w:link w:val="78"/>
    <w:autoRedefine/>
    <w:qFormat/>
    <w:uiPriority w:val="0"/>
    <w:rPr>
      <w:kern w:val="2"/>
      <w:sz w:val="24"/>
      <w:szCs w:val="24"/>
      <w:lang w:val="en-US" w:eastAsia="zh-CN" w:bidi="ar-SA"/>
    </w:rPr>
  </w:style>
  <w:style w:type="character" w:customStyle="1" w:styleId="109">
    <w:name w:val="目录 Char Char"/>
    <w:link w:val="77"/>
    <w:autoRedefine/>
    <w:qFormat/>
    <w:uiPriority w:val="0"/>
    <w:rPr>
      <w:rFonts w:ascii="仿宋_GB2312" w:hAnsi="宋体" w:eastAsia="仿宋_GB2312"/>
      <w:sz w:val="28"/>
      <w:szCs w:val="28"/>
      <w:lang w:val="en-US" w:eastAsia="zh-CN" w:bidi="ar-SA"/>
    </w:rPr>
  </w:style>
  <w:style w:type="character" w:customStyle="1" w:styleId="110">
    <w:name w:val="三级 Char Char"/>
    <w:link w:val="83"/>
    <w:autoRedefine/>
    <w:qFormat/>
    <w:uiPriority w:val="0"/>
    <w:rPr>
      <w:rFonts w:eastAsia="黑体"/>
      <w:bCs/>
      <w:kern w:val="2"/>
      <w:sz w:val="30"/>
      <w:szCs w:val="24"/>
    </w:rPr>
  </w:style>
  <w:style w:type="character" w:customStyle="1" w:styleId="111">
    <w:name w:val="label"/>
    <w:basedOn w:val="52"/>
    <w:autoRedefine/>
    <w:qFormat/>
    <w:uiPriority w:val="0"/>
  </w:style>
  <w:style w:type="character" w:customStyle="1" w:styleId="112">
    <w:name w:val="标题 8 字符"/>
    <w:link w:val="11"/>
    <w:autoRedefine/>
    <w:qFormat/>
    <w:uiPriority w:val="99"/>
    <w:rPr>
      <w:rFonts w:ascii="Arial" w:hAnsi="Arial" w:eastAsia="黑体"/>
      <w:kern w:val="2"/>
      <w:sz w:val="24"/>
      <w:szCs w:val="28"/>
    </w:rPr>
  </w:style>
  <w:style w:type="character" w:customStyle="1" w:styleId="113">
    <w:name w:val="open2"/>
    <w:basedOn w:val="52"/>
    <w:autoRedefine/>
    <w:qFormat/>
    <w:uiPriority w:val="0"/>
  </w:style>
  <w:style w:type="character" w:customStyle="1" w:styleId="114">
    <w:name w:val="15"/>
    <w:autoRedefine/>
    <w:qFormat/>
    <w:uiPriority w:val="0"/>
    <w:rPr>
      <w:rFonts w:hint="default" w:ascii="Calibri" w:hAnsi="Calibri" w:cs="Calibri"/>
      <w:color w:val="0000FF"/>
      <w:u w:val="single"/>
    </w:rPr>
  </w:style>
  <w:style w:type="character" w:customStyle="1" w:styleId="115">
    <w:name w:val="trans"/>
    <w:basedOn w:val="52"/>
    <w:autoRedefine/>
    <w:qFormat/>
    <w:uiPriority w:val="0"/>
  </w:style>
  <w:style w:type="character" w:customStyle="1" w:styleId="116">
    <w:name w:val="del2"/>
    <w:basedOn w:val="52"/>
    <w:autoRedefine/>
    <w:qFormat/>
    <w:uiPriority w:val="0"/>
  </w:style>
  <w:style w:type="character" w:customStyle="1" w:styleId="117">
    <w:name w:val="标题 3 字符"/>
    <w:link w:val="6"/>
    <w:autoRedefine/>
    <w:qFormat/>
    <w:uiPriority w:val="99"/>
    <w:rPr>
      <w:rFonts w:ascii="Tahoma" w:hAnsi="Tahoma"/>
      <w:b/>
      <w:bCs/>
      <w:kern w:val="2"/>
      <w:sz w:val="32"/>
      <w:szCs w:val="32"/>
    </w:rPr>
  </w:style>
  <w:style w:type="character" w:customStyle="1" w:styleId="118">
    <w:name w:val="图题 Char Char"/>
    <w:link w:val="95"/>
    <w:autoRedefine/>
    <w:qFormat/>
    <w:uiPriority w:val="0"/>
    <w:rPr>
      <w:kern w:val="2"/>
      <w:sz w:val="24"/>
      <w:szCs w:val="24"/>
      <w:lang w:val="en-US" w:eastAsia="zh-CN" w:bidi="ar-SA"/>
    </w:rPr>
  </w:style>
  <w:style w:type="character" w:customStyle="1" w:styleId="119">
    <w:name w:val="pagelinks"/>
    <w:basedOn w:val="52"/>
    <w:autoRedefine/>
    <w:qFormat/>
    <w:uiPriority w:val="0"/>
  </w:style>
  <w:style w:type="character" w:customStyle="1" w:styleId="120">
    <w:name w:val="morewin"/>
    <w:basedOn w:val="52"/>
    <w:autoRedefine/>
    <w:qFormat/>
    <w:uiPriority w:val="0"/>
  </w:style>
  <w:style w:type="character" w:customStyle="1" w:styleId="121">
    <w:name w:val="open"/>
    <w:basedOn w:val="52"/>
    <w:autoRedefine/>
    <w:qFormat/>
    <w:uiPriority w:val="0"/>
  </w:style>
  <w:style w:type="character" w:customStyle="1" w:styleId="122">
    <w:name w:val="样式2 Char Char"/>
    <w:link w:val="84"/>
    <w:autoRedefine/>
    <w:qFormat/>
    <w:uiPriority w:val="0"/>
    <w:rPr>
      <w:b/>
      <w:kern w:val="2"/>
      <w:sz w:val="24"/>
      <w:szCs w:val="24"/>
    </w:rPr>
  </w:style>
  <w:style w:type="character" w:customStyle="1" w:styleId="123">
    <w:name w:val="批注文字 Char"/>
    <w:autoRedefine/>
    <w:qFormat/>
    <w:uiPriority w:val="99"/>
    <w:rPr>
      <w:kern w:val="2"/>
      <w:sz w:val="24"/>
      <w:szCs w:val="28"/>
    </w:rPr>
  </w:style>
  <w:style w:type="character" w:customStyle="1" w:styleId="124">
    <w:name w:val="图片 Char Char"/>
    <w:link w:val="91"/>
    <w:autoRedefine/>
    <w:qFormat/>
    <w:uiPriority w:val="0"/>
    <w:rPr>
      <w:kern w:val="2"/>
      <w:sz w:val="28"/>
      <w:szCs w:val="28"/>
    </w:rPr>
  </w:style>
  <w:style w:type="character" w:customStyle="1" w:styleId="125">
    <w:name w:val="标题 1 字符"/>
    <w:link w:val="3"/>
    <w:autoRedefine/>
    <w:qFormat/>
    <w:uiPriority w:val="99"/>
    <w:rPr>
      <w:rFonts w:ascii="Tahoma" w:hAnsi="Tahoma"/>
      <w:b/>
      <w:bCs/>
      <w:kern w:val="44"/>
      <w:sz w:val="24"/>
      <w:szCs w:val="44"/>
    </w:rPr>
  </w:style>
  <w:style w:type="character" w:customStyle="1" w:styleId="126">
    <w:name w:val="页眉 字符"/>
    <w:link w:val="34"/>
    <w:autoRedefine/>
    <w:qFormat/>
    <w:uiPriority w:val="99"/>
    <w:rPr>
      <w:rFonts w:ascii="Tahoma" w:hAnsi="Tahoma"/>
      <w:kern w:val="2"/>
      <w:sz w:val="18"/>
      <w:szCs w:val="18"/>
    </w:rPr>
  </w:style>
  <w:style w:type="character" w:customStyle="1" w:styleId="127">
    <w:name w:val="标题 7 字符"/>
    <w:link w:val="10"/>
    <w:autoRedefine/>
    <w:qFormat/>
    <w:uiPriority w:val="99"/>
    <w:rPr>
      <w:b/>
      <w:bCs/>
      <w:kern w:val="2"/>
      <w:sz w:val="24"/>
      <w:szCs w:val="28"/>
    </w:rPr>
  </w:style>
  <w:style w:type="character" w:customStyle="1" w:styleId="128">
    <w:name w:val="标题 字符"/>
    <w:link w:val="46"/>
    <w:autoRedefine/>
    <w:qFormat/>
    <w:uiPriority w:val="0"/>
    <w:rPr>
      <w:rFonts w:ascii="Cambria" w:hAnsi="Cambria"/>
      <w:b/>
      <w:bCs/>
      <w:kern w:val="2"/>
      <w:sz w:val="32"/>
      <w:szCs w:val="32"/>
    </w:rPr>
  </w:style>
  <w:style w:type="character" w:customStyle="1" w:styleId="129">
    <w:name w:val="标题 9 字符"/>
    <w:link w:val="12"/>
    <w:autoRedefine/>
    <w:qFormat/>
    <w:uiPriority w:val="99"/>
    <w:rPr>
      <w:rFonts w:ascii="Arial" w:hAnsi="Arial" w:eastAsia="黑体"/>
      <w:kern w:val="2"/>
      <w:sz w:val="24"/>
      <w:szCs w:val="21"/>
    </w:rPr>
  </w:style>
  <w:style w:type="character" w:customStyle="1" w:styleId="130">
    <w:name w:val="error"/>
    <w:autoRedefine/>
    <w:qFormat/>
    <w:uiPriority w:val="0"/>
    <w:rPr>
      <w:color w:val="CC0000"/>
    </w:rPr>
  </w:style>
  <w:style w:type="character" w:customStyle="1" w:styleId="131">
    <w:name w:val="add"/>
    <w:basedOn w:val="52"/>
    <w:autoRedefine/>
    <w:qFormat/>
    <w:uiPriority w:val="0"/>
  </w:style>
  <w:style w:type="character" w:customStyle="1" w:styleId="132">
    <w:name w:val="批注主题 字符"/>
    <w:link w:val="47"/>
    <w:autoRedefine/>
    <w:qFormat/>
    <w:uiPriority w:val="99"/>
    <w:rPr>
      <w:rFonts w:ascii="Tahoma" w:hAnsi="Tahoma"/>
      <w:b/>
      <w:bCs/>
      <w:kern w:val="2"/>
      <w:sz w:val="24"/>
      <w:szCs w:val="28"/>
    </w:rPr>
  </w:style>
  <w:style w:type="character" w:customStyle="1" w:styleId="133">
    <w:name w:val="pagebanner"/>
    <w:basedOn w:val="52"/>
    <w:autoRedefine/>
    <w:qFormat/>
    <w:uiPriority w:val="0"/>
  </w:style>
  <w:style w:type="character" w:customStyle="1" w:styleId="134">
    <w:name w:val="文档结构图 字符"/>
    <w:link w:val="18"/>
    <w:autoRedefine/>
    <w:qFormat/>
    <w:uiPriority w:val="99"/>
    <w:rPr>
      <w:rFonts w:ascii="宋体"/>
      <w:kern w:val="2"/>
      <w:sz w:val="18"/>
      <w:szCs w:val="18"/>
    </w:rPr>
  </w:style>
  <w:style w:type="character" w:customStyle="1" w:styleId="135">
    <w:name w:val="正文首行缩进 字符"/>
    <w:link w:val="48"/>
    <w:autoRedefine/>
    <w:qFormat/>
    <w:uiPriority w:val="0"/>
    <w:rPr>
      <w:rFonts w:ascii="Tahoma" w:hAnsi="Tahoma"/>
      <w:kern w:val="2"/>
      <w:sz w:val="21"/>
      <w:szCs w:val="24"/>
    </w:rPr>
  </w:style>
  <w:style w:type="character" w:customStyle="1" w:styleId="136">
    <w:name w:val="表格标题 Char Char"/>
    <w:link w:val="89"/>
    <w:qFormat/>
    <w:uiPriority w:val="0"/>
    <w:rPr>
      <w:rFonts w:ascii="Arial" w:hAnsi="Arial" w:cs="Arial"/>
      <w:kern w:val="2"/>
      <w:sz w:val="24"/>
      <w:szCs w:val="24"/>
    </w:rPr>
  </w:style>
  <w:style w:type="character" w:customStyle="1" w:styleId="137">
    <w:name w:val="标题 6 字符"/>
    <w:link w:val="9"/>
    <w:autoRedefine/>
    <w:qFormat/>
    <w:uiPriority w:val="99"/>
    <w:rPr>
      <w:rFonts w:ascii="Arial" w:hAnsi="Arial" w:eastAsia="黑体"/>
      <w:b/>
      <w:bCs/>
      <w:kern w:val="2"/>
      <w:sz w:val="24"/>
      <w:szCs w:val="28"/>
    </w:rPr>
  </w:style>
  <w:style w:type="character" w:customStyle="1" w:styleId="138">
    <w:name w:val="正文文本 字符1"/>
    <w:link w:val="23"/>
    <w:autoRedefine/>
    <w:qFormat/>
    <w:uiPriority w:val="0"/>
    <w:rPr>
      <w:rFonts w:ascii="Tahoma" w:hAnsi="Tahoma"/>
      <w:kern w:val="2"/>
      <w:sz w:val="21"/>
      <w:szCs w:val="24"/>
    </w:rPr>
  </w:style>
  <w:style w:type="character" w:customStyle="1" w:styleId="139">
    <w:name w:val="10"/>
    <w:autoRedefine/>
    <w:qFormat/>
    <w:uiPriority w:val="0"/>
    <w:rPr>
      <w:rFonts w:hint="default" w:ascii="Calibri" w:hAnsi="Calibri" w:cs="Calibri"/>
    </w:rPr>
  </w:style>
  <w:style w:type="character" w:customStyle="1" w:styleId="140">
    <w:name w:val="正文缩进 字符"/>
    <w:link w:val="5"/>
    <w:autoRedefine/>
    <w:qFormat/>
    <w:uiPriority w:val="0"/>
    <w:rPr>
      <w:kern w:val="2"/>
      <w:sz w:val="24"/>
    </w:rPr>
  </w:style>
  <w:style w:type="character" w:customStyle="1" w:styleId="141">
    <w:name w:val="页脚 字符"/>
    <w:link w:val="2"/>
    <w:autoRedefine/>
    <w:qFormat/>
    <w:uiPriority w:val="99"/>
    <w:rPr>
      <w:rFonts w:ascii="Tahoma" w:hAnsi="Tahoma"/>
      <w:kern w:val="2"/>
      <w:sz w:val="18"/>
      <w:szCs w:val="18"/>
    </w:rPr>
  </w:style>
  <w:style w:type="character" w:customStyle="1" w:styleId="142">
    <w:name w:val="mod"/>
    <w:basedOn w:val="52"/>
    <w:autoRedefine/>
    <w:qFormat/>
    <w:uiPriority w:val="0"/>
  </w:style>
  <w:style w:type="character" w:customStyle="1" w:styleId="143">
    <w:name w:val="标题3 Char Char"/>
    <w:link w:val="87"/>
    <w:autoRedefine/>
    <w:qFormat/>
    <w:uiPriority w:val="0"/>
    <w:rPr>
      <w:rFonts w:eastAsia="黑体"/>
      <w:kern w:val="2"/>
      <w:sz w:val="28"/>
      <w:szCs w:val="32"/>
    </w:rPr>
  </w:style>
  <w:style w:type="character" w:customStyle="1" w:styleId="144">
    <w:name w:val="标题 4 字符"/>
    <w:link w:val="7"/>
    <w:autoRedefine/>
    <w:qFormat/>
    <w:uiPriority w:val="99"/>
    <w:rPr>
      <w:b/>
      <w:sz w:val="24"/>
      <w:szCs w:val="24"/>
    </w:rPr>
  </w:style>
  <w:style w:type="paragraph" w:customStyle="1" w:styleId="145">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6">
    <w:name w:val="redfilefwwh"/>
    <w:basedOn w:val="52"/>
    <w:autoRedefine/>
    <w:qFormat/>
    <w:uiPriority w:val="0"/>
    <w:rPr>
      <w:color w:val="BA2636"/>
      <w:sz w:val="12"/>
      <w:szCs w:val="12"/>
    </w:rPr>
  </w:style>
  <w:style w:type="character" w:customStyle="1" w:styleId="147">
    <w:name w:val="gjfg"/>
    <w:basedOn w:val="52"/>
    <w:autoRedefine/>
    <w:qFormat/>
    <w:uiPriority w:val="0"/>
  </w:style>
  <w:style w:type="character" w:customStyle="1" w:styleId="148">
    <w:name w:val="redfilenumber"/>
    <w:basedOn w:val="52"/>
    <w:autoRedefine/>
    <w:qFormat/>
    <w:uiPriority w:val="0"/>
    <w:rPr>
      <w:color w:val="BA2636"/>
      <w:sz w:val="12"/>
      <w:szCs w:val="12"/>
    </w:rPr>
  </w:style>
  <w:style w:type="character" w:customStyle="1" w:styleId="149">
    <w:name w:val="qxdate"/>
    <w:basedOn w:val="52"/>
    <w:autoRedefine/>
    <w:qFormat/>
    <w:uiPriority w:val="0"/>
    <w:rPr>
      <w:color w:val="333333"/>
      <w:sz w:val="12"/>
      <w:szCs w:val="12"/>
    </w:rPr>
  </w:style>
  <w:style w:type="character" w:customStyle="1" w:styleId="150">
    <w:name w:val="prev"/>
    <w:basedOn w:val="52"/>
    <w:autoRedefine/>
    <w:qFormat/>
    <w:uiPriority w:val="0"/>
    <w:rPr>
      <w:rFonts w:ascii="微软雅黑" w:hAnsi="微软雅黑" w:eastAsia="微软雅黑" w:cs="微软雅黑"/>
      <w:sz w:val="14"/>
      <w:szCs w:val="14"/>
    </w:rPr>
  </w:style>
  <w:style w:type="character" w:customStyle="1" w:styleId="151">
    <w:name w:val="cfdate"/>
    <w:basedOn w:val="52"/>
    <w:autoRedefine/>
    <w:qFormat/>
    <w:uiPriority w:val="0"/>
    <w:rPr>
      <w:color w:val="333333"/>
      <w:sz w:val="12"/>
      <w:szCs w:val="12"/>
    </w:rPr>
  </w:style>
  <w:style w:type="character" w:customStyle="1" w:styleId="152">
    <w:name w:val="displayarti"/>
    <w:basedOn w:val="52"/>
    <w:autoRedefine/>
    <w:qFormat/>
    <w:uiPriority w:val="0"/>
    <w:rPr>
      <w:color w:val="FFFFFF"/>
      <w:shd w:val="clear" w:color="auto" w:fill="A00000"/>
    </w:rPr>
  </w:style>
  <w:style w:type="character" w:customStyle="1" w:styleId="153">
    <w:name w:val="next2"/>
    <w:basedOn w:val="52"/>
    <w:autoRedefine/>
    <w:qFormat/>
    <w:uiPriority w:val="0"/>
    <w:rPr>
      <w:rFonts w:hint="eastAsia" w:ascii="微软雅黑" w:hAnsi="微软雅黑" w:eastAsia="微软雅黑" w:cs="微软雅黑"/>
      <w:sz w:val="14"/>
      <w:szCs w:val="14"/>
    </w:rPr>
  </w:style>
  <w:style w:type="character" w:customStyle="1" w:styleId="154">
    <w:name w:val="next3"/>
    <w:basedOn w:val="52"/>
    <w:autoRedefine/>
    <w:qFormat/>
    <w:uiPriority w:val="0"/>
    <w:rPr>
      <w:color w:val="888888"/>
    </w:rPr>
  </w:style>
  <w:style w:type="character" w:customStyle="1" w:styleId="155">
    <w:name w:val="next"/>
    <w:basedOn w:val="52"/>
    <w:autoRedefine/>
    <w:qFormat/>
    <w:uiPriority w:val="0"/>
    <w:rPr>
      <w:rFonts w:ascii="微软雅黑" w:hAnsi="微软雅黑" w:eastAsia="微软雅黑" w:cs="微软雅黑"/>
      <w:sz w:val="14"/>
      <w:szCs w:val="14"/>
    </w:rPr>
  </w:style>
  <w:style w:type="character" w:customStyle="1" w:styleId="156">
    <w:name w:val="prev1"/>
    <w:basedOn w:val="52"/>
    <w:autoRedefine/>
    <w:qFormat/>
    <w:uiPriority w:val="0"/>
    <w:rPr>
      <w:color w:val="888888"/>
    </w:rPr>
  </w:style>
  <w:style w:type="paragraph" w:customStyle="1" w:styleId="157">
    <w:name w:val="Body text|21"/>
    <w:basedOn w:val="1"/>
    <w:link w:val="159"/>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8">
    <w:name w:val="Body text|2 + Spacing 0 pt"/>
    <w:basedOn w:val="159"/>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9">
    <w:name w:val="Body text|2_"/>
    <w:basedOn w:val="52"/>
    <w:link w:val="157"/>
    <w:autoRedefine/>
    <w:qFormat/>
    <w:uiPriority w:val="0"/>
    <w:rPr>
      <w:rFonts w:ascii="PMingLiU" w:hAnsi="PMingLiU" w:eastAsia="PMingLiU" w:cs="PMingLiU"/>
      <w:spacing w:val="30"/>
    </w:rPr>
  </w:style>
  <w:style w:type="character" w:customStyle="1" w:styleId="160">
    <w:name w:val="Body text|2 + Spacing 3 pt"/>
    <w:basedOn w:val="159"/>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61">
    <w:name w:val="图文"/>
    <w:basedOn w:val="1"/>
    <w:autoRedefine/>
    <w:qFormat/>
    <w:uiPriority w:val="0"/>
    <w:pPr>
      <w:adjustRightInd w:val="0"/>
      <w:snapToGrid w:val="0"/>
      <w:spacing w:after="50" w:line="360" w:lineRule="auto"/>
    </w:pPr>
    <w:rPr>
      <w:sz w:val="24"/>
    </w:rPr>
  </w:style>
  <w:style w:type="paragraph" w:customStyle="1" w:styleId="162">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3">
    <w:name w:val="Char"/>
    <w:basedOn w:val="1"/>
    <w:autoRedefine/>
    <w:qFormat/>
    <w:uiPriority w:val="0"/>
    <w:rPr>
      <w:rFonts w:ascii="仿宋_GB2312" w:eastAsia="仿宋_GB2312"/>
      <w:b/>
      <w:sz w:val="32"/>
      <w:szCs w:val="32"/>
    </w:rPr>
  </w:style>
  <w:style w:type="paragraph" w:customStyle="1" w:styleId="164">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5">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6">
    <w:name w:val="正文文本缩进 2 字符"/>
    <w:basedOn w:val="52"/>
    <w:link w:val="32"/>
    <w:autoRedefine/>
    <w:qFormat/>
    <w:uiPriority w:val="99"/>
    <w:rPr>
      <w:rFonts w:ascii="Times New Roman" w:hAnsi="Times New Roman" w:eastAsia="宋体" w:cs="Times New Roman"/>
      <w:kern w:val="2"/>
      <w:sz w:val="24"/>
      <w:szCs w:val="30"/>
    </w:rPr>
  </w:style>
  <w:style w:type="paragraph" w:customStyle="1" w:styleId="16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8">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9">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70">
    <w:name w:val="正文文本缩进 字符"/>
    <w:basedOn w:val="52"/>
    <w:link w:val="24"/>
    <w:autoRedefine/>
    <w:qFormat/>
    <w:uiPriority w:val="99"/>
    <w:rPr>
      <w:rFonts w:ascii="Tahoma" w:hAnsi="Tahoma" w:eastAsia="Arial Unicode MS" w:cs="Times New Roman"/>
      <w:kern w:val="2"/>
      <w:sz w:val="21"/>
      <w:szCs w:val="24"/>
    </w:rPr>
  </w:style>
  <w:style w:type="character" w:customStyle="1" w:styleId="171">
    <w:name w:val="正文首行缩进 2 字符"/>
    <w:basedOn w:val="170"/>
    <w:link w:val="49"/>
    <w:autoRedefine/>
    <w:qFormat/>
    <w:uiPriority w:val="0"/>
    <w:rPr>
      <w:rFonts w:ascii="Times New Roman" w:hAnsi="Times New Roman" w:eastAsia="宋体" w:cs="Times New Roman"/>
      <w:kern w:val="2"/>
      <w:sz w:val="21"/>
      <w:szCs w:val="24"/>
    </w:rPr>
  </w:style>
  <w:style w:type="character" w:customStyle="1" w:styleId="172">
    <w:name w:val="正文文本 2 字符"/>
    <w:basedOn w:val="52"/>
    <w:link w:val="42"/>
    <w:autoRedefine/>
    <w:qFormat/>
    <w:uiPriority w:val="99"/>
    <w:rPr>
      <w:rFonts w:ascii="宋体" w:hAnsi="Times New Roman" w:eastAsia="宋体" w:cs="Times New Roman"/>
      <w:kern w:val="2"/>
      <w:sz w:val="21"/>
    </w:rPr>
  </w:style>
  <w:style w:type="paragraph" w:customStyle="1" w:styleId="173">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4">
    <w:name w:val="样式 标题 2 + (符号) 宋体 小四"/>
    <w:basedOn w:val="4"/>
    <w:autoRedefine/>
    <w:qFormat/>
    <w:uiPriority w:val="0"/>
    <w:pPr>
      <w:keepNext/>
      <w:keepLines/>
      <w:spacing w:line="416" w:lineRule="auto"/>
    </w:pPr>
    <w:rPr>
      <w:rFonts w:ascii="Arial" w:hAnsi="Arial" w:eastAsia="宋体"/>
      <w:bCs/>
      <w:sz w:val="24"/>
    </w:rPr>
  </w:style>
  <w:style w:type="character" w:customStyle="1" w:styleId="175">
    <w:name w:val="Char2"/>
    <w:autoRedefine/>
    <w:qFormat/>
    <w:uiPriority w:val="0"/>
    <w:rPr>
      <w:rFonts w:ascii="Arial" w:hAnsi="Arial" w:eastAsia="黑体"/>
      <w:b/>
      <w:bCs/>
      <w:kern w:val="2"/>
      <w:sz w:val="32"/>
      <w:szCs w:val="32"/>
      <w:lang w:val="en-US" w:eastAsia="zh-CN" w:bidi="ar-SA"/>
    </w:rPr>
  </w:style>
  <w:style w:type="character" w:customStyle="1" w:styleId="176">
    <w:name w:val="样式 标题 2 + (符号) 宋体 小四 Char"/>
    <w:qFormat/>
    <w:uiPriority w:val="0"/>
    <w:rPr>
      <w:rFonts w:ascii="Arial" w:hAnsi="Arial" w:eastAsia="宋体"/>
      <w:b/>
      <w:bCs/>
      <w:kern w:val="2"/>
      <w:sz w:val="24"/>
      <w:szCs w:val="32"/>
      <w:lang w:val="en-US" w:eastAsia="zh-CN" w:bidi="ar-SA"/>
    </w:rPr>
  </w:style>
  <w:style w:type="paragraph" w:customStyle="1" w:styleId="177">
    <w:name w:val="样式1"/>
    <w:basedOn w:val="1"/>
    <w:next w:val="6"/>
    <w:autoRedefine/>
    <w:qFormat/>
    <w:uiPriority w:val="99"/>
    <w:rPr>
      <w:rFonts w:eastAsia="宋体"/>
      <w:sz w:val="24"/>
      <w:szCs w:val="20"/>
    </w:rPr>
  </w:style>
  <w:style w:type="paragraph" w:customStyle="1" w:styleId="178">
    <w:name w:val="默认段落字体 Para Char Char Char Char Char Char Char Char Char Char"/>
    <w:basedOn w:val="18"/>
    <w:autoRedefine/>
    <w:qFormat/>
    <w:uiPriority w:val="0"/>
    <w:pPr>
      <w:shd w:val="clear" w:color="auto" w:fill="000080"/>
      <w:spacing w:line="240" w:lineRule="auto"/>
    </w:pPr>
    <w:rPr>
      <w:rFonts w:ascii="Tahoma" w:hAnsi="Tahoma" w:eastAsia="宋体"/>
      <w:sz w:val="24"/>
      <w:szCs w:val="24"/>
    </w:rPr>
  </w:style>
  <w:style w:type="paragraph" w:customStyle="1" w:styleId="179">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80">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7">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8">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0">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92">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3">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4">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5">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7">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8">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9">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200">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201">
    <w:name w:val="日期 字符"/>
    <w:link w:val="31"/>
    <w:autoRedefine/>
    <w:qFormat/>
    <w:uiPriority w:val="99"/>
    <w:rPr>
      <w:rFonts w:ascii="Tahoma" w:hAnsi="Tahoma" w:eastAsia="Arial Unicode MS" w:cs="Times New Roman"/>
      <w:kern w:val="2"/>
      <w:sz w:val="21"/>
      <w:szCs w:val="24"/>
    </w:rPr>
  </w:style>
  <w:style w:type="character" w:customStyle="1" w:styleId="202">
    <w:name w:val="Char Char"/>
    <w:autoRedefine/>
    <w:qFormat/>
    <w:uiPriority w:val="0"/>
    <w:rPr>
      <w:rFonts w:eastAsia="宋体"/>
      <w:kern w:val="2"/>
      <w:sz w:val="24"/>
      <w:lang w:val="en-US" w:eastAsia="zh-CN" w:bidi="ar-SA"/>
    </w:rPr>
  </w:style>
  <w:style w:type="character" w:customStyle="1" w:styleId="203">
    <w:name w:val="称呼 字符"/>
    <w:basedOn w:val="52"/>
    <w:link w:val="21"/>
    <w:autoRedefine/>
    <w:qFormat/>
    <w:uiPriority w:val="0"/>
    <w:rPr>
      <w:rFonts w:ascii="..ì." w:hAnsi="Times New Roman" w:eastAsia="..ì." w:cs="Times New Roman"/>
      <w:sz w:val="24"/>
    </w:rPr>
  </w:style>
  <w:style w:type="character" w:customStyle="1" w:styleId="204">
    <w:name w:val="注释标题 字符"/>
    <w:basedOn w:val="52"/>
    <w:link w:val="14"/>
    <w:autoRedefine/>
    <w:qFormat/>
    <w:uiPriority w:val="0"/>
    <w:rPr>
      <w:rFonts w:ascii="..ì." w:hAnsi="Times New Roman" w:eastAsia="..ì." w:cs="Times New Roman"/>
      <w:sz w:val="24"/>
    </w:rPr>
  </w:style>
  <w:style w:type="paragraph" w:customStyle="1" w:styleId="205">
    <w:name w:val="1 Char Char Char Char"/>
    <w:basedOn w:val="1"/>
    <w:autoRedefine/>
    <w:qFormat/>
    <w:uiPriority w:val="0"/>
    <w:rPr>
      <w:rFonts w:ascii="Tahoma" w:hAnsi="Tahoma" w:eastAsia="宋体"/>
      <w:sz w:val="24"/>
      <w:szCs w:val="20"/>
    </w:rPr>
  </w:style>
  <w:style w:type="paragraph" w:customStyle="1" w:styleId="206">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7">
    <w:name w:val="TOC 标题2"/>
    <w:basedOn w:val="3"/>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8">
    <w:name w:val="标题 1 Char1"/>
    <w:autoRedefine/>
    <w:qFormat/>
    <w:uiPriority w:val="99"/>
    <w:rPr>
      <w:rFonts w:ascii="黑体" w:eastAsia="黑体"/>
      <w:sz w:val="52"/>
      <w:lang w:bidi="ar-SA"/>
    </w:rPr>
  </w:style>
  <w:style w:type="paragraph" w:customStyle="1" w:styleId="209">
    <w:name w:val="样式 标题 2 + Times New Roman 四号 非加粗 段前: 5 磅 段后: 0 磅 行距: 固定值 20..."/>
    <w:basedOn w:val="4"/>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10">
    <w:name w:val="3"/>
    <w:basedOn w:val="1"/>
    <w:next w:val="22"/>
    <w:autoRedefine/>
    <w:qFormat/>
    <w:uiPriority w:val="99"/>
    <w:rPr>
      <w:rFonts w:ascii="宋体" w:eastAsia="宋体"/>
      <w:sz w:val="24"/>
      <w:szCs w:val="20"/>
    </w:rPr>
  </w:style>
  <w:style w:type="character" w:customStyle="1" w:styleId="211">
    <w:name w:val="正文文本 3 字符"/>
    <w:basedOn w:val="52"/>
    <w:link w:val="22"/>
    <w:autoRedefine/>
    <w:qFormat/>
    <w:uiPriority w:val="99"/>
    <w:rPr>
      <w:rFonts w:ascii="Times New Roman" w:hAnsi="Times New Roman" w:eastAsia="宋体" w:cs="Times New Roman"/>
      <w:kern w:val="2"/>
      <w:sz w:val="16"/>
      <w:szCs w:val="16"/>
    </w:rPr>
  </w:style>
  <w:style w:type="paragraph" w:customStyle="1" w:styleId="212">
    <w:name w:val="样式 标题 3 + (中文) 黑体 小四 非加粗 段前: 7.8 磅 段后: 0 磅 行距: 固定值 20 磅"/>
    <w:basedOn w:val="6"/>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3">
    <w:name w:val="2"/>
    <w:basedOn w:val="1"/>
    <w:next w:val="24"/>
    <w:autoRedefine/>
    <w:qFormat/>
    <w:uiPriority w:val="99"/>
    <w:pPr>
      <w:ind w:left="432"/>
    </w:pPr>
    <w:rPr>
      <w:rFonts w:eastAsia="宋体"/>
      <w:szCs w:val="20"/>
    </w:rPr>
  </w:style>
  <w:style w:type="character" w:customStyle="1" w:styleId="214">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5">
    <w:name w:val="样式 标题 1 + 黑体 三号 非加粗 居中 段前: 6 磅 段后: 6 磅 行距: 固定值 20 磅"/>
    <w:basedOn w:val="3"/>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6">
    <w:name w:val="Char1111"/>
    <w:basedOn w:val="1"/>
    <w:autoRedefine/>
    <w:qFormat/>
    <w:uiPriority w:val="0"/>
    <w:rPr>
      <w:rFonts w:ascii="Tahoma" w:hAnsi="Tahoma" w:eastAsia="宋体"/>
      <w:sz w:val="24"/>
      <w:szCs w:val="20"/>
    </w:rPr>
  </w:style>
  <w:style w:type="character" w:customStyle="1" w:styleId="217">
    <w:name w:val="font161"/>
    <w:autoRedefine/>
    <w:qFormat/>
    <w:uiPriority w:val="99"/>
    <w:rPr>
      <w:b/>
      <w:bCs/>
      <w:sz w:val="32"/>
      <w:szCs w:val="32"/>
    </w:rPr>
  </w:style>
  <w:style w:type="paragraph" w:customStyle="1" w:styleId="218">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9">
    <w:name w:val="表格"/>
    <w:basedOn w:val="1"/>
    <w:autoRedefine/>
    <w:qFormat/>
    <w:uiPriority w:val="99"/>
    <w:pPr>
      <w:jc w:val="center"/>
      <w:textAlignment w:val="center"/>
    </w:pPr>
    <w:rPr>
      <w:rFonts w:ascii="华文细黑" w:hAnsi="华文细黑" w:eastAsia="宋体"/>
      <w:kern w:val="0"/>
      <w:szCs w:val="20"/>
    </w:rPr>
  </w:style>
  <w:style w:type="paragraph" w:customStyle="1" w:styleId="220">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21">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22">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3">
    <w:name w:val="样式 粉红"/>
    <w:autoRedefine/>
    <w:qFormat/>
    <w:uiPriority w:val="99"/>
    <w:rPr>
      <w:color w:val="auto"/>
      <w:u w:val="none"/>
    </w:rPr>
  </w:style>
  <w:style w:type="character" w:customStyle="1" w:styleId="224">
    <w:name w:val="Char Char1"/>
    <w:autoRedefine/>
    <w:qFormat/>
    <w:uiPriority w:val="0"/>
    <w:rPr>
      <w:rFonts w:eastAsia="宋体"/>
      <w:kern w:val="2"/>
      <w:sz w:val="24"/>
      <w:lang w:val="en-US" w:eastAsia="zh-CN" w:bidi="ar-SA"/>
    </w:rPr>
  </w:style>
  <w:style w:type="character" w:customStyle="1" w:styleId="225">
    <w:name w:val="纯文本 字符"/>
    <w:link w:val="29"/>
    <w:autoRedefine/>
    <w:qFormat/>
    <w:uiPriority w:val="0"/>
    <w:rPr>
      <w:rFonts w:ascii="宋体" w:hAnsi="Courier New" w:eastAsia="Arial Unicode MS" w:cs="Times New Roman"/>
      <w:kern w:val="2"/>
      <w:sz w:val="21"/>
      <w:szCs w:val="21"/>
    </w:rPr>
  </w:style>
  <w:style w:type="paragraph" w:customStyle="1" w:styleId="226">
    <w:name w:val="Char Char Char Char"/>
    <w:basedOn w:val="1"/>
    <w:autoRedefine/>
    <w:qFormat/>
    <w:uiPriority w:val="0"/>
    <w:pPr>
      <w:widowControl/>
      <w:spacing w:after="160" w:line="240" w:lineRule="exact"/>
      <w:jc w:val="left"/>
    </w:pPr>
    <w:rPr>
      <w:rFonts w:eastAsia="宋体"/>
      <w:szCs w:val="20"/>
    </w:rPr>
  </w:style>
  <w:style w:type="paragraph" w:customStyle="1" w:styleId="227">
    <w:name w:val="p17"/>
    <w:basedOn w:val="1"/>
    <w:autoRedefine/>
    <w:qFormat/>
    <w:uiPriority w:val="99"/>
    <w:pPr>
      <w:widowControl/>
    </w:pPr>
    <w:rPr>
      <w:rFonts w:eastAsia="宋体"/>
      <w:kern w:val="0"/>
      <w:szCs w:val="21"/>
    </w:rPr>
  </w:style>
  <w:style w:type="character" w:customStyle="1" w:styleId="228">
    <w:name w:val="H4 Char"/>
    <w:autoRedefine/>
    <w:qFormat/>
    <w:uiPriority w:val="0"/>
    <w:rPr>
      <w:b/>
      <w:sz w:val="28"/>
    </w:rPr>
  </w:style>
  <w:style w:type="character" w:customStyle="1" w:styleId="229">
    <w:name w:val="Char Char2"/>
    <w:autoRedefine/>
    <w:qFormat/>
    <w:uiPriority w:val="0"/>
    <w:rPr>
      <w:rFonts w:eastAsia="宋体"/>
      <w:kern w:val="2"/>
      <w:sz w:val="24"/>
      <w:lang w:val="en-US" w:eastAsia="zh-CN" w:bidi="ar-SA"/>
    </w:rPr>
  </w:style>
  <w:style w:type="character" w:customStyle="1" w:styleId="230">
    <w:name w:val="Char Char111"/>
    <w:autoRedefine/>
    <w:qFormat/>
    <w:uiPriority w:val="99"/>
    <w:rPr>
      <w:rFonts w:eastAsia="宋体"/>
      <w:kern w:val="2"/>
      <w:sz w:val="24"/>
      <w:lang w:val="en-US" w:eastAsia="zh-CN" w:bidi="ar-SA"/>
    </w:rPr>
  </w:style>
  <w:style w:type="paragraph" w:customStyle="1" w:styleId="231">
    <w:name w:val="Char Char Char Char111"/>
    <w:basedOn w:val="1"/>
    <w:autoRedefine/>
    <w:qFormat/>
    <w:uiPriority w:val="0"/>
    <w:pPr>
      <w:widowControl/>
      <w:spacing w:after="160" w:line="240" w:lineRule="exact"/>
      <w:jc w:val="left"/>
    </w:pPr>
    <w:rPr>
      <w:rFonts w:eastAsia="宋体"/>
      <w:szCs w:val="20"/>
    </w:rPr>
  </w:style>
  <w:style w:type="paragraph" w:customStyle="1" w:styleId="232">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3">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4">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5">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6">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8">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9">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0">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2">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3">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4">
    <w:name w:val="前言、引言标题"/>
    <w:next w:val="1"/>
    <w:autoRedefine/>
    <w:qFormat/>
    <w:uiPriority w:val="0"/>
    <w:pPr>
      <w:numPr>
        <w:ilvl w:val="0"/>
        <w:numId w:val="4"/>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5">
    <w:name w:val="章标题"/>
    <w:next w:val="1"/>
    <w:link w:val="252"/>
    <w:autoRedefine/>
    <w:qFormat/>
    <w:uiPriority w:val="0"/>
    <w:pPr>
      <w:numPr>
        <w:ilvl w:val="1"/>
        <w:numId w:val="4"/>
      </w:numPr>
      <w:spacing w:beforeLines="50" w:afterLines="50"/>
      <w:jc w:val="both"/>
      <w:outlineLvl w:val="1"/>
    </w:pPr>
    <w:rPr>
      <w:rFonts w:ascii="黑体" w:hAnsi="Times New Roman" w:eastAsia="黑体" w:cs="Times New Roman"/>
      <w:sz w:val="21"/>
      <w:lang w:val="en-US" w:eastAsia="zh-CN" w:bidi="ar-SA"/>
    </w:rPr>
  </w:style>
  <w:style w:type="paragraph" w:customStyle="1" w:styleId="246">
    <w:name w:val="一级条标题"/>
    <w:basedOn w:val="245"/>
    <w:next w:val="1"/>
    <w:link w:val="253"/>
    <w:autoRedefine/>
    <w:qFormat/>
    <w:uiPriority w:val="0"/>
    <w:pPr>
      <w:numPr>
        <w:ilvl w:val="2"/>
      </w:numPr>
      <w:tabs>
        <w:tab w:val="left" w:pos="360"/>
      </w:tabs>
      <w:spacing w:beforeLines="0" w:afterLines="0"/>
      <w:ind w:left="315"/>
      <w:outlineLvl w:val="2"/>
    </w:pPr>
  </w:style>
  <w:style w:type="paragraph" w:customStyle="1" w:styleId="247">
    <w:name w:val="二级条标题"/>
    <w:basedOn w:val="246"/>
    <w:next w:val="1"/>
    <w:link w:val="254"/>
    <w:autoRedefine/>
    <w:qFormat/>
    <w:uiPriority w:val="0"/>
    <w:pPr>
      <w:numPr>
        <w:ilvl w:val="3"/>
      </w:numPr>
      <w:ind w:left="315"/>
      <w:outlineLvl w:val="3"/>
    </w:pPr>
  </w:style>
  <w:style w:type="paragraph" w:customStyle="1" w:styleId="248">
    <w:name w:val="列项——"/>
    <w:autoRedefine/>
    <w:qFormat/>
    <w:uiPriority w:val="0"/>
    <w:pPr>
      <w:widowControl w:val="0"/>
      <w:numPr>
        <w:ilvl w:val="0"/>
        <w:numId w:val="5"/>
      </w:numPr>
      <w:jc w:val="both"/>
    </w:pPr>
    <w:rPr>
      <w:rFonts w:ascii="宋体" w:hAnsi="Times New Roman" w:eastAsia="宋体" w:cs="Times New Roman"/>
      <w:sz w:val="21"/>
      <w:lang w:val="en-US" w:eastAsia="zh-CN" w:bidi="ar-SA"/>
    </w:rPr>
  </w:style>
  <w:style w:type="paragraph" w:customStyle="1" w:styleId="249">
    <w:name w:val="三级条标题"/>
    <w:basedOn w:val="247"/>
    <w:next w:val="1"/>
    <w:autoRedefine/>
    <w:qFormat/>
    <w:uiPriority w:val="0"/>
    <w:pPr>
      <w:numPr>
        <w:ilvl w:val="4"/>
      </w:numPr>
      <w:tabs>
        <w:tab w:val="left" w:pos="1680"/>
        <w:tab w:val="left" w:pos="2100"/>
      </w:tabs>
      <w:ind w:left="2100" w:hanging="420"/>
      <w:outlineLvl w:val="4"/>
    </w:pPr>
  </w:style>
  <w:style w:type="paragraph" w:customStyle="1" w:styleId="250">
    <w:name w:val="四级条标题"/>
    <w:basedOn w:val="249"/>
    <w:next w:val="1"/>
    <w:autoRedefine/>
    <w:qFormat/>
    <w:uiPriority w:val="0"/>
    <w:pPr>
      <w:numPr>
        <w:ilvl w:val="5"/>
      </w:numPr>
      <w:tabs>
        <w:tab w:val="left" w:pos="2520"/>
      </w:tabs>
      <w:ind w:left="2520" w:hanging="420"/>
      <w:outlineLvl w:val="5"/>
    </w:pPr>
  </w:style>
  <w:style w:type="paragraph" w:customStyle="1" w:styleId="251">
    <w:name w:val="五级条标题"/>
    <w:basedOn w:val="250"/>
    <w:next w:val="1"/>
    <w:autoRedefine/>
    <w:qFormat/>
    <w:uiPriority w:val="0"/>
    <w:pPr>
      <w:numPr>
        <w:ilvl w:val="6"/>
      </w:numPr>
      <w:tabs>
        <w:tab w:val="left" w:pos="2940"/>
      </w:tabs>
      <w:ind w:left="2940" w:hanging="420"/>
      <w:outlineLvl w:val="6"/>
    </w:pPr>
  </w:style>
  <w:style w:type="character" w:customStyle="1" w:styleId="252">
    <w:name w:val="章标题 Char"/>
    <w:link w:val="245"/>
    <w:autoRedefine/>
    <w:qFormat/>
    <w:uiPriority w:val="0"/>
    <w:rPr>
      <w:rFonts w:ascii="黑体" w:eastAsia="黑体"/>
      <w:sz w:val="21"/>
    </w:rPr>
  </w:style>
  <w:style w:type="character" w:customStyle="1" w:styleId="253">
    <w:name w:val="一级条标题 Char"/>
    <w:link w:val="246"/>
    <w:autoRedefine/>
    <w:qFormat/>
    <w:uiPriority w:val="0"/>
    <w:rPr>
      <w:rFonts w:ascii="黑体" w:eastAsia="黑体"/>
      <w:sz w:val="21"/>
    </w:rPr>
  </w:style>
  <w:style w:type="character" w:customStyle="1" w:styleId="254">
    <w:name w:val="二级条标题 Char"/>
    <w:link w:val="247"/>
    <w:autoRedefine/>
    <w:qFormat/>
    <w:uiPriority w:val="0"/>
    <w:rPr>
      <w:rFonts w:ascii="黑体" w:eastAsia="黑体"/>
      <w:sz w:val="21"/>
    </w:rPr>
  </w:style>
  <w:style w:type="character" w:customStyle="1" w:styleId="255">
    <w:name w:val="Heading 1 Char"/>
    <w:autoRedefine/>
    <w:qFormat/>
    <w:locked/>
    <w:uiPriority w:val="0"/>
    <w:rPr>
      <w:rFonts w:ascii="黑体" w:hAnsi="Times New Roman" w:eastAsia="黑体" w:cs="Times New Roman"/>
      <w:kern w:val="0"/>
      <w:sz w:val="20"/>
      <w:szCs w:val="20"/>
    </w:rPr>
  </w:style>
  <w:style w:type="character" w:customStyle="1" w:styleId="256">
    <w:name w:val="Heading 2 Char"/>
    <w:autoRedefine/>
    <w:qFormat/>
    <w:locked/>
    <w:uiPriority w:val="0"/>
    <w:rPr>
      <w:rFonts w:ascii="Times New Roman" w:hAnsi="Times New Roman" w:eastAsia="宋体" w:cs="Times New Roman"/>
      <w:b/>
      <w:kern w:val="0"/>
      <w:sz w:val="32"/>
      <w:szCs w:val="32"/>
    </w:rPr>
  </w:style>
  <w:style w:type="character" w:customStyle="1" w:styleId="257">
    <w:name w:val="标题 3 Char1"/>
    <w:autoRedefine/>
    <w:qFormat/>
    <w:locked/>
    <w:uiPriority w:val="99"/>
    <w:rPr>
      <w:rFonts w:eastAsia="宋体"/>
      <w:b/>
      <w:sz w:val="32"/>
      <w:lang w:val="en-US" w:eastAsia="zh-CN" w:bidi="ar-SA"/>
    </w:rPr>
  </w:style>
  <w:style w:type="character" w:customStyle="1" w:styleId="258">
    <w:name w:val="Heading 4 Char"/>
    <w:autoRedefine/>
    <w:qFormat/>
    <w:locked/>
    <w:uiPriority w:val="0"/>
    <w:rPr>
      <w:rFonts w:ascii="Times New Roman" w:hAnsi="Times New Roman" w:eastAsia="宋体" w:cs="Times New Roman"/>
      <w:b/>
      <w:kern w:val="0"/>
      <w:sz w:val="20"/>
      <w:szCs w:val="20"/>
    </w:rPr>
  </w:style>
  <w:style w:type="character" w:customStyle="1" w:styleId="259">
    <w:name w:val="Heading 5 Char"/>
    <w:autoRedefine/>
    <w:qFormat/>
    <w:locked/>
    <w:uiPriority w:val="0"/>
    <w:rPr>
      <w:rFonts w:ascii="Times New Roman" w:hAnsi="Times New Roman" w:eastAsia="宋体" w:cs="Times New Roman"/>
      <w:b/>
      <w:bCs/>
      <w:sz w:val="28"/>
      <w:szCs w:val="28"/>
    </w:rPr>
  </w:style>
  <w:style w:type="character" w:customStyle="1" w:styleId="260">
    <w:name w:val="Heading 6 Char"/>
    <w:autoRedefine/>
    <w:qFormat/>
    <w:locked/>
    <w:uiPriority w:val="0"/>
    <w:rPr>
      <w:rFonts w:ascii="Arial" w:hAnsi="Arial" w:eastAsia="黑体" w:cs="Times New Roman"/>
      <w:b/>
      <w:bCs/>
      <w:kern w:val="0"/>
      <w:sz w:val="24"/>
      <w:szCs w:val="24"/>
    </w:rPr>
  </w:style>
  <w:style w:type="character" w:customStyle="1" w:styleId="261">
    <w:name w:val="Heading 7 Char"/>
    <w:autoRedefine/>
    <w:qFormat/>
    <w:locked/>
    <w:uiPriority w:val="0"/>
    <w:rPr>
      <w:rFonts w:ascii="Times New Roman" w:hAnsi="Times New Roman" w:eastAsia="宋体" w:cs="Times New Roman"/>
      <w:b/>
      <w:bCs/>
      <w:kern w:val="0"/>
      <w:sz w:val="24"/>
      <w:szCs w:val="24"/>
    </w:rPr>
  </w:style>
  <w:style w:type="character" w:customStyle="1" w:styleId="262">
    <w:name w:val="Heading 8 Char"/>
    <w:autoRedefine/>
    <w:qFormat/>
    <w:locked/>
    <w:uiPriority w:val="0"/>
    <w:rPr>
      <w:rFonts w:ascii="Arial" w:hAnsi="Arial" w:eastAsia="黑体" w:cs="Times New Roman"/>
      <w:kern w:val="0"/>
      <w:sz w:val="24"/>
      <w:szCs w:val="24"/>
    </w:rPr>
  </w:style>
  <w:style w:type="character" w:customStyle="1" w:styleId="263">
    <w:name w:val="Heading 9 Char"/>
    <w:qFormat/>
    <w:locked/>
    <w:uiPriority w:val="0"/>
    <w:rPr>
      <w:rFonts w:ascii="Arial" w:hAnsi="Arial" w:eastAsia="黑体" w:cs="Times New Roman"/>
      <w:kern w:val="0"/>
      <w:sz w:val="21"/>
      <w:szCs w:val="21"/>
    </w:rPr>
  </w:style>
  <w:style w:type="character" w:customStyle="1" w:styleId="264">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5">
    <w:name w:val="Date Char"/>
    <w:autoRedefine/>
    <w:qFormat/>
    <w:locked/>
    <w:uiPriority w:val="0"/>
    <w:rPr>
      <w:rFonts w:ascii="Times New Roman" w:hAnsi="Times New Roman" w:eastAsia="宋体" w:cs="Times New Roman"/>
      <w:sz w:val="20"/>
      <w:szCs w:val="20"/>
    </w:rPr>
  </w:style>
  <w:style w:type="character" w:customStyle="1" w:styleId="266">
    <w:name w:val="Header Char"/>
    <w:autoRedefine/>
    <w:qFormat/>
    <w:locked/>
    <w:uiPriority w:val="0"/>
    <w:rPr>
      <w:rFonts w:ascii="Times New Roman" w:hAnsi="Times New Roman" w:eastAsia="宋体" w:cs="Times New Roman"/>
      <w:kern w:val="0"/>
      <w:sz w:val="20"/>
      <w:szCs w:val="20"/>
    </w:rPr>
  </w:style>
  <w:style w:type="character" w:customStyle="1" w:styleId="267">
    <w:name w:val="Footer Char"/>
    <w:autoRedefine/>
    <w:qFormat/>
    <w:locked/>
    <w:uiPriority w:val="0"/>
    <w:rPr>
      <w:rFonts w:ascii="Times New Roman" w:hAnsi="Times New Roman" w:eastAsia="宋体" w:cs="Times New Roman"/>
      <w:kern w:val="0"/>
      <w:sz w:val="20"/>
      <w:szCs w:val="20"/>
    </w:rPr>
  </w:style>
  <w:style w:type="character" w:customStyle="1" w:styleId="268">
    <w:name w:val="Plain Text Char"/>
    <w:qFormat/>
    <w:locked/>
    <w:uiPriority w:val="0"/>
    <w:rPr>
      <w:rFonts w:ascii="宋体" w:hAnsi="Courier New" w:eastAsia="宋体" w:cs="Times New Roman"/>
      <w:sz w:val="20"/>
      <w:szCs w:val="20"/>
    </w:rPr>
  </w:style>
  <w:style w:type="character" w:customStyle="1" w:styleId="269">
    <w:name w:val="Body Text Indent 2 Char"/>
    <w:autoRedefine/>
    <w:qFormat/>
    <w:locked/>
    <w:uiPriority w:val="0"/>
    <w:rPr>
      <w:rFonts w:ascii="Times New Roman" w:hAnsi="Times New Roman" w:eastAsia="宋体" w:cs="Times New Roman"/>
      <w:sz w:val="30"/>
      <w:szCs w:val="30"/>
    </w:rPr>
  </w:style>
  <w:style w:type="character" w:customStyle="1" w:styleId="270">
    <w:name w:val="Body Text Indent 3 Char"/>
    <w:autoRedefine/>
    <w:qFormat/>
    <w:locked/>
    <w:uiPriority w:val="0"/>
    <w:rPr>
      <w:rFonts w:ascii="Times New Roman" w:hAnsi="Times New Roman" w:eastAsia="宋体" w:cs="Times New Roman"/>
      <w:sz w:val="30"/>
      <w:szCs w:val="30"/>
    </w:rPr>
  </w:style>
  <w:style w:type="character" w:customStyle="1" w:styleId="271">
    <w:name w:val="Body Text First Indent 2 Char"/>
    <w:autoRedefine/>
    <w:qFormat/>
    <w:locked/>
    <w:uiPriority w:val="0"/>
    <w:rPr>
      <w:rFonts w:ascii="Times New Roman" w:hAnsi="Times New Roman" w:eastAsia="宋体" w:cs="Times New Roman"/>
      <w:kern w:val="2"/>
      <w:sz w:val="24"/>
      <w:szCs w:val="24"/>
    </w:rPr>
  </w:style>
  <w:style w:type="character" w:customStyle="1" w:styleId="272">
    <w:name w:val="Body Text 2 Char"/>
    <w:autoRedefine/>
    <w:qFormat/>
    <w:locked/>
    <w:uiPriority w:val="0"/>
    <w:rPr>
      <w:rFonts w:ascii="宋体" w:hAnsi="Times New Roman" w:eastAsia="宋体" w:cs="Times New Roman"/>
      <w:sz w:val="20"/>
      <w:szCs w:val="20"/>
    </w:rPr>
  </w:style>
  <w:style w:type="character" w:customStyle="1" w:styleId="273">
    <w:name w:val="Balloon Text Char"/>
    <w:autoRedefine/>
    <w:qFormat/>
    <w:locked/>
    <w:uiPriority w:val="0"/>
    <w:rPr>
      <w:rFonts w:ascii="Times New Roman" w:hAnsi="Times New Roman" w:eastAsia="宋体" w:cs="Times New Roman"/>
      <w:sz w:val="18"/>
      <w:szCs w:val="18"/>
    </w:rPr>
  </w:style>
  <w:style w:type="character" w:customStyle="1" w:styleId="274">
    <w:name w:val="Salutation Char"/>
    <w:autoRedefine/>
    <w:qFormat/>
    <w:locked/>
    <w:uiPriority w:val="0"/>
    <w:rPr>
      <w:rFonts w:ascii="..ì." w:hAnsi="Times New Roman" w:eastAsia="..ì." w:cs="Times New Roman"/>
      <w:kern w:val="0"/>
      <w:sz w:val="20"/>
      <w:szCs w:val="20"/>
    </w:rPr>
  </w:style>
  <w:style w:type="character" w:customStyle="1" w:styleId="275">
    <w:name w:val="Note Heading Char"/>
    <w:autoRedefine/>
    <w:qFormat/>
    <w:locked/>
    <w:uiPriority w:val="0"/>
    <w:rPr>
      <w:rFonts w:ascii="..ì." w:hAnsi="Times New Roman" w:eastAsia="..ì." w:cs="Times New Roman"/>
      <w:kern w:val="0"/>
      <w:sz w:val="20"/>
      <w:szCs w:val="20"/>
    </w:rPr>
  </w:style>
  <w:style w:type="paragraph" w:customStyle="1" w:styleId="276">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7">
    <w:name w:val="TOC Heading1"/>
    <w:basedOn w:val="3"/>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8">
    <w:name w:val="Body Text 3 Char"/>
    <w:autoRedefine/>
    <w:qFormat/>
    <w:locked/>
    <w:uiPriority w:val="0"/>
    <w:rPr>
      <w:rFonts w:ascii="Times New Roman" w:hAnsi="Times New Roman" w:eastAsia="宋体" w:cs="Times New Roman"/>
      <w:sz w:val="16"/>
      <w:szCs w:val="16"/>
    </w:rPr>
  </w:style>
  <w:style w:type="character" w:customStyle="1" w:styleId="279">
    <w:name w:val="Title Char"/>
    <w:autoRedefine/>
    <w:qFormat/>
    <w:locked/>
    <w:uiPriority w:val="0"/>
    <w:rPr>
      <w:rFonts w:ascii="Arial" w:hAnsi="Arial" w:eastAsia="宋体" w:cs="Times New Roman"/>
      <w:b/>
      <w:kern w:val="0"/>
      <w:sz w:val="20"/>
      <w:szCs w:val="20"/>
    </w:rPr>
  </w:style>
  <w:style w:type="character" w:customStyle="1" w:styleId="280">
    <w:name w:val="Comment Subject Char"/>
    <w:autoRedefine/>
    <w:qFormat/>
    <w:locked/>
    <w:uiPriority w:val="0"/>
    <w:rPr>
      <w:rFonts w:ascii="Times New Roman" w:hAnsi="Times New Roman" w:eastAsia="宋体" w:cs="Times New Roman"/>
      <w:b/>
      <w:bCs/>
      <w:sz w:val="24"/>
      <w:szCs w:val="24"/>
    </w:rPr>
  </w:style>
  <w:style w:type="character" w:customStyle="1" w:styleId="281">
    <w:name w:val="Comment Text Char"/>
    <w:autoRedefine/>
    <w:qFormat/>
    <w:locked/>
    <w:uiPriority w:val="0"/>
    <w:rPr>
      <w:rFonts w:ascii="Times New Roman" w:hAnsi="Times New Roman" w:eastAsia="宋体"/>
      <w:sz w:val="24"/>
    </w:rPr>
  </w:style>
  <w:style w:type="paragraph" w:customStyle="1" w:styleId="282">
    <w:name w:val="List Paragraph1"/>
    <w:basedOn w:val="1"/>
    <w:autoRedefine/>
    <w:qFormat/>
    <w:uiPriority w:val="0"/>
    <w:pPr>
      <w:ind w:firstLine="420" w:firstLineChars="200"/>
    </w:pPr>
    <w:rPr>
      <w:rFonts w:eastAsia="宋体"/>
    </w:rPr>
  </w:style>
  <w:style w:type="paragraph" w:customStyle="1" w:styleId="283">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4">
    <w:name w:val="未处理的提及"/>
    <w:autoRedefine/>
    <w:unhideWhenUsed/>
    <w:qFormat/>
    <w:uiPriority w:val="99"/>
    <w:rPr>
      <w:color w:val="605E5C"/>
      <w:shd w:val="clear" w:color="auto" w:fill="E1DFDD"/>
    </w:rPr>
  </w:style>
  <w:style w:type="character" w:customStyle="1" w:styleId="285">
    <w:name w:val="Char Char11"/>
    <w:autoRedefine/>
    <w:qFormat/>
    <w:uiPriority w:val="99"/>
    <w:rPr>
      <w:rFonts w:eastAsia="宋体"/>
      <w:kern w:val="2"/>
      <w:sz w:val="24"/>
      <w:lang w:val="en-US" w:eastAsia="zh-CN"/>
    </w:rPr>
  </w:style>
  <w:style w:type="character" w:customStyle="1" w:styleId="286">
    <w:name w:val="正文文本 Char1"/>
    <w:autoRedefine/>
    <w:semiHidden/>
    <w:qFormat/>
    <w:uiPriority w:val="0"/>
    <w:rPr>
      <w:rFonts w:ascii="Times New Roman" w:hAnsi="Times New Roman" w:eastAsia="宋体" w:cs="Times New Roman"/>
      <w:szCs w:val="24"/>
    </w:rPr>
  </w:style>
  <w:style w:type="paragraph" w:customStyle="1" w:styleId="287">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11"/>
    <w:basedOn w:val="1"/>
    <w:autoRedefine/>
    <w:qFormat/>
    <w:uiPriority w:val="99"/>
    <w:rPr>
      <w:rFonts w:ascii="Tahoma" w:hAnsi="Tahoma" w:eastAsia="宋体"/>
      <w:sz w:val="24"/>
      <w:szCs w:val="20"/>
    </w:rPr>
  </w:style>
  <w:style w:type="paragraph" w:customStyle="1" w:styleId="289">
    <w:name w:val="Char Char Char Char1"/>
    <w:basedOn w:val="1"/>
    <w:autoRedefine/>
    <w:qFormat/>
    <w:uiPriority w:val="99"/>
    <w:pPr>
      <w:widowControl/>
      <w:spacing w:after="160" w:line="240" w:lineRule="exact"/>
      <w:jc w:val="left"/>
    </w:pPr>
    <w:rPr>
      <w:rFonts w:eastAsia="宋体"/>
      <w:szCs w:val="20"/>
    </w:rPr>
  </w:style>
  <w:style w:type="paragraph" w:customStyle="1" w:styleId="290">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91">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11"/>
    <w:basedOn w:val="1"/>
    <w:autoRedefine/>
    <w:qFormat/>
    <w:uiPriority w:val="99"/>
    <w:pPr>
      <w:widowControl/>
      <w:spacing w:after="160" w:line="240" w:lineRule="exact"/>
      <w:jc w:val="left"/>
    </w:pPr>
    <w:rPr>
      <w:rFonts w:eastAsia="宋体"/>
      <w:szCs w:val="20"/>
    </w:rPr>
  </w:style>
  <w:style w:type="paragraph" w:customStyle="1" w:styleId="293">
    <w:name w:val="Char12"/>
    <w:basedOn w:val="1"/>
    <w:autoRedefine/>
    <w:qFormat/>
    <w:uiPriority w:val="99"/>
    <w:rPr>
      <w:rFonts w:ascii="Tahoma" w:hAnsi="Tahoma" w:eastAsia="宋体"/>
      <w:sz w:val="24"/>
      <w:szCs w:val="20"/>
    </w:rPr>
  </w:style>
  <w:style w:type="paragraph" w:customStyle="1" w:styleId="294">
    <w:name w:val="Char111"/>
    <w:basedOn w:val="1"/>
    <w:autoRedefine/>
    <w:qFormat/>
    <w:uiPriority w:val="99"/>
    <w:rPr>
      <w:rFonts w:ascii="Tahoma" w:hAnsi="Tahoma" w:eastAsia="宋体"/>
      <w:sz w:val="24"/>
      <w:szCs w:val="20"/>
    </w:rPr>
  </w:style>
  <w:style w:type="paragraph" w:customStyle="1" w:styleId="295">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6">
    <w:name w:val="Char Char Char Char2"/>
    <w:basedOn w:val="1"/>
    <w:autoRedefine/>
    <w:qFormat/>
    <w:uiPriority w:val="99"/>
    <w:pPr>
      <w:widowControl/>
      <w:spacing w:after="160" w:line="240" w:lineRule="exact"/>
      <w:jc w:val="left"/>
    </w:pPr>
    <w:rPr>
      <w:rFonts w:eastAsia="宋体"/>
      <w:szCs w:val="20"/>
    </w:rPr>
  </w:style>
  <w:style w:type="character" w:customStyle="1" w:styleId="297">
    <w:name w:val="正文文本 字符"/>
    <w:autoRedefine/>
    <w:qFormat/>
    <w:uiPriority w:val="0"/>
    <w:rPr>
      <w:b/>
      <w:i/>
      <w:szCs w:val="24"/>
    </w:rPr>
  </w:style>
  <w:style w:type="paragraph" w:customStyle="1" w:styleId="298">
    <w:name w:val="纯文本2"/>
    <w:basedOn w:val="1"/>
    <w:autoRedefine/>
    <w:qFormat/>
    <w:uiPriority w:val="0"/>
    <w:rPr>
      <w:rFonts w:ascii="宋体" w:hAnsi="Courier New" w:cs="Courier New"/>
      <w:szCs w:val="21"/>
    </w:rPr>
  </w:style>
  <w:style w:type="paragraph" w:customStyle="1" w:styleId="299">
    <w:name w:val="TOC 标题3"/>
    <w:basedOn w:val="3"/>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300">
    <w:name w:val="HTML 预设格式 字符"/>
    <w:basedOn w:val="52"/>
    <w:link w:val="43"/>
    <w:autoRedefine/>
    <w:qFormat/>
    <w:uiPriority w:val="0"/>
    <w:rPr>
      <w:rFonts w:ascii="黑体" w:hAnsi="Courier New" w:eastAsia="黑体"/>
    </w:rPr>
  </w:style>
  <w:style w:type="character" w:customStyle="1" w:styleId="301">
    <w:name w:val="标题 4 字符1"/>
    <w:autoRedefine/>
    <w:qFormat/>
    <w:uiPriority w:val="0"/>
    <w:rPr>
      <w:b/>
      <w:sz w:val="24"/>
      <w:szCs w:val="24"/>
    </w:rPr>
  </w:style>
  <w:style w:type="paragraph" w:customStyle="1" w:styleId="302">
    <w:name w:val="NormalIndent"/>
    <w:basedOn w:val="1"/>
    <w:autoRedefine/>
    <w:qFormat/>
    <w:uiPriority w:val="0"/>
    <w:pPr>
      <w:ind w:firstLine="420" w:firstLineChars="200"/>
      <w:textAlignment w:val="baseline"/>
    </w:pPr>
    <w:rPr>
      <w:rFonts w:eastAsia="宋体"/>
    </w:rPr>
  </w:style>
  <w:style w:type="table" w:customStyle="1" w:styleId="303">
    <w:name w:val="Table Normal"/>
    <w:autoRedefine/>
    <w:unhideWhenUsed/>
    <w:qFormat/>
    <w:uiPriority w:val="0"/>
    <w:tblPr>
      <w:tblCellMar>
        <w:top w:w="0" w:type="dxa"/>
        <w:left w:w="0" w:type="dxa"/>
        <w:bottom w:w="0" w:type="dxa"/>
        <w:right w:w="0" w:type="dxa"/>
      </w:tblCellMar>
    </w:tblPr>
  </w:style>
  <w:style w:type="paragraph" w:customStyle="1" w:styleId="304">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05">
    <w:name w:val="first-child"/>
    <w:basedOn w:val="52"/>
    <w:autoRedefine/>
    <w:qFormat/>
    <w:uiPriority w:val="0"/>
  </w:style>
  <w:style w:type="character" w:customStyle="1" w:styleId="306">
    <w:name w:val="layui-layer-tabnow"/>
    <w:basedOn w:val="52"/>
    <w:autoRedefine/>
    <w:qFormat/>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C3B69D-A707-4D85-9BCE-34E46339B086}">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86</Pages>
  <Words>33606</Words>
  <Characters>37928</Characters>
  <Lines>298</Lines>
  <Paragraphs>83</Paragraphs>
  <TotalTime>2</TotalTime>
  <ScaleCrop>false</ScaleCrop>
  <LinksUpToDate>false</LinksUpToDate>
  <CharactersWithSpaces>42368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2021-03-12T07:18:00Z</dcterms:created>
  <dc:creator>Lv Ji_BM</dc:creator>
  <cp:lastModifiedBy>尚智</cp:lastModifiedBy>
  <cp:lastPrinted>2021-01-08T03:14:00Z</cp:lastPrinted>
  <dcterms:modified xsi:type="dcterms:W3CDTF">2024-01-22T09:42:42Z</dcterms:modified>
  <dc:title>_x0001_</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218699DD5EA74A19B8394C5351A72D8D</vt:lpwstr>
  </property>
</Properties>
</file>