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版本号：DZZCSL-2026-00320260318001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洛南县麻坪镇槐树坪一带白云岩矿地质勘查服务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DZZCSL-2026-003</w:t>
      </w:r>
      <w:r>
        <w:br/>
      </w:r>
      <w:r>
        <w:br/>
      </w:r>
      <w:r>
        <w:br/>
      </w:r>
    </w:p>
    <w:p>
      <w:pPr>
        <w:pStyle w:val="null3"/>
        <w:jc w:val="center"/>
        <w:outlineLvl w:val="2"/>
      </w:pPr>
      <w:r>
        <w:rPr>
          <w:rFonts w:ascii="仿宋_GB2312" w:hAnsi="仿宋_GB2312" w:cs="仿宋_GB2312" w:eastAsia="仿宋_GB2312"/>
          <w:sz w:val="28"/>
          <w:b/>
        </w:rPr>
        <w:t>商洛经济技术开发区管理委员会</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商洛经济技术开发区管理委员会</w:t>
      </w:r>
      <w:r>
        <w:rPr>
          <w:rFonts w:ascii="仿宋_GB2312" w:hAnsi="仿宋_GB2312" w:cs="仿宋_GB2312" w:eastAsia="仿宋_GB2312"/>
        </w:rPr>
        <w:t>委托，拟对</w:t>
      </w:r>
      <w:r>
        <w:rPr>
          <w:rFonts w:ascii="仿宋_GB2312" w:hAnsi="仿宋_GB2312" w:cs="仿宋_GB2312" w:eastAsia="仿宋_GB2312"/>
        </w:rPr>
        <w:t>洛南县麻坪镇槐树坪一带白云岩矿地质勘查服务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DZZCSL-2026-003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洛南县麻坪镇槐树坪一带白云岩矿地质勘查服务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为推进商榆合作升级打造陕西镁产业链项目和洛南至宁西铁路专用线项目有关工作，由商洛经开区负责，委托专业机构对洛南县麻坪镇槐树坪一带拟选矿区白云岩矿地质勘查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采购包1（洛南县麻坪镇槐树坪一带白云岩矿地质勘查服务）：属于专门面向中小企业采购。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2、法定代表人授权书：法定代表人授权书及被授权人身份证明。（法定代表人直接参加只须提交其身份证明）</w:t>
      </w:r>
    </w:p>
    <w:p>
      <w:pPr>
        <w:pStyle w:val="null3"/>
      </w:pPr>
      <w:r>
        <w:rPr>
          <w:rFonts w:ascii="仿宋_GB2312" w:hAnsi="仿宋_GB2312" w:cs="仿宋_GB2312" w:eastAsia="仿宋_GB2312"/>
        </w:rPr>
        <w:t>3、财务报告：提供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w:t>
      </w:r>
    </w:p>
    <w:p>
      <w:pPr>
        <w:pStyle w:val="null3"/>
      </w:pPr>
      <w:r>
        <w:rPr>
          <w:rFonts w:ascii="仿宋_GB2312" w:hAnsi="仿宋_GB2312" w:cs="仿宋_GB2312" w:eastAsia="仿宋_GB2312"/>
        </w:rPr>
        <w:t>4、信誉要求：投标人未被“信用中国”网站（ 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5、具有履行合同所必需的设备和专业技术能力：提供具有履行合同所必需的设备和专业技术能力的承诺函</w:t>
      </w:r>
    </w:p>
    <w:p>
      <w:pPr>
        <w:pStyle w:val="null3"/>
      </w:pPr>
      <w:r>
        <w:rPr>
          <w:rFonts w:ascii="仿宋_GB2312" w:hAnsi="仿宋_GB2312" w:cs="仿宋_GB2312" w:eastAsia="仿宋_GB2312"/>
        </w:rPr>
        <w:t>6、税收缴纳证明：提供2025年3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p>
      <w:pPr>
        <w:pStyle w:val="null3"/>
      </w:pPr>
      <w:r>
        <w:rPr>
          <w:rFonts w:ascii="仿宋_GB2312" w:hAnsi="仿宋_GB2312" w:cs="仿宋_GB2312" w:eastAsia="仿宋_GB2312"/>
        </w:rPr>
        <w:t>7、社会保障资金缴纳证明：提供2025年3月至今已缴存的至少一个月的社会保障资金缴存单据或社保机构开具的社会保险参保缴费情况证明，依法不需要缴纳社会保障资金的单位应提供相关证明材料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8、参加本次政府采购活动前三年内在经营活动中没有重大违纪：提供参加本次政府采购活动前三年内在经营活动中没有重大违纪书面声明</w:t>
      </w:r>
    </w:p>
    <w:p>
      <w:pPr>
        <w:pStyle w:val="null3"/>
      </w:pPr>
      <w:r>
        <w:rPr>
          <w:rFonts w:ascii="仿宋_GB2312" w:hAnsi="仿宋_GB2312" w:cs="仿宋_GB2312" w:eastAsia="仿宋_GB2312"/>
        </w:rPr>
        <w:t>9、法律、行政法规规定的其他条件：供应商拒绝政府采购领域商业贿赂承诺书</w:t>
      </w:r>
    </w:p>
    <w:p>
      <w:pPr>
        <w:pStyle w:val="null3"/>
      </w:pPr>
      <w:r>
        <w:rPr>
          <w:rFonts w:ascii="仿宋_GB2312" w:hAnsi="仿宋_GB2312" w:cs="仿宋_GB2312" w:eastAsia="仿宋_GB2312"/>
        </w:rPr>
        <w:t>10、非联合体投标：提供非联合体投标承诺</w:t>
      </w:r>
    </w:p>
    <w:p>
      <w:pPr>
        <w:pStyle w:val="null3"/>
      </w:pPr>
      <w:r>
        <w:rPr>
          <w:rFonts w:ascii="仿宋_GB2312" w:hAnsi="仿宋_GB2312" w:cs="仿宋_GB2312" w:eastAsia="仿宋_GB2312"/>
        </w:rPr>
        <w:t>11、拟派项目负责人：拟派本项目负责人须具有地质勘查类专业高级职称证书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商洛经济技术开发区管理委员会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商洛市洛南县城关街道办城北社区58号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15129909079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19802988926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[2002]1980号）和国家发改革颁发的《关于招标代理服务收费有关问题的通知》（发改办价格[2003]857号）的有关规定执行。 中标单位在领取中标通知书前，须向采购代理机构一次性支付代理服务费。 银行户名：鼎正众创建设集团有限公司 开户行名称：中国建设银行股份有限公司西安高新科技支行 账 号：61001925700052502502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商洛经济技术开发区管理委员会</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商洛经济技术开发区管理委员会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商洛经济技术开发区管理委员会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满足招标文件要求及合同约定，符合国家或行业相关标准。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w:t>
      </w:r>
    </w:p>
    <w:p>
      <w:pPr>
        <w:pStyle w:val="null3"/>
      </w:pPr>
      <w:r>
        <w:rPr>
          <w:rFonts w:ascii="仿宋_GB2312" w:hAnsi="仿宋_GB2312" w:cs="仿宋_GB2312" w:eastAsia="仿宋_GB2312"/>
        </w:rPr>
        <w:t>地址：西安市科技路48号创业广场B座1506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为推进商榆合作升级打造陕西镁产业链项目和洛南至宁西铁路专用线项目有关工作，由商洛经开区负责，委托专业机构对洛南县麻坪镇槐树坪一带拟选矿区白云岩矿地质勘查。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洛南县麻坪镇槐树坪一带白云岩矿地质勘查服务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标的名称：洛南县麻坪镇槐树坪一带白云岩矿地质勘查服务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一、商务要求</w:t>
            </w:r>
          </w:p>
          <w:p>
            <w:pPr>
              <w:pStyle w:val="null3"/>
              <w:ind w:firstLine="482"/>
              <w:jc w:val="both"/>
            </w:pPr>
            <w:r>
              <w:rPr>
                <w:rFonts w:ascii="仿宋_GB2312" w:hAnsi="仿宋_GB2312" w:cs="仿宋_GB2312" w:eastAsia="仿宋_GB2312"/>
                <w:sz w:val="24"/>
                <w:b/>
              </w:rPr>
              <w:t>1、采购预算：</w:t>
            </w:r>
            <w:r>
              <w:rPr>
                <w:rFonts w:ascii="仿宋_GB2312" w:hAnsi="仿宋_GB2312" w:cs="仿宋_GB2312" w:eastAsia="仿宋_GB2312"/>
                <w:sz w:val="24"/>
              </w:rPr>
              <w:t>本项目采购预算</w:t>
            </w:r>
            <w:r>
              <w:rPr>
                <w:rFonts w:ascii="仿宋_GB2312" w:hAnsi="仿宋_GB2312" w:cs="仿宋_GB2312" w:eastAsia="仿宋_GB2312"/>
                <w:sz w:val="24"/>
              </w:rPr>
              <w:t>3900000.00元整，</w:t>
            </w:r>
            <w:r>
              <w:rPr>
                <w:rFonts w:ascii="仿宋_GB2312" w:hAnsi="仿宋_GB2312" w:cs="仿宋_GB2312" w:eastAsia="仿宋_GB2312"/>
                <w:sz w:val="24"/>
              </w:rPr>
              <w:t>分两阶段实施，报价按照两阶段报价，</w:t>
            </w:r>
            <w:r>
              <w:rPr>
                <w:rFonts w:ascii="仿宋_GB2312" w:hAnsi="仿宋_GB2312" w:cs="仿宋_GB2312" w:eastAsia="仿宋_GB2312"/>
                <w:sz w:val="24"/>
              </w:rPr>
              <w:t>其中包含一二阶段占地赔偿暂列金额</w:t>
            </w:r>
            <w:r>
              <w:rPr>
                <w:rFonts w:ascii="仿宋_GB2312" w:hAnsi="仿宋_GB2312" w:cs="仿宋_GB2312" w:eastAsia="仿宋_GB2312"/>
                <w:sz w:val="24"/>
              </w:rPr>
              <w:t>250000.00元整，由三方确认后据实结算，供应商在报价时应结合企业自身情况综合考虑。</w:t>
            </w:r>
          </w:p>
          <w:p>
            <w:pPr>
              <w:pStyle w:val="null3"/>
              <w:ind w:firstLine="482"/>
              <w:jc w:val="both"/>
            </w:pPr>
            <w:r>
              <w:rPr>
                <w:rFonts w:ascii="仿宋_GB2312" w:hAnsi="仿宋_GB2312" w:cs="仿宋_GB2312" w:eastAsia="仿宋_GB2312"/>
                <w:sz w:val="24"/>
                <w:b/>
              </w:rPr>
              <w:t>2、合同履行期限：</w:t>
            </w:r>
            <w:r>
              <w:rPr>
                <w:rFonts w:ascii="仿宋_GB2312" w:hAnsi="仿宋_GB2312" w:cs="仿宋_GB2312" w:eastAsia="仿宋_GB2312"/>
                <w:sz w:val="24"/>
              </w:rPr>
              <w:t>自合同签订之日起90日历天。</w:t>
            </w:r>
          </w:p>
          <w:p>
            <w:pPr>
              <w:pStyle w:val="null3"/>
              <w:ind w:firstLine="482"/>
              <w:jc w:val="both"/>
            </w:pPr>
            <w:r>
              <w:rPr>
                <w:rFonts w:ascii="仿宋_GB2312" w:hAnsi="仿宋_GB2312" w:cs="仿宋_GB2312" w:eastAsia="仿宋_GB2312"/>
                <w:sz w:val="24"/>
                <w:b/>
              </w:rPr>
              <w:t>3、服务地点：</w:t>
            </w:r>
            <w:r>
              <w:rPr>
                <w:rFonts w:ascii="仿宋_GB2312" w:hAnsi="仿宋_GB2312" w:cs="仿宋_GB2312" w:eastAsia="仿宋_GB2312"/>
                <w:sz w:val="24"/>
              </w:rPr>
              <w:t>采购人指定地点。</w:t>
            </w:r>
          </w:p>
          <w:p>
            <w:pPr>
              <w:pStyle w:val="null3"/>
              <w:ind w:firstLine="482"/>
              <w:jc w:val="both"/>
            </w:pPr>
            <w:r>
              <w:rPr>
                <w:rFonts w:ascii="仿宋_GB2312" w:hAnsi="仿宋_GB2312" w:cs="仿宋_GB2312" w:eastAsia="仿宋_GB2312"/>
                <w:sz w:val="24"/>
                <w:b/>
              </w:rPr>
              <w:t>4、服务标准：</w:t>
            </w:r>
            <w:r>
              <w:rPr>
                <w:rFonts w:ascii="仿宋_GB2312" w:hAnsi="仿宋_GB2312" w:cs="仿宋_GB2312" w:eastAsia="仿宋_GB2312"/>
                <w:sz w:val="24"/>
              </w:rPr>
              <w:t>符合国家及行业相关规定标准。</w:t>
            </w:r>
          </w:p>
          <w:p>
            <w:pPr>
              <w:pStyle w:val="null3"/>
              <w:ind w:firstLine="482"/>
              <w:jc w:val="both"/>
            </w:pPr>
            <w:r>
              <w:rPr>
                <w:rFonts w:ascii="仿宋_GB2312" w:hAnsi="仿宋_GB2312" w:cs="仿宋_GB2312" w:eastAsia="仿宋_GB2312"/>
                <w:sz w:val="24"/>
                <w:b/>
              </w:rPr>
              <w:t>5、付款方式：</w:t>
            </w:r>
            <w:r>
              <w:rPr>
                <w:rFonts w:ascii="仿宋_GB2312" w:hAnsi="仿宋_GB2312" w:cs="仿宋_GB2312" w:eastAsia="仿宋_GB2312"/>
                <w:sz w:val="24"/>
              </w:rPr>
              <w:t>合同签订后支付第一阶段费用的40%作为预付款，出具经专家评审的勘查报告，剩余费用(具体支付方式以双方合同约定为准）</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6、验收标准：</w:t>
            </w:r>
            <w:r>
              <w:rPr>
                <w:rFonts w:ascii="仿宋_GB2312" w:hAnsi="仿宋_GB2312" w:cs="仿宋_GB2312" w:eastAsia="仿宋_GB2312"/>
                <w:sz w:val="24"/>
              </w:rPr>
              <w:t>采购人按照相关法律、法规编制项目履约验收标准等进行验收。</w:t>
            </w:r>
          </w:p>
          <w:p>
            <w:pPr>
              <w:pStyle w:val="null3"/>
              <w:ind w:firstLine="482"/>
              <w:jc w:val="both"/>
            </w:pPr>
            <w:r>
              <w:rPr>
                <w:rFonts w:ascii="仿宋_GB2312" w:hAnsi="仿宋_GB2312" w:cs="仿宋_GB2312" w:eastAsia="仿宋_GB2312"/>
                <w:sz w:val="24"/>
                <w:b/>
              </w:rPr>
              <w:t>二、技术服务要求</w:t>
            </w:r>
          </w:p>
          <w:p>
            <w:pPr>
              <w:pStyle w:val="null3"/>
            </w:pPr>
            <w:r>
              <w:rPr>
                <w:rFonts w:ascii="仿宋_GB2312" w:hAnsi="仿宋_GB2312" w:cs="仿宋_GB2312" w:eastAsia="仿宋_GB2312"/>
              </w:rPr>
              <w:t xml:space="preserve">  </w:t>
            </w:r>
            <w:r>
              <w:rPr>
                <w:rFonts w:ascii="仿宋_GB2312" w:hAnsi="仿宋_GB2312" w:cs="仿宋_GB2312" w:eastAsia="仿宋_GB2312"/>
                <w:sz w:val="24"/>
              </w:rPr>
              <w:t>1、</w:t>
            </w:r>
            <w:r>
              <w:rPr>
                <w:rFonts w:ascii="仿宋_GB2312" w:hAnsi="仿宋_GB2312" w:cs="仿宋_GB2312" w:eastAsia="仿宋_GB2312"/>
                <w:sz w:val="24"/>
              </w:rPr>
              <w:t>第一阶段：</w:t>
            </w:r>
            <w:r>
              <w:rPr>
                <w:rFonts w:ascii="仿宋_GB2312" w:hAnsi="仿宋_GB2312" w:cs="仿宋_GB2312" w:eastAsia="仿宋_GB2312"/>
                <w:sz w:val="24"/>
              </w:rPr>
              <w:t>1）对2平方公里核心区详勘，</w:t>
            </w:r>
            <w:r>
              <w:rPr>
                <w:rFonts w:ascii="仿宋_GB2312" w:hAnsi="仿宋_GB2312" w:cs="仿宋_GB2312" w:eastAsia="仿宋_GB2312"/>
                <w:sz w:val="24"/>
              </w:rPr>
              <w:t>初步查明资源量情况</w:t>
            </w:r>
            <w:r>
              <w:rPr>
                <w:rFonts w:ascii="仿宋_GB2312" w:hAnsi="仿宋_GB2312" w:cs="仿宋_GB2312" w:eastAsia="仿宋_GB2312"/>
                <w:sz w:val="24"/>
              </w:rPr>
              <w:t>，向外围拓展至</w:t>
            </w:r>
            <w:r>
              <w:rPr>
                <w:rFonts w:ascii="仿宋_GB2312" w:hAnsi="仿宋_GB2312" w:cs="仿宋_GB2312" w:eastAsia="仿宋_GB2312"/>
                <w:sz w:val="24"/>
              </w:rPr>
              <w:t>10平方公里进行地表调查，确认是否存在同类</w:t>
            </w:r>
            <w:r>
              <w:rPr>
                <w:rFonts w:ascii="仿宋_GB2312" w:hAnsi="仿宋_GB2312" w:cs="仿宋_GB2312" w:eastAsia="仿宋_GB2312"/>
                <w:sz w:val="24"/>
              </w:rPr>
              <w:t>品质</w:t>
            </w:r>
            <w:r>
              <w:rPr>
                <w:rFonts w:ascii="仿宋_GB2312" w:hAnsi="仿宋_GB2312" w:cs="仿宋_GB2312" w:eastAsia="仿宋_GB2312"/>
                <w:sz w:val="24"/>
              </w:rPr>
              <w:t>的矿床；</w:t>
            </w:r>
            <w:r>
              <w:rPr>
                <w:rFonts w:ascii="仿宋_GB2312" w:hAnsi="仿宋_GB2312" w:cs="仿宋_GB2312" w:eastAsia="仿宋_GB2312"/>
                <w:sz w:val="24"/>
              </w:rPr>
              <w:t>2）核实资源储量，确认矿石品位质量，由推断资源量升级到控制资源量；3）编制《</w:t>
            </w:r>
            <w:r>
              <w:rPr>
                <w:rFonts w:ascii="仿宋_GB2312" w:hAnsi="仿宋_GB2312" w:cs="仿宋_GB2312" w:eastAsia="仿宋_GB2312"/>
                <w:sz w:val="24"/>
              </w:rPr>
              <w:t>白云岩普查工作</w:t>
            </w:r>
            <w:r>
              <w:rPr>
                <w:rFonts w:ascii="仿宋_GB2312" w:hAnsi="仿宋_GB2312" w:cs="仿宋_GB2312" w:eastAsia="仿宋_GB2312"/>
                <w:sz w:val="24"/>
              </w:rPr>
              <w:t>总结》，为行政决策提供地质支撑依据。第二阶段：</w:t>
            </w:r>
            <w:r>
              <w:rPr>
                <w:rFonts w:ascii="仿宋_GB2312" w:hAnsi="仿宋_GB2312" w:cs="仿宋_GB2312" w:eastAsia="仿宋_GB2312"/>
                <w:sz w:val="24"/>
              </w:rPr>
              <w:t>1）</w:t>
            </w:r>
            <w:r>
              <w:rPr>
                <w:rFonts w:ascii="仿宋_GB2312" w:hAnsi="仿宋_GB2312" w:cs="仿宋_GB2312" w:eastAsia="仿宋_GB2312"/>
                <w:sz w:val="24"/>
              </w:rPr>
              <w:t>详细</w:t>
            </w:r>
            <w:r>
              <w:rPr>
                <w:rFonts w:ascii="仿宋_GB2312" w:hAnsi="仿宋_GB2312" w:cs="仿宋_GB2312" w:eastAsia="仿宋_GB2312"/>
                <w:sz w:val="24"/>
              </w:rPr>
              <w:t>查明水工环开采技术条件、选冶加工技术条件、工业指标论证（矿体圈定指标）；</w:t>
            </w:r>
            <w:r>
              <w:rPr>
                <w:rFonts w:ascii="仿宋_GB2312" w:hAnsi="仿宋_GB2312" w:cs="仿宋_GB2312" w:eastAsia="仿宋_GB2312"/>
                <w:sz w:val="24"/>
              </w:rPr>
              <w:t>2）满足采矿权出让要求，达到探转采出让条件；3）形成正式《勘探地质报告》，为矿权出让提供地质依据。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核心工作区范围见下表：</w:t>
            </w:r>
          </w:p>
          <w:tbl>
            <w:tblPr>
              <w:tblInd w:type="dxa" w:w="120"/>
              <w:tblBorders>
                <w:top w:val="none" w:color="000000" w:sz="4"/>
                <w:left w:val="none" w:color="000000" w:sz="4"/>
                <w:bottom w:val="none" w:color="000000" w:sz="4"/>
                <w:right w:val="none" w:color="000000" w:sz="4"/>
                <w:insideH w:val="none"/>
                <w:insideV w:val="none"/>
              </w:tblBorders>
            </w:tblPr>
            <w:tblGrid>
              <w:gridCol w:w="539"/>
              <w:gridCol w:w="593"/>
              <w:gridCol w:w="701"/>
              <w:gridCol w:w="720"/>
            </w:tblGrid>
            <w:tr>
              <w:tc>
                <w:tcPr>
                  <w:tcW w:type="dxa" w:w="5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拐点编号</w:t>
                  </w:r>
                </w:p>
              </w:tc>
              <w:tc>
                <w:tcPr>
                  <w:tcW w:type="dxa" w:w="129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2000国家大地坐标</w:t>
                  </w:r>
                </w:p>
              </w:tc>
              <w:tc>
                <w:tcPr>
                  <w:tcW w:type="dxa" w:w="72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539"/>
                  <w:vMerge/>
                  <w:tcBorders>
                    <w:top w:val="single" w:color="000000" w:sz="4"/>
                    <w:left w:val="single" w:color="000000" w:sz="4"/>
                    <w:bottom w:val="single" w:color="000000" w:sz="4"/>
                    <w:right w:val="single" w:color="000000" w:sz="4"/>
                  </w:tcBorders>
                </w:tcP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X</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Y</w:t>
                  </w:r>
                </w:p>
              </w:tc>
              <w:tc>
                <w:tcPr>
                  <w:tcW w:type="dxa" w:w="720"/>
                  <w:vMerge/>
                  <w:tcBorders>
                    <w:top w:val="single" w:color="000000" w:sz="4"/>
                    <w:left w:val="single" w:color="000000" w:sz="4"/>
                    <w:bottom w:val="single" w:color="000000" w:sz="4"/>
                    <w:right w:val="single" w:color="000000" w:sz="4"/>
                  </w:tcBorders>
                </w:tc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3783240</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37418000</w:t>
                  </w:r>
                </w:p>
              </w:tc>
              <w:tc>
                <w:tcPr>
                  <w:tcW w:type="dxa" w:w="7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w:t>
                  </w:r>
                  <w:r>
                    <w:rPr>
                      <w:rFonts w:ascii="仿宋_GB2312" w:hAnsi="仿宋_GB2312" w:cs="仿宋_GB2312" w:eastAsia="仿宋_GB2312"/>
                      <w:sz w:val="24"/>
                    </w:rPr>
                    <w:t>2.12km²</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3783240</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37420870</w:t>
                  </w:r>
                </w:p>
              </w:tc>
              <w:tc>
                <w:tcPr>
                  <w:tcW w:type="dxa" w:w="720"/>
                  <w:vMerge/>
                  <w:tcBorders>
                    <w:top w:val="none" w:color="000000" w:sz="4"/>
                    <w:left w:val="single" w:color="000000" w:sz="4"/>
                    <w:bottom w:val="single" w:color="000000" w:sz="4"/>
                    <w:right w:val="single" w:color="000000" w:sz="4"/>
                  </w:tcBorders>
                </w:tc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3782500</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37420870</w:t>
                  </w:r>
                </w:p>
              </w:tc>
              <w:tc>
                <w:tcPr>
                  <w:tcW w:type="dxa" w:w="720"/>
                  <w:vMerge/>
                  <w:tcBorders>
                    <w:top w:val="none" w:color="000000" w:sz="4"/>
                    <w:left w:val="single" w:color="000000" w:sz="4"/>
                    <w:bottom w:val="single" w:color="000000" w:sz="4"/>
                    <w:right w:val="single" w:color="000000" w:sz="4"/>
                  </w:tcBorders>
                </w:tcP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3782500</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37418000</w:t>
                  </w:r>
                </w:p>
              </w:tc>
              <w:tc>
                <w:tcPr>
                  <w:tcW w:type="dxa" w:w="720"/>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根据招标文件{评分标准}要求及合同约定执行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根据招标文件{评分标准}要求及合同约定执行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根据招标文件要求及合同约定执行，符合国家或行业相关标准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合同签订后支付第一阶段费用的40%作为预付款，出具经专家评审的勘查报告，剩余费用(具体支付方式以双方合同约定为准）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法定代表人授权书及被授权人身份证明。（法定代表人直接参加只须提交其身份证明）</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 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 相关承诺书.docx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参加本次政府采购活动前三年内在经营活动中没有重大违纪</w:t>
            </w:r>
          </w:p>
        </w:tc>
        <w:tc>
          <w:tcPr>
            <w:tcW w:type="dxa" w:w="3322"/>
          </w:tcPr>
          <w:p>
            <w:pPr>
              <w:pStyle w:val="null3"/>
            </w:pPr>
            <w:r>
              <w:rPr>
                <w:rFonts w:ascii="仿宋_GB2312" w:hAnsi="仿宋_GB2312" w:cs="仿宋_GB2312" w:eastAsia="仿宋_GB2312"/>
              </w:rPr>
              <w:t>提供参加本次政府采购活动前三年内在经营活动中没有重大违纪书面声明</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供应商拒绝政府采购领域商业贿赂承诺书</w:t>
            </w:r>
          </w:p>
        </w:tc>
        <w:tc>
          <w:tcPr>
            <w:tcW w:type="dxa" w:w="1661"/>
          </w:tcPr>
          <w:p>
            <w:pPr>
              <w:pStyle w:val="null3"/>
            </w:pPr>
            <w:r>
              <w:rPr>
                <w:rFonts w:ascii="仿宋_GB2312" w:hAnsi="仿宋_GB2312" w:cs="仿宋_GB2312" w:eastAsia="仿宋_GB2312"/>
              </w:rPr>
              <w:t>投标人应提交的相关资格证明材料 相关承诺书.docx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提供非联合体投标承诺</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拟派本项目负责人须具有地质勘查类专业高级职称证书</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相关承诺书.docx 分项报价表.docx 投标函 残疾人福利性单位声明函 服务方案 标的清单 投标文件封面 法定代表人身份证明和法定代表人委托书.docx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相关承诺书.docx 分项报价表.docx 投标函 残疾人福利性单位声明函 服务方案 标的清单 投标文件封面 法定代表人身份证明和法定代表人委托书.docx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服务内容及服务邀请应答表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项目服务方案（30分）</w:t>
            </w:r>
          </w:p>
        </w:tc>
        <w:tc>
          <w:tcPr>
            <w:tcW w:type="dxa" w:w="2492"/>
          </w:tcPr>
          <w:p>
            <w:pPr>
              <w:pStyle w:val="null3"/>
            </w:pPr>
            <w:r>
              <w:rPr>
                <w:rFonts w:ascii="仿宋_GB2312" w:hAnsi="仿宋_GB2312" w:cs="仿宋_GB2312" w:eastAsia="仿宋_GB2312"/>
              </w:rPr>
              <w:t>根据供应商针对本项目提供的服务方案进行量化评分。包括但不限于以下内容： ①对本项目工作思路、工作方法； ②服务标准及要点、组织实施方案； ③项目进度安排； ④项目在实施过程中存在的重点、难点进行分析； ⑤对项目的突发情况的处理方案和措施； ⑥项目成果管理。 注： 以上内容中缺少1项内容扣5分（其中“项”指上述条款中①②③④⑤⑥条内容）。内容存在缺陷扣3分，内容存在偏差扣2分。 “内容存在缺陷”是指生搬硬造；或引用标准错误；或表述错误；或内容不适用项目实际情况；或对采购需求理解混乱；或内容凭空编造、存在逻辑漏洞。 “内容存在偏差”是指存在与项目需求明显无关的文字内容；或内容虽阐述但未贴合项目实际情况进行论述；或夸大情形以及内容；或出现内容前后不一致；或内容虽阐述但不全面等内容。</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服务岗位及工作职责（15分）</w:t>
            </w:r>
          </w:p>
        </w:tc>
        <w:tc>
          <w:tcPr>
            <w:tcW w:type="dxa" w:w="2492"/>
          </w:tcPr>
          <w:p>
            <w:pPr>
              <w:pStyle w:val="null3"/>
            </w:pPr>
            <w:r>
              <w:rPr>
                <w:rFonts w:ascii="仿宋_GB2312" w:hAnsi="仿宋_GB2312" w:cs="仿宋_GB2312" w:eastAsia="仿宋_GB2312"/>
              </w:rPr>
              <w:t>根据供应商针对本项目制定的岗位分布方案进行量化评分。包括但不限于以下内容： ①人员分布计划； ②岗位职责分工情况； ③工作时间安排。 注： 以上内容中缺少1项内容扣5分（其中“项”指上述条款中①②③条内容）。内容存在缺陷扣3分，内容存在偏差扣2分。 “内容存在缺陷”是指生搬硬造；或引用标准错误；或表述错误；或内容不适用项目实际情况；或对采购需求理解混乱；或内容凭空编造、存在逻辑漏洞。 “内容存在偏差”是指存在与项目需求明显无关的文字内容；或内容虽阐述但未贴合项目实际情况进行论述；或夸大情形以及内容；或出现内容前后不一致；或内容虽阐述但不全面等内容。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服务质量及保障措施（15分）</w:t>
            </w:r>
          </w:p>
        </w:tc>
        <w:tc>
          <w:tcPr>
            <w:tcW w:type="dxa" w:w="2492"/>
          </w:tcPr>
          <w:p>
            <w:pPr>
              <w:pStyle w:val="null3"/>
            </w:pPr>
            <w:r>
              <w:rPr>
                <w:rFonts w:ascii="仿宋_GB2312" w:hAnsi="仿宋_GB2312" w:cs="仿宋_GB2312" w:eastAsia="仿宋_GB2312"/>
              </w:rPr>
              <w:t>根据供应商针对本项目服务质量及保障措施进行量化评分。包括但不限于以下内容： ①服务质量保障方案； ②安全保障措施方案； ③管理制度、奖惩措施。 注： 以上内容中缺少1项内容扣5分（其中“项”指上述条款中①②③条内容）。内容存在缺陷扣3分，内容存在偏差扣2分。 “内容存在缺陷”是指生搬硬造；或引用标准错误；或表述错误；或内容不适用项目实际情况；或对采购需求理解混乱；或内容凭空编造、存在逻辑漏洞。 “内容存在偏差”是指存在与项目需求明显无关的文字内容；或内容虽阐述但未贴合项目实际情况进行论述；或夸大情形以及内容；或出现内容前后不一致；或内容虽阐述但不全面等内容。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拟投入本项目的设施、设备（6分）</w:t>
            </w:r>
          </w:p>
        </w:tc>
        <w:tc>
          <w:tcPr>
            <w:tcW w:type="dxa" w:w="2492"/>
          </w:tcPr>
          <w:p>
            <w:pPr>
              <w:pStyle w:val="null3"/>
            </w:pPr>
            <w:r>
              <w:rPr>
                <w:rFonts w:ascii="仿宋_GB2312" w:hAnsi="仿宋_GB2312" w:cs="仿宋_GB2312" w:eastAsia="仿宋_GB2312"/>
              </w:rPr>
              <w:t>根据供应商针对本项目制定的拟投入本项目的设施、设备方案进行量化评分。 注： 缺少以上内容扣6分。内容存在缺陷扣4分，内容存在偏差扣2分。 “内容存在缺陷”是指生搬硬造；或引用标准错误；或表述错误；或内容不适用项目实际情况；或对采购需求理解混乱；或内容凭空编造、存在逻辑漏洞。 “内容存在偏差”是指存在与项目需求明显无关的文字内容；或内容虽阐述但未贴合项目实际情况进行论述；或夸大情形以及内容；或出现内容前后不一致；或内容虽阐述但不全面等内容。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后续服务承诺及合理化建议（6分）</w:t>
            </w:r>
          </w:p>
        </w:tc>
        <w:tc>
          <w:tcPr>
            <w:tcW w:type="dxa" w:w="2492"/>
          </w:tcPr>
          <w:p>
            <w:pPr>
              <w:pStyle w:val="null3"/>
            </w:pPr>
            <w:r>
              <w:rPr>
                <w:rFonts w:ascii="仿宋_GB2312" w:hAnsi="仿宋_GB2312" w:cs="仿宋_GB2312" w:eastAsia="仿宋_GB2312"/>
              </w:rPr>
              <w:t>根据供应商针对本项目提供的后续服务承诺及合理化建议进行量化评分。包括但不限于以下内容： ①后续服务方案及承诺； ②提高效率、服务质量、节约成本的合理化建议。 注： 以上内容中缺少1项内容扣3分（其中“项”指上述条款中①②条内容）。内容存在缺陷扣2分，内容存在偏差扣1分。 “内容存在缺陷”是指生搬硬造；或引用标准错误；或表述错误；或内容不适用项目实际情况；或对采购需求理解混乱；或内容凭空编造、存在逻辑漏洞。 “内容存在偏差”是指存在与项目需求明显无关的文字内容；或内容虽阐述但未贴合项目实际情况进行论述；或夸大情形以及内容；或出现内容前后不一致；或内容虽阐述但不全面等内容。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供应商拟投入本项目的其他主要人员（不包含项目负责人）具有地质矿产专业高级职称的，每提供一个得2分，最高得8分。 注： （1）上述各类型证书，须提供证书扫描件或影印件，要求开标时各类证书在有效期内。 （2）提供项目团队成员近半年连续三个月投标人为其缴纳的社保证明（社保管理单位出具）。</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供应商近三年内已完成的类似项目案例，每有一个得2分，满分10分。 注： （1）近三年指以响应文件提交截止时间往前推三年。 （2）类似项目案例：指地质勘察项目，时间以合同（协议书）签订时间为准。类似项目案例指供应商自身的项目案例，即项目案例合同（协议书）的乙方必须与供应商的名称完全一致，如公司名称发生变更，必须提供工商部门的证明文件。 （3）业绩（案例）证明材料须提供合同（协议书）扫描件，合同（协议书）须提供合同首页、合同金额所在页、签字盖章页等关键页为证明； （4）业绩（案例）证明材料扫描件不完整或不符合以上内容要求或不清晰，导致无法判断是否符合以上要求的，均不得分。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详见附件：法定代表人身份证明和法定代表人委托书.docx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详见附件：相关承诺书.docx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详见附件：委托勘查合同3.18(1).docx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