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5ACFA0">
      <w:pPr>
        <w:jc w:val="center"/>
        <w:rPr>
          <w:rFonts w:ascii="宋体" w:hAnsi="宋体" w:eastAsia="宋体"/>
          <w:b/>
          <w:bCs/>
          <w:sz w:val="32"/>
          <w:szCs w:val="32"/>
        </w:rPr>
      </w:pPr>
      <w:r>
        <w:rPr>
          <w:rFonts w:hint="eastAsia" w:ascii="宋体" w:hAnsi="宋体" w:eastAsia="宋体"/>
          <w:b/>
          <w:bCs/>
          <w:sz w:val="32"/>
          <w:szCs w:val="32"/>
        </w:rPr>
        <w:t>勘查服务合同</w:t>
      </w:r>
    </w:p>
    <w:p w14:paraId="1163C03A">
      <w:pPr>
        <w:spacing w:after="0" w:line="360" w:lineRule="auto"/>
        <w:rPr>
          <w:rFonts w:ascii="宋体" w:hAnsi="宋体" w:eastAsia="宋体"/>
          <w:sz w:val="28"/>
          <w:szCs w:val="28"/>
        </w:rPr>
      </w:pPr>
      <w:r>
        <w:rPr>
          <w:rFonts w:hint="eastAsia" w:ascii="宋体" w:hAnsi="宋体" w:eastAsia="宋体"/>
          <w:sz w:val="28"/>
          <w:szCs w:val="28"/>
        </w:rPr>
        <w:t>甲方：</w:t>
      </w:r>
    </w:p>
    <w:p w14:paraId="2F0DC8A5">
      <w:pPr>
        <w:spacing w:after="0" w:line="360" w:lineRule="auto"/>
        <w:rPr>
          <w:rFonts w:ascii="宋体" w:hAnsi="宋体" w:eastAsia="宋体"/>
          <w:sz w:val="28"/>
          <w:szCs w:val="28"/>
        </w:rPr>
      </w:pPr>
      <w:r>
        <w:rPr>
          <w:rFonts w:hint="eastAsia" w:ascii="宋体" w:hAnsi="宋体" w:eastAsia="宋体"/>
          <w:sz w:val="28"/>
          <w:szCs w:val="28"/>
        </w:rPr>
        <w:t>法定代表人：</w:t>
      </w:r>
    </w:p>
    <w:p w14:paraId="2B80BBDD">
      <w:pPr>
        <w:spacing w:after="0" w:line="360" w:lineRule="auto"/>
        <w:rPr>
          <w:rFonts w:ascii="宋体" w:hAnsi="宋体" w:eastAsia="宋体"/>
          <w:sz w:val="28"/>
          <w:szCs w:val="28"/>
        </w:rPr>
      </w:pPr>
      <w:r>
        <w:rPr>
          <w:rFonts w:hint="eastAsia" w:ascii="宋体" w:hAnsi="宋体" w:eastAsia="宋体"/>
          <w:sz w:val="28"/>
          <w:szCs w:val="28"/>
        </w:rPr>
        <w:t>统一社会信用代码：</w:t>
      </w:r>
    </w:p>
    <w:p w14:paraId="37A328FE">
      <w:pPr>
        <w:spacing w:after="0" w:line="360" w:lineRule="auto"/>
        <w:rPr>
          <w:rFonts w:ascii="宋体" w:hAnsi="宋体" w:eastAsia="宋体"/>
          <w:sz w:val="28"/>
          <w:szCs w:val="28"/>
        </w:rPr>
      </w:pPr>
    </w:p>
    <w:p w14:paraId="57C70F09">
      <w:pPr>
        <w:spacing w:after="0" w:line="360" w:lineRule="auto"/>
        <w:rPr>
          <w:rFonts w:ascii="宋体" w:hAnsi="宋体" w:eastAsia="宋体"/>
          <w:sz w:val="28"/>
          <w:szCs w:val="28"/>
        </w:rPr>
      </w:pPr>
      <w:r>
        <w:rPr>
          <w:rFonts w:hint="eastAsia" w:ascii="宋体" w:hAnsi="宋体" w:eastAsia="宋体"/>
          <w:sz w:val="28"/>
          <w:szCs w:val="28"/>
        </w:rPr>
        <w:t>乙方：</w:t>
      </w:r>
    </w:p>
    <w:p w14:paraId="272AFD48">
      <w:pPr>
        <w:spacing w:after="0" w:line="360" w:lineRule="auto"/>
        <w:rPr>
          <w:rFonts w:hint="eastAsia" w:ascii="宋体" w:hAnsi="宋体" w:eastAsia="宋体"/>
          <w:sz w:val="28"/>
          <w:szCs w:val="28"/>
        </w:rPr>
      </w:pPr>
      <w:r>
        <w:rPr>
          <w:rFonts w:hint="eastAsia" w:ascii="宋体" w:hAnsi="宋体" w:eastAsia="宋体"/>
          <w:sz w:val="28"/>
          <w:szCs w:val="28"/>
        </w:rPr>
        <w:t>法定代表人：</w:t>
      </w:r>
    </w:p>
    <w:p w14:paraId="7EB161B0">
      <w:pPr>
        <w:spacing w:after="0" w:line="360" w:lineRule="auto"/>
        <w:rPr>
          <w:rFonts w:ascii="宋体" w:hAnsi="宋体" w:eastAsia="宋体"/>
          <w:sz w:val="28"/>
          <w:szCs w:val="28"/>
        </w:rPr>
      </w:pPr>
      <w:r>
        <w:rPr>
          <w:rFonts w:hint="eastAsia" w:ascii="宋体" w:hAnsi="宋体" w:eastAsia="宋体"/>
          <w:sz w:val="28"/>
          <w:szCs w:val="28"/>
        </w:rPr>
        <w:t>统一社会信用代码：</w:t>
      </w:r>
    </w:p>
    <w:p w14:paraId="0ED894E4">
      <w:pPr>
        <w:spacing w:after="0" w:line="360" w:lineRule="auto"/>
        <w:rPr>
          <w:rFonts w:ascii="宋体" w:hAnsi="宋体" w:eastAsia="宋体"/>
          <w:sz w:val="28"/>
          <w:szCs w:val="28"/>
        </w:rPr>
      </w:pPr>
    </w:p>
    <w:p w14:paraId="49A73BF0">
      <w:pPr>
        <w:spacing w:after="0" w:line="360" w:lineRule="auto"/>
        <w:ind w:firstLine="562" w:firstLineChars="200"/>
        <w:jc w:val="both"/>
        <w:rPr>
          <w:rFonts w:ascii="宋体" w:hAnsi="宋体" w:eastAsia="宋体"/>
          <w:b/>
          <w:bCs/>
          <w:sz w:val="28"/>
          <w:szCs w:val="28"/>
        </w:rPr>
      </w:pPr>
      <w:bookmarkStart w:id="0" w:name="_GoBack"/>
      <w:r>
        <w:rPr>
          <w:rFonts w:hint="eastAsia" w:ascii="宋体" w:hAnsi="宋体" w:eastAsia="宋体"/>
          <w:b/>
          <w:bCs/>
          <w:sz w:val="28"/>
          <w:szCs w:val="28"/>
        </w:rPr>
        <w:t>第一条  工作内容</w:t>
      </w:r>
    </w:p>
    <w:bookmarkEnd w:id="0"/>
    <w:p w14:paraId="551A4408">
      <w:pPr>
        <w:spacing w:after="0" w:line="360" w:lineRule="auto"/>
        <w:ind w:firstLine="560" w:firstLineChars="200"/>
        <w:jc w:val="both"/>
        <w:rPr>
          <w:rFonts w:ascii="宋体" w:hAnsi="宋体" w:eastAsia="宋体"/>
          <w:sz w:val="28"/>
          <w:szCs w:val="28"/>
        </w:rPr>
      </w:pPr>
      <w:r>
        <w:rPr>
          <w:rFonts w:hint="eastAsia" w:ascii="宋体" w:hAnsi="宋体" w:eastAsia="宋体"/>
          <w:sz w:val="28"/>
          <w:szCs w:val="28"/>
        </w:rPr>
        <w:t>1、项目名称：洛南县麻坪镇槐树坪一带白云岩矿地质勘查服务</w:t>
      </w:r>
    </w:p>
    <w:p w14:paraId="44EB5FD1">
      <w:pPr>
        <w:spacing w:after="0" w:line="360" w:lineRule="auto"/>
        <w:ind w:firstLine="560" w:firstLineChars="200"/>
        <w:jc w:val="both"/>
        <w:rPr>
          <w:rFonts w:ascii="宋体" w:hAnsi="宋体" w:eastAsia="宋体"/>
          <w:sz w:val="28"/>
          <w:szCs w:val="28"/>
        </w:rPr>
      </w:pPr>
      <w:r>
        <w:rPr>
          <w:rFonts w:hint="eastAsia" w:ascii="宋体" w:hAnsi="宋体" w:eastAsia="宋体"/>
          <w:sz w:val="28"/>
          <w:szCs w:val="28"/>
        </w:rPr>
        <w:t>2、项目内容：甲方委托乙方在槐树坪一带开展白云岩矿勘查工作，通过地形地质测量、水工环地质测量、钻探等工作手段查明勘查区资源量情况，为勘查区矿产开发提供依据，同时在槐树坪一带扩展至10km左右，进行地表调查，确认是否存在同类品质的矿床。</w:t>
      </w:r>
    </w:p>
    <w:p w14:paraId="746C8D24">
      <w:pPr>
        <w:spacing w:after="0" w:line="360" w:lineRule="auto"/>
        <w:ind w:firstLine="560" w:firstLineChars="200"/>
        <w:jc w:val="both"/>
        <w:rPr>
          <w:rFonts w:ascii="宋体" w:hAnsi="宋体" w:eastAsia="宋体"/>
          <w:sz w:val="28"/>
          <w:szCs w:val="28"/>
        </w:rPr>
      </w:pPr>
      <w:r>
        <w:rPr>
          <w:rFonts w:hint="eastAsia" w:ascii="宋体" w:hAnsi="宋体" w:eastAsia="宋体"/>
          <w:sz w:val="28"/>
          <w:szCs w:val="28"/>
        </w:rPr>
        <w:t>3、项目地点：项目地点位于麻坪镇槐树坪一带。</w:t>
      </w:r>
    </w:p>
    <w:p w14:paraId="102D2DB4">
      <w:pPr>
        <w:spacing w:after="0" w:line="360" w:lineRule="auto"/>
        <w:ind w:firstLine="560" w:firstLineChars="200"/>
        <w:jc w:val="both"/>
        <w:rPr>
          <w:rFonts w:ascii="宋体" w:hAnsi="宋体" w:eastAsia="宋体"/>
          <w:sz w:val="28"/>
          <w:szCs w:val="28"/>
        </w:rPr>
      </w:pPr>
      <w:r>
        <w:rPr>
          <w:rFonts w:hint="eastAsia" w:ascii="宋体" w:hAnsi="宋体" w:eastAsia="宋体"/>
          <w:sz w:val="28"/>
          <w:szCs w:val="28"/>
        </w:rPr>
        <w:t>4、核心工作区范围见下表：</w:t>
      </w:r>
    </w:p>
    <w:tbl>
      <w:tblPr>
        <w:tblStyle w:val="1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1979"/>
        <w:gridCol w:w="2340"/>
        <w:gridCol w:w="2403"/>
      </w:tblGrid>
      <w:tr w14:paraId="4DDAA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1056" w:type="pct"/>
            <w:vMerge w:val="restart"/>
            <w:noWrap w:val="0"/>
            <w:vAlign w:val="center"/>
          </w:tcPr>
          <w:p w14:paraId="7D57BC82">
            <w:pPr>
              <w:spacing w:after="0" w:line="360" w:lineRule="auto"/>
              <w:jc w:val="center"/>
              <w:rPr>
                <w:rFonts w:hint="eastAsia" w:ascii="宋体" w:hAnsi="宋体" w:eastAsia="宋体"/>
                <w:sz w:val="24"/>
              </w:rPr>
            </w:pPr>
            <w:r>
              <w:rPr>
                <w:rFonts w:hint="eastAsia" w:ascii="宋体" w:hAnsi="宋体" w:eastAsia="宋体"/>
                <w:sz w:val="24"/>
              </w:rPr>
              <w:t>拐点编号</w:t>
            </w:r>
          </w:p>
        </w:tc>
        <w:tc>
          <w:tcPr>
            <w:tcW w:w="2534" w:type="pct"/>
            <w:gridSpan w:val="2"/>
            <w:noWrap w:val="0"/>
            <w:vAlign w:val="top"/>
          </w:tcPr>
          <w:p w14:paraId="5824248C">
            <w:pPr>
              <w:spacing w:after="0" w:line="360" w:lineRule="auto"/>
              <w:jc w:val="center"/>
              <w:rPr>
                <w:rFonts w:hint="eastAsia" w:ascii="宋体" w:hAnsi="宋体" w:eastAsia="宋体"/>
                <w:sz w:val="24"/>
              </w:rPr>
            </w:pPr>
            <w:r>
              <w:rPr>
                <w:rFonts w:hint="eastAsia" w:ascii="宋体" w:hAnsi="宋体" w:eastAsia="宋体"/>
                <w:sz w:val="24"/>
              </w:rPr>
              <w:t>2000国家大地坐标</w:t>
            </w:r>
          </w:p>
        </w:tc>
        <w:tc>
          <w:tcPr>
            <w:tcW w:w="1410" w:type="pct"/>
            <w:vMerge w:val="restart"/>
            <w:noWrap w:val="0"/>
            <w:vAlign w:val="center"/>
          </w:tcPr>
          <w:p w14:paraId="7B5BB24F">
            <w:pPr>
              <w:spacing w:after="0" w:line="360" w:lineRule="auto"/>
              <w:jc w:val="center"/>
              <w:rPr>
                <w:rFonts w:hint="eastAsia" w:ascii="宋体" w:hAnsi="宋体" w:eastAsia="宋体"/>
                <w:sz w:val="24"/>
              </w:rPr>
            </w:pPr>
            <w:r>
              <w:rPr>
                <w:rFonts w:hint="eastAsia" w:ascii="宋体" w:hAnsi="宋体" w:eastAsia="宋体"/>
                <w:sz w:val="24"/>
              </w:rPr>
              <w:t>备注</w:t>
            </w:r>
          </w:p>
        </w:tc>
      </w:tr>
      <w:tr w14:paraId="50B08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1056" w:type="pct"/>
            <w:vMerge w:val="continue"/>
            <w:noWrap w:val="0"/>
            <w:vAlign w:val="top"/>
          </w:tcPr>
          <w:p w14:paraId="6DFCAA8D">
            <w:pPr>
              <w:spacing w:after="0" w:line="360" w:lineRule="auto"/>
              <w:jc w:val="center"/>
              <w:rPr>
                <w:rFonts w:hint="eastAsia" w:ascii="宋体" w:hAnsi="宋体" w:eastAsia="宋体"/>
                <w:sz w:val="24"/>
              </w:rPr>
            </w:pPr>
          </w:p>
        </w:tc>
        <w:tc>
          <w:tcPr>
            <w:tcW w:w="1161" w:type="pct"/>
            <w:noWrap w:val="0"/>
            <w:vAlign w:val="top"/>
          </w:tcPr>
          <w:p w14:paraId="38D636B3">
            <w:pPr>
              <w:spacing w:after="0" w:line="360" w:lineRule="auto"/>
              <w:jc w:val="center"/>
              <w:rPr>
                <w:rFonts w:hint="eastAsia" w:ascii="宋体" w:hAnsi="宋体" w:eastAsia="宋体"/>
                <w:sz w:val="24"/>
              </w:rPr>
            </w:pPr>
            <w:r>
              <w:rPr>
                <w:rFonts w:hint="eastAsia" w:ascii="宋体" w:hAnsi="宋体" w:eastAsia="宋体"/>
                <w:sz w:val="24"/>
              </w:rPr>
              <w:t>X</w:t>
            </w:r>
          </w:p>
        </w:tc>
        <w:tc>
          <w:tcPr>
            <w:tcW w:w="1373" w:type="pct"/>
            <w:noWrap w:val="0"/>
            <w:vAlign w:val="top"/>
          </w:tcPr>
          <w:p w14:paraId="30E3E3EA">
            <w:pPr>
              <w:spacing w:after="0" w:line="360" w:lineRule="auto"/>
              <w:jc w:val="center"/>
              <w:rPr>
                <w:rFonts w:hint="eastAsia" w:ascii="宋体" w:hAnsi="宋体" w:eastAsia="宋体"/>
                <w:sz w:val="24"/>
              </w:rPr>
            </w:pPr>
            <w:r>
              <w:rPr>
                <w:rFonts w:hint="eastAsia" w:ascii="宋体" w:hAnsi="宋体" w:eastAsia="宋体"/>
                <w:sz w:val="24"/>
              </w:rPr>
              <w:t>Y</w:t>
            </w:r>
          </w:p>
        </w:tc>
        <w:tc>
          <w:tcPr>
            <w:tcW w:w="1410" w:type="pct"/>
            <w:vMerge w:val="continue"/>
            <w:noWrap w:val="0"/>
            <w:vAlign w:val="top"/>
          </w:tcPr>
          <w:p w14:paraId="631243B1">
            <w:pPr>
              <w:spacing w:after="0" w:line="360" w:lineRule="auto"/>
              <w:jc w:val="center"/>
              <w:rPr>
                <w:rFonts w:hint="eastAsia" w:ascii="宋体" w:hAnsi="宋体" w:eastAsia="宋体"/>
                <w:sz w:val="24"/>
              </w:rPr>
            </w:pPr>
          </w:p>
        </w:tc>
      </w:tr>
      <w:tr w14:paraId="04A9D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1056" w:type="pct"/>
            <w:noWrap w:val="0"/>
            <w:vAlign w:val="top"/>
          </w:tcPr>
          <w:p w14:paraId="3BFDC95E">
            <w:pPr>
              <w:spacing w:after="0" w:line="360" w:lineRule="auto"/>
              <w:jc w:val="center"/>
              <w:rPr>
                <w:rFonts w:hint="eastAsia" w:ascii="宋体" w:hAnsi="宋体" w:eastAsia="宋体"/>
                <w:sz w:val="24"/>
              </w:rPr>
            </w:pPr>
            <w:r>
              <w:rPr>
                <w:rFonts w:hint="eastAsia" w:ascii="宋体" w:hAnsi="宋体" w:eastAsia="宋体"/>
                <w:sz w:val="24"/>
              </w:rPr>
              <w:t>1</w:t>
            </w:r>
          </w:p>
        </w:tc>
        <w:tc>
          <w:tcPr>
            <w:tcW w:w="1161" w:type="pct"/>
            <w:noWrap w:val="0"/>
            <w:vAlign w:val="top"/>
          </w:tcPr>
          <w:p w14:paraId="2A812BF6">
            <w:pPr>
              <w:spacing w:after="0" w:line="360" w:lineRule="auto"/>
              <w:jc w:val="center"/>
              <w:rPr>
                <w:rFonts w:hint="eastAsia" w:ascii="宋体" w:hAnsi="宋体" w:eastAsia="宋体"/>
                <w:sz w:val="24"/>
              </w:rPr>
            </w:pPr>
            <w:r>
              <w:rPr>
                <w:rFonts w:hint="eastAsia" w:ascii="宋体" w:hAnsi="宋体" w:eastAsia="宋体"/>
                <w:sz w:val="24"/>
              </w:rPr>
              <w:t>3783240</w:t>
            </w:r>
          </w:p>
        </w:tc>
        <w:tc>
          <w:tcPr>
            <w:tcW w:w="1373" w:type="pct"/>
            <w:noWrap w:val="0"/>
            <w:vAlign w:val="top"/>
          </w:tcPr>
          <w:p w14:paraId="54AADFD9">
            <w:pPr>
              <w:spacing w:after="0" w:line="360" w:lineRule="auto"/>
              <w:jc w:val="center"/>
              <w:rPr>
                <w:rFonts w:hint="eastAsia" w:ascii="宋体" w:hAnsi="宋体" w:eastAsia="宋体"/>
                <w:sz w:val="24"/>
              </w:rPr>
            </w:pPr>
            <w:r>
              <w:rPr>
                <w:rFonts w:hint="eastAsia" w:ascii="宋体" w:hAnsi="宋体" w:eastAsia="宋体"/>
                <w:sz w:val="24"/>
              </w:rPr>
              <w:t>37418000</w:t>
            </w:r>
          </w:p>
        </w:tc>
        <w:tc>
          <w:tcPr>
            <w:tcW w:w="1410" w:type="pct"/>
            <w:vMerge w:val="restart"/>
            <w:noWrap w:val="0"/>
            <w:vAlign w:val="center"/>
          </w:tcPr>
          <w:p w14:paraId="6EC86F7B">
            <w:pPr>
              <w:spacing w:after="0" w:line="360" w:lineRule="auto"/>
              <w:jc w:val="center"/>
              <w:rPr>
                <w:rFonts w:hint="eastAsia" w:ascii="宋体" w:hAnsi="宋体" w:eastAsia="宋体"/>
                <w:sz w:val="24"/>
              </w:rPr>
            </w:pPr>
            <w:r>
              <w:rPr>
                <w:rFonts w:hint="eastAsia" w:ascii="宋体" w:hAnsi="宋体" w:eastAsia="宋体"/>
                <w:sz w:val="24"/>
              </w:rPr>
              <w:t>面积：2.12km²</w:t>
            </w:r>
          </w:p>
        </w:tc>
      </w:tr>
      <w:tr w14:paraId="1C9FC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1056" w:type="pct"/>
            <w:noWrap w:val="0"/>
            <w:vAlign w:val="top"/>
          </w:tcPr>
          <w:p w14:paraId="048BB749">
            <w:pPr>
              <w:spacing w:after="0" w:line="360" w:lineRule="auto"/>
              <w:jc w:val="center"/>
              <w:rPr>
                <w:rFonts w:hint="eastAsia" w:ascii="宋体" w:hAnsi="宋体" w:eastAsia="宋体"/>
                <w:sz w:val="24"/>
              </w:rPr>
            </w:pPr>
            <w:r>
              <w:rPr>
                <w:rFonts w:hint="eastAsia" w:ascii="宋体" w:hAnsi="宋体" w:eastAsia="宋体"/>
                <w:sz w:val="24"/>
              </w:rPr>
              <w:t>2</w:t>
            </w:r>
          </w:p>
        </w:tc>
        <w:tc>
          <w:tcPr>
            <w:tcW w:w="1161" w:type="pct"/>
            <w:noWrap w:val="0"/>
            <w:vAlign w:val="top"/>
          </w:tcPr>
          <w:p w14:paraId="6CC9B0A7">
            <w:pPr>
              <w:spacing w:after="0" w:line="360" w:lineRule="auto"/>
              <w:jc w:val="center"/>
              <w:rPr>
                <w:rFonts w:hint="eastAsia" w:ascii="宋体" w:hAnsi="宋体" w:eastAsia="宋体"/>
                <w:sz w:val="24"/>
              </w:rPr>
            </w:pPr>
            <w:r>
              <w:rPr>
                <w:rFonts w:hint="eastAsia" w:ascii="宋体" w:hAnsi="宋体" w:eastAsia="宋体"/>
                <w:sz w:val="24"/>
              </w:rPr>
              <w:t>3783240</w:t>
            </w:r>
          </w:p>
        </w:tc>
        <w:tc>
          <w:tcPr>
            <w:tcW w:w="1373" w:type="pct"/>
            <w:noWrap w:val="0"/>
            <w:vAlign w:val="top"/>
          </w:tcPr>
          <w:p w14:paraId="5E667D26">
            <w:pPr>
              <w:spacing w:after="0" w:line="360" w:lineRule="auto"/>
              <w:jc w:val="center"/>
              <w:rPr>
                <w:rFonts w:hint="eastAsia" w:ascii="宋体" w:hAnsi="宋体" w:eastAsia="宋体"/>
                <w:sz w:val="24"/>
              </w:rPr>
            </w:pPr>
            <w:r>
              <w:rPr>
                <w:rFonts w:hint="eastAsia" w:ascii="宋体" w:hAnsi="宋体" w:eastAsia="宋体"/>
                <w:sz w:val="24"/>
              </w:rPr>
              <w:t>37420870</w:t>
            </w:r>
          </w:p>
        </w:tc>
        <w:tc>
          <w:tcPr>
            <w:tcW w:w="1410" w:type="pct"/>
            <w:vMerge w:val="continue"/>
            <w:noWrap w:val="0"/>
            <w:vAlign w:val="top"/>
          </w:tcPr>
          <w:p w14:paraId="77AB0462">
            <w:pPr>
              <w:spacing w:after="0" w:line="360" w:lineRule="auto"/>
              <w:jc w:val="center"/>
              <w:rPr>
                <w:rFonts w:hint="eastAsia" w:ascii="宋体" w:hAnsi="宋体" w:eastAsia="宋体"/>
                <w:sz w:val="24"/>
              </w:rPr>
            </w:pPr>
          </w:p>
        </w:tc>
      </w:tr>
      <w:tr w14:paraId="6F598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1056" w:type="pct"/>
            <w:noWrap w:val="0"/>
            <w:vAlign w:val="top"/>
          </w:tcPr>
          <w:p w14:paraId="4F1CCAEB">
            <w:pPr>
              <w:spacing w:after="0" w:line="360" w:lineRule="auto"/>
              <w:jc w:val="center"/>
              <w:rPr>
                <w:rFonts w:hint="eastAsia" w:ascii="宋体" w:hAnsi="宋体" w:eastAsia="宋体"/>
                <w:sz w:val="24"/>
              </w:rPr>
            </w:pPr>
            <w:r>
              <w:rPr>
                <w:rFonts w:hint="eastAsia" w:ascii="宋体" w:hAnsi="宋体" w:eastAsia="宋体"/>
                <w:sz w:val="24"/>
              </w:rPr>
              <w:t>3</w:t>
            </w:r>
          </w:p>
        </w:tc>
        <w:tc>
          <w:tcPr>
            <w:tcW w:w="1161" w:type="pct"/>
            <w:noWrap w:val="0"/>
            <w:vAlign w:val="top"/>
          </w:tcPr>
          <w:p w14:paraId="5F368DB7">
            <w:pPr>
              <w:spacing w:after="0" w:line="360" w:lineRule="auto"/>
              <w:jc w:val="center"/>
              <w:rPr>
                <w:rFonts w:hint="eastAsia" w:ascii="宋体" w:hAnsi="宋体" w:eastAsia="宋体"/>
                <w:sz w:val="24"/>
              </w:rPr>
            </w:pPr>
            <w:r>
              <w:rPr>
                <w:rFonts w:hint="eastAsia" w:ascii="宋体" w:hAnsi="宋体" w:eastAsia="宋体"/>
                <w:sz w:val="24"/>
              </w:rPr>
              <w:t>3782500</w:t>
            </w:r>
          </w:p>
        </w:tc>
        <w:tc>
          <w:tcPr>
            <w:tcW w:w="1373" w:type="pct"/>
            <w:noWrap w:val="0"/>
            <w:vAlign w:val="top"/>
          </w:tcPr>
          <w:p w14:paraId="3ADA8E70">
            <w:pPr>
              <w:spacing w:after="0" w:line="360" w:lineRule="auto"/>
              <w:jc w:val="center"/>
              <w:rPr>
                <w:rFonts w:hint="eastAsia" w:ascii="宋体" w:hAnsi="宋体" w:eastAsia="宋体"/>
                <w:sz w:val="24"/>
              </w:rPr>
            </w:pPr>
            <w:r>
              <w:rPr>
                <w:rFonts w:hint="eastAsia" w:ascii="宋体" w:hAnsi="宋体" w:eastAsia="宋体"/>
                <w:sz w:val="24"/>
              </w:rPr>
              <w:t>37420870</w:t>
            </w:r>
          </w:p>
        </w:tc>
        <w:tc>
          <w:tcPr>
            <w:tcW w:w="1410" w:type="pct"/>
            <w:vMerge w:val="continue"/>
            <w:noWrap w:val="0"/>
            <w:vAlign w:val="top"/>
          </w:tcPr>
          <w:p w14:paraId="6819571F">
            <w:pPr>
              <w:spacing w:after="0" w:line="360" w:lineRule="auto"/>
              <w:jc w:val="center"/>
              <w:rPr>
                <w:rFonts w:hint="eastAsia" w:ascii="宋体" w:hAnsi="宋体" w:eastAsia="宋体"/>
                <w:sz w:val="24"/>
              </w:rPr>
            </w:pPr>
          </w:p>
        </w:tc>
      </w:tr>
      <w:tr w14:paraId="7B63C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trPr>
        <w:tc>
          <w:tcPr>
            <w:tcW w:w="1056" w:type="pct"/>
            <w:noWrap w:val="0"/>
            <w:vAlign w:val="top"/>
          </w:tcPr>
          <w:p w14:paraId="5B8C7940">
            <w:pPr>
              <w:spacing w:after="0" w:line="360" w:lineRule="auto"/>
              <w:jc w:val="center"/>
              <w:rPr>
                <w:rFonts w:hint="eastAsia" w:ascii="宋体" w:hAnsi="宋体" w:eastAsia="宋体"/>
                <w:sz w:val="24"/>
              </w:rPr>
            </w:pPr>
            <w:r>
              <w:rPr>
                <w:rFonts w:hint="eastAsia" w:ascii="宋体" w:hAnsi="宋体" w:eastAsia="宋体"/>
                <w:sz w:val="24"/>
              </w:rPr>
              <w:t>4</w:t>
            </w:r>
          </w:p>
        </w:tc>
        <w:tc>
          <w:tcPr>
            <w:tcW w:w="1161" w:type="pct"/>
            <w:noWrap w:val="0"/>
            <w:vAlign w:val="top"/>
          </w:tcPr>
          <w:p w14:paraId="268484E5">
            <w:pPr>
              <w:spacing w:after="0" w:line="360" w:lineRule="auto"/>
              <w:jc w:val="center"/>
              <w:rPr>
                <w:rFonts w:hint="eastAsia" w:ascii="宋体" w:hAnsi="宋体" w:eastAsia="宋体"/>
                <w:sz w:val="24"/>
              </w:rPr>
            </w:pPr>
            <w:r>
              <w:rPr>
                <w:rFonts w:hint="eastAsia" w:ascii="宋体" w:hAnsi="宋体" w:eastAsia="宋体"/>
                <w:sz w:val="24"/>
              </w:rPr>
              <w:t>3782500</w:t>
            </w:r>
          </w:p>
        </w:tc>
        <w:tc>
          <w:tcPr>
            <w:tcW w:w="1373" w:type="pct"/>
            <w:noWrap w:val="0"/>
            <w:vAlign w:val="top"/>
          </w:tcPr>
          <w:p w14:paraId="0592755C">
            <w:pPr>
              <w:spacing w:after="0" w:line="360" w:lineRule="auto"/>
              <w:jc w:val="center"/>
              <w:rPr>
                <w:rFonts w:hint="eastAsia" w:ascii="宋体" w:hAnsi="宋体" w:eastAsia="宋体"/>
                <w:sz w:val="24"/>
              </w:rPr>
            </w:pPr>
            <w:r>
              <w:rPr>
                <w:rFonts w:hint="eastAsia" w:ascii="宋体" w:hAnsi="宋体" w:eastAsia="宋体"/>
                <w:sz w:val="24"/>
              </w:rPr>
              <w:t>37418000</w:t>
            </w:r>
          </w:p>
        </w:tc>
        <w:tc>
          <w:tcPr>
            <w:tcW w:w="1410" w:type="pct"/>
            <w:vMerge w:val="continue"/>
            <w:noWrap w:val="0"/>
            <w:vAlign w:val="top"/>
          </w:tcPr>
          <w:p w14:paraId="33C4CB0C">
            <w:pPr>
              <w:spacing w:after="0" w:line="360" w:lineRule="auto"/>
              <w:jc w:val="center"/>
              <w:rPr>
                <w:rFonts w:hint="eastAsia" w:ascii="宋体" w:hAnsi="宋体" w:eastAsia="宋体"/>
                <w:sz w:val="24"/>
              </w:rPr>
            </w:pPr>
          </w:p>
        </w:tc>
      </w:tr>
    </w:tbl>
    <w:p w14:paraId="60677338">
      <w:pPr>
        <w:spacing w:after="0" w:line="360" w:lineRule="auto"/>
        <w:ind w:firstLine="562" w:firstLineChars="200"/>
        <w:jc w:val="both"/>
        <w:rPr>
          <w:rFonts w:ascii="宋体" w:hAnsi="宋体" w:eastAsia="宋体"/>
          <w:b/>
          <w:bCs/>
          <w:sz w:val="28"/>
          <w:szCs w:val="28"/>
        </w:rPr>
      </w:pPr>
      <w:r>
        <w:rPr>
          <w:rFonts w:hint="eastAsia" w:ascii="宋体" w:hAnsi="宋体" w:eastAsia="宋体"/>
          <w:b/>
          <w:bCs/>
          <w:sz w:val="28"/>
          <w:szCs w:val="28"/>
        </w:rPr>
        <w:t>第二条  工作周期</w:t>
      </w:r>
    </w:p>
    <w:p w14:paraId="41DC4B74">
      <w:pPr>
        <w:spacing w:after="0" w:line="360" w:lineRule="auto"/>
        <w:ind w:firstLine="560" w:firstLineChars="200"/>
        <w:jc w:val="both"/>
        <w:rPr>
          <w:rFonts w:ascii="宋体" w:hAnsi="宋体" w:eastAsia="宋体"/>
          <w:sz w:val="28"/>
          <w:szCs w:val="28"/>
        </w:rPr>
      </w:pPr>
      <w:r>
        <w:rPr>
          <w:rFonts w:hint="eastAsia" w:ascii="宋体" w:hAnsi="宋体" w:eastAsia="宋体"/>
          <w:sz w:val="28"/>
          <w:szCs w:val="28"/>
        </w:rPr>
        <w:t>本项目分两阶段实施，第一阶段以合同生效两个月为限，乙方在一个月之内查清槐树坪一带周边是否存在同样开发价值的白云岩矿床，两个月内提交槐树坪矿区初步资源量估算结果及矿石质量评价结果，供甲方决策用；第二阶段以合同生效三个月为限，乙方在三个月内提交完整的勘探报告，供甲方划定采矿权使用。</w:t>
      </w:r>
    </w:p>
    <w:p w14:paraId="23871E02">
      <w:pPr>
        <w:spacing w:after="0" w:line="360" w:lineRule="auto"/>
        <w:ind w:firstLine="562" w:firstLineChars="200"/>
        <w:jc w:val="both"/>
        <w:rPr>
          <w:rFonts w:ascii="宋体" w:hAnsi="宋体" w:eastAsia="宋体"/>
          <w:b/>
          <w:bCs/>
          <w:sz w:val="28"/>
          <w:szCs w:val="28"/>
        </w:rPr>
      </w:pPr>
      <w:r>
        <w:rPr>
          <w:rFonts w:hint="eastAsia" w:ascii="宋体" w:hAnsi="宋体" w:eastAsia="宋体"/>
          <w:b/>
          <w:bCs/>
          <w:sz w:val="28"/>
          <w:szCs w:val="28"/>
        </w:rPr>
        <w:t>第三条  合同价款及支付方式</w:t>
      </w:r>
    </w:p>
    <w:p w14:paraId="0A865D6E">
      <w:pPr>
        <w:spacing w:after="0" w:line="360" w:lineRule="auto"/>
        <w:ind w:firstLine="562" w:firstLineChars="200"/>
        <w:jc w:val="both"/>
        <w:rPr>
          <w:rFonts w:ascii="宋体" w:hAnsi="宋体" w:eastAsia="宋体"/>
          <w:b/>
          <w:bCs/>
          <w:sz w:val="28"/>
          <w:szCs w:val="28"/>
        </w:rPr>
      </w:pPr>
      <w:r>
        <w:rPr>
          <w:rFonts w:hint="eastAsia" w:ascii="宋体" w:hAnsi="宋体" w:eastAsia="宋体"/>
          <w:b/>
          <w:bCs/>
          <w:sz w:val="28"/>
          <w:szCs w:val="28"/>
        </w:rPr>
        <w:t>(一)项目费用结算标准</w:t>
      </w:r>
    </w:p>
    <w:p w14:paraId="0A968B31">
      <w:pPr>
        <w:spacing w:after="0" w:line="360" w:lineRule="auto"/>
        <w:ind w:firstLine="560" w:firstLineChars="200"/>
        <w:jc w:val="both"/>
        <w:rPr>
          <w:rFonts w:ascii="宋体" w:hAnsi="宋体" w:eastAsia="宋体"/>
          <w:sz w:val="28"/>
          <w:szCs w:val="28"/>
        </w:rPr>
      </w:pPr>
      <w:r>
        <w:rPr>
          <w:rFonts w:hint="eastAsia" w:ascii="宋体" w:hAnsi="宋体" w:eastAsia="宋体"/>
          <w:sz w:val="28"/>
          <w:szCs w:val="28"/>
        </w:rPr>
        <w:t>项目经费以中标的商务标为结算标准和依据，其中含占地补偿专项费用25万元，占地补偿专项费用由建设单位、施工单位、受偿主体三方确认，据实结算。</w:t>
      </w:r>
    </w:p>
    <w:p w14:paraId="145F0CB4">
      <w:pPr>
        <w:spacing w:after="0" w:line="360" w:lineRule="auto"/>
        <w:ind w:firstLine="562" w:firstLineChars="200"/>
        <w:jc w:val="both"/>
        <w:rPr>
          <w:rFonts w:hint="eastAsia" w:ascii="宋体" w:hAnsi="宋体" w:eastAsia="宋体"/>
          <w:b/>
          <w:bCs/>
          <w:sz w:val="28"/>
          <w:szCs w:val="28"/>
        </w:rPr>
      </w:pPr>
      <w:r>
        <w:rPr>
          <w:rFonts w:hint="eastAsia" w:ascii="宋体" w:hAnsi="宋体" w:eastAsia="宋体"/>
          <w:b/>
          <w:bCs/>
          <w:sz w:val="28"/>
          <w:szCs w:val="28"/>
        </w:rPr>
        <w:t>(二)费用支付方式</w:t>
      </w:r>
    </w:p>
    <w:p w14:paraId="5A68B280">
      <w:pPr>
        <w:spacing w:after="0" w:line="360" w:lineRule="auto"/>
        <w:ind w:firstLine="560" w:firstLineChars="200"/>
        <w:jc w:val="both"/>
        <w:rPr>
          <w:rFonts w:hint="eastAsia" w:ascii="宋体" w:hAnsi="宋体" w:eastAsia="宋体"/>
          <w:sz w:val="28"/>
          <w:szCs w:val="28"/>
        </w:rPr>
      </w:pPr>
      <w:r>
        <w:rPr>
          <w:rFonts w:hint="eastAsia" w:ascii="宋体" w:hAnsi="宋体" w:eastAsia="宋体"/>
          <w:sz w:val="28"/>
          <w:szCs w:val="28"/>
        </w:rPr>
        <w:t>合同签订后支付第一阶段费用的40%作为预付款，出具经专家评审的勘查报告，剩余费用(具体支付方式以双方合同约定为准）。</w:t>
      </w:r>
    </w:p>
    <w:p w14:paraId="116556E5">
      <w:pPr>
        <w:spacing w:after="0" w:line="360" w:lineRule="auto"/>
        <w:ind w:firstLine="562" w:firstLineChars="200"/>
        <w:jc w:val="both"/>
        <w:rPr>
          <w:rFonts w:hint="eastAsia" w:ascii="宋体" w:hAnsi="宋体" w:eastAsia="宋体"/>
          <w:b/>
          <w:bCs/>
          <w:sz w:val="28"/>
          <w:szCs w:val="28"/>
        </w:rPr>
      </w:pPr>
      <w:r>
        <w:rPr>
          <w:rFonts w:hint="eastAsia" w:ascii="宋体" w:hAnsi="宋体" w:eastAsia="宋体"/>
          <w:b/>
          <w:bCs/>
          <w:sz w:val="28"/>
          <w:szCs w:val="28"/>
        </w:rPr>
        <w:t>第四条 技术指标与质量要求</w:t>
      </w:r>
    </w:p>
    <w:p w14:paraId="23AD5424">
      <w:pPr>
        <w:spacing w:after="0" w:line="360" w:lineRule="auto"/>
        <w:ind w:firstLine="560" w:firstLineChars="200"/>
        <w:jc w:val="both"/>
        <w:rPr>
          <w:rFonts w:ascii="宋体" w:hAnsi="宋体" w:eastAsia="宋体"/>
          <w:sz w:val="28"/>
          <w:szCs w:val="28"/>
        </w:rPr>
      </w:pPr>
      <w:r>
        <w:rPr>
          <w:rFonts w:hint="eastAsia" w:ascii="宋体" w:hAnsi="宋体" w:eastAsia="宋体"/>
          <w:sz w:val="28"/>
          <w:szCs w:val="28"/>
        </w:rPr>
        <w:t>本次勘查工作主要依照以下规范执行，未尽事宜按照现行相关规范执行。</w:t>
      </w:r>
    </w:p>
    <w:p w14:paraId="7685C549">
      <w:pPr>
        <w:spacing w:after="0" w:line="360" w:lineRule="auto"/>
        <w:ind w:firstLine="560" w:firstLineChars="200"/>
        <w:jc w:val="both"/>
        <w:rPr>
          <w:rFonts w:ascii="宋体" w:hAnsi="宋体" w:eastAsia="宋体"/>
          <w:sz w:val="28"/>
          <w:szCs w:val="28"/>
        </w:rPr>
      </w:pPr>
      <w:r>
        <w:rPr>
          <w:rFonts w:ascii="宋体" w:hAnsi="宋体" w:eastAsia="宋体"/>
          <w:sz w:val="28"/>
          <w:szCs w:val="28"/>
        </w:rPr>
        <w:t>1</w:t>
      </w:r>
      <w:r>
        <w:rPr>
          <w:rFonts w:hint="eastAsia" w:ascii="宋体" w:hAnsi="宋体" w:eastAsia="宋体"/>
          <w:sz w:val="28"/>
          <w:szCs w:val="28"/>
        </w:rPr>
        <w:t>、中华人民共和国国家标准(</w:t>
      </w:r>
      <w:r>
        <w:rPr>
          <w:rFonts w:ascii="宋体" w:hAnsi="宋体" w:eastAsia="宋体"/>
          <w:sz w:val="28"/>
          <w:szCs w:val="28"/>
        </w:rPr>
        <w:t>GB</w:t>
      </w:r>
      <w:r>
        <w:rPr>
          <w:rFonts w:hint="eastAsia" w:ascii="宋体" w:hAnsi="宋体" w:eastAsia="宋体"/>
          <w:sz w:val="28"/>
          <w:szCs w:val="28"/>
        </w:rPr>
        <w:t>／</w:t>
      </w:r>
      <w:r>
        <w:rPr>
          <w:rFonts w:ascii="宋体" w:hAnsi="宋体" w:eastAsia="宋体"/>
          <w:sz w:val="28"/>
          <w:szCs w:val="28"/>
        </w:rPr>
        <w:t>T 13908-20</w:t>
      </w:r>
      <w:r>
        <w:rPr>
          <w:rFonts w:hint="eastAsia" w:ascii="宋体" w:hAnsi="宋体" w:eastAsia="宋体"/>
          <w:sz w:val="28"/>
          <w:szCs w:val="28"/>
        </w:rPr>
        <w:t>20)《固体矿产地质勘查规范总则》</w:t>
      </w:r>
    </w:p>
    <w:p w14:paraId="698DA5E1">
      <w:pPr>
        <w:spacing w:after="0" w:line="360" w:lineRule="auto"/>
        <w:ind w:firstLine="560" w:firstLineChars="200"/>
        <w:jc w:val="both"/>
        <w:rPr>
          <w:rFonts w:ascii="宋体" w:hAnsi="宋体" w:eastAsia="宋体"/>
          <w:sz w:val="28"/>
          <w:szCs w:val="28"/>
        </w:rPr>
      </w:pPr>
      <w:r>
        <w:rPr>
          <w:rFonts w:ascii="宋体" w:hAnsi="宋体" w:eastAsia="宋体"/>
          <w:sz w:val="28"/>
          <w:szCs w:val="28"/>
        </w:rPr>
        <w:t>2</w:t>
      </w:r>
      <w:r>
        <w:rPr>
          <w:rFonts w:hint="eastAsia" w:ascii="宋体" w:hAnsi="宋体" w:eastAsia="宋体"/>
          <w:sz w:val="28"/>
          <w:szCs w:val="28"/>
        </w:rPr>
        <w:t>、中华人民共和国地质矿产行业标准(</w:t>
      </w:r>
      <w:r>
        <w:rPr>
          <w:rFonts w:ascii="宋体" w:hAnsi="宋体" w:eastAsia="宋体"/>
          <w:sz w:val="28"/>
          <w:szCs w:val="28"/>
        </w:rPr>
        <w:t>DZ/T</w:t>
      </w:r>
      <w:r>
        <w:rPr>
          <w:rFonts w:hint="eastAsia" w:ascii="宋体" w:hAnsi="宋体" w:eastAsia="宋体"/>
          <w:sz w:val="28"/>
          <w:szCs w:val="28"/>
        </w:rPr>
        <w:t xml:space="preserve"> </w:t>
      </w:r>
      <w:r>
        <w:rPr>
          <w:rFonts w:ascii="宋体" w:hAnsi="宋体" w:eastAsia="宋体"/>
          <w:sz w:val="28"/>
          <w:szCs w:val="28"/>
        </w:rPr>
        <w:t>0033-20</w:t>
      </w:r>
      <w:r>
        <w:rPr>
          <w:rFonts w:hint="eastAsia" w:ascii="宋体" w:hAnsi="宋体" w:eastAsia="宋体"/>
          <w:sz w:val="28"/>
          <w:szCs w:val="28"/>
        </w:rPr>
        <w:t>20)《固体矿产勘查</w:t>
      </w:r>
      <w:r>
        <w:rPr>
          <w:rFonts w:ascii="宋体" w:hAnsi="宋体" w:eastAsia="宋体"/>
          <w:sz w:val="28"/>
          <w:szCs w:val="28"/>
        </w:rPr>
        <w:t>/</w:t>
      </w:r>
      <w:r>
        <w:rPr>
          <w:rFonts w:hint="eastAsia" w:ascii="宋体" w:hAnsi="宋体" w:eastAsia="宋体"/>
          <w:sz w:val="28"/>
          <w:szCs w:val="28"/>
        </w:rPr>
        <w:t>矿山闭坑地质报告编写规范》</w:t>
      </w:r>
    </w:p>
    <w:p w14:paraId="00A2ED81">
      <w:pPr>
        <w:spacing w:after="0" w:line="360" w:lineRule="auto"/>
        <w:ind w:firstLine="560" w:firstLineChars="200"/>
        <w:jc w:val="both"/>
        <w:rPr>
          <w:rFonts w:ascii="宋体" w:hAnsi="宋体" w:eastAsia="宋体"/>
          <w:sz w:val="28"/>
          <w:szCs w:val="28"/>
        </w:rPr>
      </w:pPr>
      <w:r>
        <w:rPr>
          <w:rFonts w:ascii="宋体" w:hAnsi="宋体" w:eastAsia="宋体"/>
          <w:sz w:val="28"/>
          <w:szCs w:val="28"/>
        </w:rPr>
        <w:t>3</w:t>
      </w:r>
      <w:r>
        <w:rPr>
          <w:rFonts w:hint="eastAsia" w:ascii="宋体" w:hAnsi="宋体" w:eastAsia="宋体"/>
          <w:sz w:val="28"/>
          <w:szCs w:val="28"/>
        </w:rPr>
        <w:t>、中华人民共和国地质矿产行业标准(DZ/T 0348-2020)《矿产地质勘查规范 菱镁矿、白云岩》</w:t>
      </w:r>
    </w:p>
    <w:p w14:paraId="7FFF5A95">
      <w:pPr>
        <w:spacing w:after="0" w:line="360" w:lineRule="auto"/>
        <w:ind w:firstLine="560" w:firstLineChars="200"/>
        <w:jc w:val="both"/>
        <w:rPr>
          <w:rFonts w:ascii="宋体" w:hAnsi="宋体" w:eastAsia="宋体"/>
          <w:sz w:val="28"/>
          <w:szCs w:val="28"/>
        </w:rPr>
      </w:pPr>
      <w:r>
        <w:rPr>
          <w:rFonts w:ascii="宋体" w:hAnsi="宋体" w:eastAsia="宋体"/>
          <w:sz w:val="28"/>
          <w:szCs w:val="28"/>
        </w:rPr>
        <w:t>4</w:t>
      </w:r>
      <w:r>
        <w:rPr>
          <w:rFonts w:hint="eastAsia" w:ascii="宋体" w:hAnsi="宋体" w:eastAsia="宋体"/>
          <w:sz w:val="28"/>
          <w:szCs w:val="28"/>
        </w:rPr>
        <w:t>、中华人民共和国国家标准(</w:t>
      </w:r>
      <w:r>
        <w:rPr>
          <w:rFonts w:ascii="宋体" w:hAnsi="宋体" w:eastAsia="宋体"/>
          <w:sz w:val="28"/>
          <w:szCs w:val="28"/>
        </w:rPr>
        <w:t>GB</w:t>
      </w:r>
      <w:r>
        <w:rPr>
          <w:rFonts w:hint="eastAsia" w:ascii="宋体" w:hAnsi="宋体" w:eastAsia="宋体"/>
          <w:sz w:val="28"/>
          <w:szCs w:val="28"/>
        </w:rPr>
        <w:t>/</w:t>
      </w:r>
      <w:r>
        <w:rPr>
          <w:rFonts w:ascii="宋体" w:hAnsi="宋体" w:eastAsia="宋体"/>
          <w:sz w:val="28"/>
          <w:szCs w:val="28"/>
        </w:rPr>
        <w:t>T 25283--2010</w:t>
      </w:r>
      <w:r>
        <w:rPr>
          <w:rFonts w:hint="eastAsia" w:ascii="宋体" w:hAnsi="宋体" w:eastAsia="宋体"/>
          <w:sz w:val="28"/>
          <w:szCs w:val="28"/>
        </w:rPr>
        <w:t>)《矿产资源综合勘查评价规范》</w:t>
      </w:r>
    </w:p>
    <w:p w14:paraId="701AFDFE">
      <w:pPr>
        <w:spacing w:after="0" w:line="360" w:lineRule="auto"/>
        <w:ind w:firstLine="560" w:firstLineChars="200"/>
        <w:jc w:val="both"/>
        <w:rPr>
          <w:rFonts w:ascii="宋体" w:hAnsi="宋体" w:eastAsia="宋体"/>
          <w:sz w:val="28"/>
          <w:szCs w:val="28"/>
        </w:rPr>
      </w:pPr>
      <w:r>
        <w:rPr>
          <w:rFonts w:ascii="宋体" w:hAnsi="宋体" w:eastAsia="宋体"/>
          <w:sz w:val="28"/>
          <w:szCs w:val="28"/>
        </w:rPr>
        <w:t>5</w:t>
      </w:r>
      <w:r>
        <w:rPr>
          <w:rFonts w:hint="eastAsia" w:ascii="宋体" w:hAnsi="宋体" w:eastAsia="宋体"/>
          <w:sz w:val="28"/>
          <w:szCs w:val="28"/>
        </w:rPr>
        <w:t>、中华人民共和国地质矿产行业标准(</w:t>
      </w:r>
      <w:r>
        <w:rPr>
          <w:rFonts w:ascii="宋体" w:hAnsi="宋体" w:eastAsia="宋体"/>
          <w:sz w:val="28"/>
          <w:szCs w:val="28"/>
        </w:rPr>
        <w:t>DZ/T0078-2015</w:t>
      </w:r>
      <w:r>
        <w:rPr>
          <w:rFonts w:hint="eastAsia" w:ascii="宋体" w:hAnsi="宋体" w:eastAsia="宋体"/>
          <w:sz w:val="28"/>
          <w:szCs w:val="28"/>
        </w:rPr>
        <w:t>)《固体矿产勘查原始地质编录规程》</w:t>
      </w:r>
    </w:p>
    <w:p w14:paraId="5F777DC5">
      <w:pPr>
        <w:spacing w:after="0" w:line="360" w:lineRule="auto"/>
        <w:ind w:firstLine="560" w:firstLineChars="200"/>
        <w:jc w:val="both"/>
        <w:rPr>
          <w:rFonts w:hint="eastAsia" w:ascii="宋体" w:hAnsi="宋体" w:eastAsia="宋体"/>
          <w:sz w:val="28"/>
          <w:szCs w:val="28"/>
        </w:rPr>
      </w:pPr>
      <w:r>
        <w:rPr>
          <w:rFonts w:ascii="宋体" w:hAnsi="宋体" w:eastAsia="宋体"/>
          <w:sz w:val="28"/>
          <w:szCs w:val="28"/>
        </w:rPr>
        <w:t>6</w:t>
      </w:r>
      <w:r>
        <w:rPr>
          <w:rFonts w:hint="eastAsia" w:ascii="宋体" w:hAnsi="宋体" w:eastAsia="宋体"/>
          <w:sz w:val="28"/>
          <w:szCs w:val="28"/>
        </w:rPr>
        <w:t>、中华人民共和国地质矿产行业标准(</w:t>
      </w:r>
      <w:r>
        <w:rPr>
          <w:rFonts w:ascii="宋体" w:hAnsi="宋体" w:eastAsia="宋体"/>
          <w:sz w:val="28"/>
          <w:szCs w:val="28"/>
        </w:rPr>
        <w:t>DZ/T0079-2015</w:t>
      </w:r>
      <w:r>
        <w:rPr>
          <w:rFonts w:hint="eastAsia" w:ascii="宋体" w:hAnsi="宋体" w:eastAsia="宋体"/>
          <w:sz w:val="28"/>
          <w:szCs w:val="28"/>
        </w:rPr>
        <w:t>)《固体矿产勘查地质资料综合整理综合研究技术要求》</w:t>
      </w:r>
    </w:p>
    <w:p w14:paraId="7D032BAB">
      <w:pPr>
        <w:spacing w:after="0" w:line="360" w:lineRule="auto"/>
        <w:ind w:firstLine="560" w:firstLineChars="200"/>
        <w:jc w:val="both"/>
        <w:rPr>
          <w:rFonts w:ascii="宋体" w:hAnsi="宋体" w:eastAsia="宋体"/>
          <w:sz w:val="28"/>
          <w:szCs w:val="28"/>
        </w:rPr>
      </w:pPr>
      <w:r>
        <w:rPr>
          <w:rFonts w:hint="eastAsia" w:ascii="宋体" w:hAnsi="宋体" w:eastAsia="宋体"/>
          <w:sz w:val="28"/>
          <w:szCs w:val="28"/>
        </w:rPr>
        <w:t>7、中华人民共和国地质矿产行业标准(</w:t>
      </w:r>
      <w:r>
        <w:rPr>
          <w:rFonts w:ascii="宋体" w:hAnsi="宋体" w:eastAsia="宋体"/>
          <w:sz w:val="28"/>
          <w:szCs w:val="28"/>
        </w:rPr>
        <w:t>DZ/T00</w:t>
      </w:r>
      <w:r>
        <w:rPr>
          <w:rFonts w:hint="eastAsia" w:ascii="宋体" w:hAnsi="宋体" w:eastAsia="宋体"/>
          <w:sz w:val="28"/>
          <w:szCs w:val="28"/>
        </w:rPr>
        <w:t>38.1-4</w:t>
      </w:r>
      <w:r>
        <w:rPr>
          <w:rFonts w:ascii="宋体" w:hAnsi="宋体" w:eastAsia="宋体"/>
          <w:sz w:val="28"/>
          <w:szCs w:val="28"/>
        </w:rPr>
        <w:t>-20</w:t>
      </w:r>
      <w:r>
        <w:rPr>
          <w:rFonts w:hint="eastAsia" w:ascii="宋体" w:hAnsi="宋体" w:eastAsia="宋体"/>
          <w:sz w:val="28"/>
          <w:szCs w:val="28"/>
        </w:rPr>
        <w:t>20)《固体矿产资源量估算规程》</w:t>
      </w:r>
    </w:p>
    <w:p w14:paraId="0CBD8413">
      <w:pPr>
        <w:spacing w:after="0" w:line="360" w:lineRule="auto"/>
        <w:ind w:firstLine="562" w:firstLineChars="200"/>
        <w:jc w:val="both"/>
        <w:rPr>
          <w:rFonts w:ascii="宋体" w:hAnsi="宋体" w:eastAsia="宋体"/>
          <w:b/>
          <w:bCs/>
          <w:sz w:val="28"/>
          <w:szCs w:val="28"/>
        </w:rPr>
      </w:pPr>
      <w:r>
        <w:rPr>
          <w:rFonts w:hint="eastAsia" w:ascii="宋体" w:hAnsi="宋体" w:eastAsia="宋体"/>
          <w:b/>
          <w:bCs/>
          <w:sz w:val="28"/>
          <w:szCs w:val="28"/>
        </w:rPr>
        <w:t>第五条 其他</w:t>
      </w:r>
    </w:p>
    <w:p w14:paraId="21772B96">
      <w:pPr>
        <w:spacing w:after="0" w:line="360" w:lineRule="auto"/>
        <w:ind w:firstLine="560" w:firstLineChars="200"/>
        <w:jc w:val="both"/>
        <w:rPr>
          <w:rFonts w:hint="eastAsia" w:ascii="宋体" w:hAnsi="宋体" w:eastAsia="宋体"/>
          <w:sz w:val="28"/>
          <w:szCs w:val="28"/>
        </w:rPr>
      </w:pPr>
      <w:r>
        <w:rPr>
          <w:rFonts w:hint="eastAsia" w:ascii="宋体" w:hAnsi="宋体" w:eastAsia="宋体"/>
          <w:sz w:val="28"/>
          <w:szCs w:val="28"/>
        </w:rPr>
        <w:t>1、本合同未尽事宜经双方协商，可签订补充协议，补充协议与本协议具有同等法律效力。</w:t>
      </w:r>
    </w:p>
    <w:p w14:paraId="68131D24">
      <w:pPr>
        <w:spacing w:after="0" w:line="360" w:lineRule="auto"/>
        <w:ind w:firstLine="560" w:firstLineChars="200"/>
        <w:jc w:val="both"/>
        <w:rPr>
          <w:rFonts w:hint="eastAsia" w:ascii="宋体" w:hAnsi="宋体" w:eastAsia="宋体"/>
          <w:sz w:val="28"/>
          <w:szCs w:val="28"/>
        </w:rPr>
      </w:pPr>
      <w:r>
        <w:rPr>
          <w:rFonts w:hint="eastAsia" w:ascii="宋体" w:hAnsi="宋体" w:eastAsia="宋体"/>
          <w:sz w:val="28"/>
          <w:szCs w:val="28"/>
        </w:rPr>
        <w:t>2、因本协议产生的争议，双方应协商解决，协商不成的，有权向甲方所在地人民法院提起诉讼。</w:t>
      </w:r>
    </w:p>
    <w:p w14:paraId="5383A030">
      <w:pPr>
        <w:spacing w:after="0" w:line="360" w:lineRule="auto"/>
        <w:ind w:firstLine="560" w:firstLineChars="200"/>
        <w:jc w:val="both"/>
        <w:rPr>
          <w:rFonts w:hint="eastAsia" w:ascii="宋体" w:hAnsi="宋体" w:eastAsia="宋体"/>
          <w:sz w:val="28"/>
          <w:szCs w:val="28"/>
        </w:rPr>
      </w:pPr>
      <w:r>
        <w:rPr>
          <w:rFonts w:hint="eastAsia" w:ascii="宋体" w:hAnsi="宋体" w:eastAsia="宋体"/>
          <w:sz w:val="28"/>
          <w:szCs w:val="28"/>
        </w:rPr>
        <w:t>3、本协议从甲方预付款到达乙方账户生效，至项目成果提交，甲方结清余款后自行终止。</w:t>
      </w:r>
    </w:p>
    <w:p w14:paraId="6A0CAF6F">
      <w:pPr>
        <w:spacing w:after="0" w:line="360" w:lineRule="auto"/>
        <w:ind w:firstLine="560" w:firstLineChars="200"/>
        <w:jc w:val="both"/>
        <w:rPr>
          <w:rFonts w:hint="eastAsia" w:ascii="宋体" w:hAnsi="宋体" w:eastAsia="宋体"/>
          <w:sz w:val="28"/>
          <w:szCs w:val="28"/>
        </w:rPr>
      </w:pPr>
      <w:r>
        <w:rPr>
          <w:rFonts w:hint="eastAsia" w:ascii="宋体" w:hAnsi="宋体" w:eastAsia="宋体"/>
          <w:sz w:val="28"/>
          <w:szCs w:val="28"/>
        </w:rPr>
        <w:t>4、本协议一式六份，甲乙双方各执三份，均具有同等法律效力。</w:t>
      </w:r>
    </w:p>
    <w:p w14:paraId="41076AF0">
      <w:pPr>
        <w:spacing w:after="0" w:line="360" w:lineRule="auto"/>
        <w:ind w:firstLine="560" w:firstLineChars="200"/>
        <w:jc w:val="both"/>
        <w:rPr>
          <w:rFonts w:ascii="宋体" w:hAnsi="宋体" w:eastAsia="宋体"/>
          <w:sz w:val="28"/>
          <w:szCs w:val="28"/>
        </w:rPr>
      </w:pPr>
      <w:r>
        <w:rPr>
          <w:rFonts w:hint="eastAsia" w:ascii="宋体" w:hAnsi="宋体" w:eastAsia="宋体"/>
          <w:sz w:val="28"/>
          <w:szCs w:val="28"/>
        </w:rPr>
        <w:t>5、本协议载明的地址为双方往来文件的送达地址，任何一方若有变动，需提前三日书面通知对方，否则按原地址送达的相关文件均视为有效送达。</w:t>
      </w:r>
    </w:p>
    <w:p w14:paraId="663FB372">
      <w:pPr>
        <w:spacing w:after="0" w:line="360" w:lineRule="auto"/>
        <w:ind w:firstLine="560" w:firstLineChars="200"/>
        <w:jc w:val="both"/>
        <w:rPr>
          <w:rFonts w:hint="eastAsia" w:ascii="宋体" w:hAnsi="宋体" w:eastAsia="宋体"/>
          <w:sz w:val="28"/>
          <w:szCs w:val="28"/>
        </w:rPr>
      </w:pPr>
      <w:r>
        <w:rPr>
          <w:rFonts w:hint="eastAsia" w:ascii="宋体" w:hAnsi="宋体" w:eastAsia="宋体"/>
          <w:sz w:val="28"/>
          <w:szCs w:val="28"/>
        </w:rPr>
        <w:t>（以下无正文）</w:t>
      </w:r>
    </w:p>
    <w:p w14:paraId="67CE4D1C">
      <w:pPr>
        <w:spacing w:after="0" w:line="360" w:lineRule="auto"/>
        <w:ind w:firstLine="560" w:firstLineChars="200"/>
        <w:jc w:val="both"/>
        <w:rPr>
          <w:rFonts w:ascii="宋体" w:hAnsi="宋体" w:eastAsia="宋体"/>
          <w:sz w:val="28"/>
          <w:szCs w:val="28"/>
        </w:rPr>
      </w:pPr>
    </w:p>
    <w:p w14:paraId="6092768B">
      <w:pPr>
        <w:spacing w:after="0" w:line="360" w:lineRule="auto"/>
        <w:ind w:firstLine="560" w:firstLineChars="200"/>
        <w:jc w:val="both"/>
        <w:rPr>
          <w:rFonts w:hint="eastAsia" w:ascii="宋体" w:hAnsi="宋体" w:eastAsia="宋体"/>
          <w:sz w:val="28"/>
          <w:szCs w:val="28"/>
        </w:rPr>
      </w:pPr>
      <w:r>
        <w:rPr>
          <w:rFonts w:hint="eastAsia" w:ascii="宋体" w:hAnsi="宋体" w:eastAsia="宋体"/>
          <w:sz w:val="28"/>
          <w:szCs w:val="28"/>
        </w:rPr>
        <w:t>（本页为签署页）</w:t>
      </w:r>
    </w:p>
    <w:tbl>
      <w:tblPr>
        <w:tblStyle w:val="15"/>
        <w:tblW w:w="9923" w:type="dxa"/>
        <w:jc w:val="center"/>
        <w:tblLayout w:type="autofit"/>
        <w:tblCellMar>
          <w:top w:w="0" w:type="dxa"/>
          <w:left w:w="108" w:type="dxa"/>
          <w:bottom w:w="0" w:type="dxa"/>
          <w:right w:w="108" w:type="dxa"/>
        </w:tblCellMar>
      </w:tblPr>
      <w:tblGrid>
        <w:gridCol w:w="5004"/>
        <w:gridCol w:w="4919"/>
      </w:tblGrid>
      <w:tr w14:paraId="335B1BE1">
        <w:tblPrEx>
          <w:tblCellMar>
            <w:top w:w="0" w:type="dxa"/>
            <w:left w:w="108" w:type="dxa"/>
            <w:bottom w:w="0" w:type="dxa"/>
            <w:right w:w="108" w:type="dxa"/>
          </w:tblCellMar>
        </w:tblPrEx>
        <w:trPr>
          <w:wBefore w:w="0" w:type="dxa"/>
          <w:jc w:val="center"/>
        </w:trPr>
        <w:tc>
          <w:tcPr>
            <w:tcW w:w="5004" w:type="dxa"/>
            <w:noWrap w:val="0"/>
            <w:vAlign w:val="top"/>
          </w:tcPr>
          <w:p w14:paraId="2B2919B2">
            <w:pPr>
              <w:spacing w:after="0" w:line="360" w:lineRule="auto"/>
              <w:rPr>
                <w:rFonts w:hint="eastAsia" w:ascii="宋体" w:hAnsi="宋体" w:eastAsia="宋体" w:cs="仿宋"/>
                <w:spacing w:val="-6"/>
                <w:sz w:val="24"/>
              </w:rPr>
            </w:pPr>
            <w:r>
              <w:rPr>
                <w:rFonts w:hint="eastAsia" w:ascii="宋体" w:hAnsi="宋体" w:eastAsia="宋体" w:cs="仿宋"/>
                <w:sz w:val="24"/>
              </w:rPr>
              <w:t>甲方(盖章)：</w:t>
            </w:r>
            <w:r>
              <w:rPr>
                <w:rFonts w:hint="eastAsia" w:ascii="宋体" w:hAnsi="宋体" w:eastAsia="宋体" w:cs="仿宋"/>
                <w:spacing w:val="-6"/>
                <w:sz w:val="24"/>
              </w:rPr>
              <w:t xml:space="preserve"> </w:t>
            </w:r>
          </w:p>
          <w:p w14:paraId="47AFC004">
            <w:pPr>
              <w:spacing w:after="0" w:line="360" w:lineRule="auto"/>
              <w:rPr>
                <w:rFonts w:hint="eastAsia" w:ascii="宋体" w:hAnsi="宋体" w:eastAsia="宋体" w:cs="仿宋"/>
                <w:spacing w:val="-6"/>
                <w:sz w:val="24"/>
              </w:rPr>
            </w:pPr>
          </w:p>
          <w:p w14:paraId="79965CB6">
            <w:pPr>
              <w:spacing w:after="0" w:line="360" w:lineRule="auto"/>
              <w:rPr>
                <w:rFonts w:hint="eastAsia" w:ascii="宋体" w:hAnsi="宋体" w:eastAsia="宋体" w:cs="仿宋"/>
                <w:sz w:val="24"/>
              </w:rPr>
            </w:pPr>
          </w:p>
        </w:tc>
        <w:tc>
          <w:tcPr>
            <w:tcW w:w="4919" w:type="dxa"/>
            <w:noWrap w:val="0"/>
            <w:vAlign w:val="top"/>
          </w:tcPr>
          <w:p w14:paraId="49F38760">
            <w:pPr>
              <w:spacing w:after="0" w:line="360" w:lineRule="auto"/>
              <w:rPr>
                <w:rFonts w:hint="eastAsia" w:ascii="宋体" w:hAnsi="宋体" w:eastAsia="宋体" w:cs="仿宋"/>
                <w:sz w:val="24"/>
              </w:rPr>
            </w:pPr>
            <w:r>
              <w:rPr>
                <w:rFonts w:hint="eastAsia" w:ascii="宋体" w:hAnsi="宋体" w:eastAsia="宋体" w:cs="仿宋"/>
                <w:sz w:val="24"/>
              </w:rPr>
              <w:t xml:space="preserve">乙方(盖章)： </w:t>
            </w:r>
          </w:p>
          <w:p w14:paraId="17B13520">
            <w:pPr>
              <w:spacing w:after="0" w:line="360" w:lineRule="auto"/>
              <w:rPr>
                <w:rFonts w:hint="eastAsia" w:ascii="宋体" w:hAnsi="宋体" w:eastAsia="宋体" w:cs="仿宋"/>
                <w:sz w:val="24"/>
              </w:rPr>
            </w:pPr>
          </w:p>
          <w:p w14:paraId="1FBABF0C">
            <w:pPr>
              <w:spacing w:after="0" w:line="360" w:lineRule="auto"/>
              <w:rPr>
                <w:rFonts w:hint="eastAsia" w:ascii="宋体" w:hAnsi="宋体" w:eastAsia="宋体" w:cs="仿宋"/>
                <w:sz w:val="24"/>
              </w:rPr>
            </w:pPr>
          </w:p>
        </w:tc>
      </w:tr>
      <w:tr w14:paraId="7696B567">
        <w:tblPrEx>
          <w:tblCellMar>
            <w:top w:w="0" w:type="dxa"/>
            <w:left w:w="108" w:type="dxa"/>
            <w:bottom w:w="0" w:type="dxa"/>
            <w:right w:w="108" w:type="dxa"/>
          </w:tblCellMar>
        </w:tblPrEx>
        <w:trPr>
          <w:wBefore w:w="0" w:type="dxa"/>
          <w:jc w:val="center"/>
        </w:trPr>
        <w:tc>
          <w:tcPr>
            <w:tcW w:w="5004" w:type="dxa"/>
            <w:noWrap w:val="0"/>
            <w:vAlign w:val="top"/>
          </w:tcPr>
          <w:p w14:paraId="529E5005">
            <w:pPr>
              <w:spacing w:after="0" w:line="360" w:lineRule="auto"/>
              <w:rPr>
                <w:rFonts w:hint="eastAsia" w:ascii="宋体" w:hAnsi="宋体" w:eastAsia="宋体" w:cs="仿宋"/>
                <w:sz w:val="24"/>
              </w:rPr>
            </w:pPr>
            <w:r>
              <w:rPr>
                <w:rFonts w:hint="eastAsia" w:ascii="宋体" w:hAnsi="宋体" w:eastAsia="宋体" w:cs="仿宋"/>
                <w:sz w:val="24"/>
              </w:rPr>
              <w:t>代表(签字)：</w:t>
            </w:r>
          </w:p>
          <w:p w14:paraId="5B78C26A">
            <w:pPr>
              <w:spacing w:after="0" w:line="360" w:lineRule="auto"/>
              <w:rPr>
                <w:rFonts w:hint="eastAsia" w:ascii="宋体" w:hAnsi="宋体" w:eastAsia="宋体" w:cs="仿宋"/>
                <w:sz w:val="24"/>
              </w:rPr>
            </w:pPr>
          </w:p>
        </w:tc>
        <w:tc>
          <w:tcPr>
            <w:tcW w:w="4919" w:type="dxa"/>
            <w:noWrap w:val="0"/>
            <w:vAlign w:val="top"/>
          </w:tcPr>
          <w:p w14:paraId="6CB08961">
            <w:pPr>
              <w:spacing w:after="0" w:line="360" w:lineRule="auto"/>
              <w:rPr>
                <w:rFonts w:hint="eastAsia" w:ascii="宋体" w:hAnsi="宋体" w:eastAsia="宋体" w:cs="仿宋"/>
                <w:sz w:val="24"/>
              </w:rPr>
            </w:pPr>
            <w:r>
              <w:rPr>
                <w:rFonts w:hint="eastAsia" w:ascii="宋体" w:hAnsi="宋体" w:eastAsia="宋体" w:cs="仿宋"/>
                <w:sz w:val="24"/>
              </w:rPr>
              <w:t>代表(签字)：</w:t>
            </w:r>
          </w:p>
          <w:p w14:paraId="73A3484D">
            <w:pPr>
              <w:spacing w:after="0" w:line="360" w:lineRule="auto"/>
              <w:rPr>
                <w:rFonts w:hint="eastAsia" w:ascii="宋体" w:hAnsi="宋体" w:eastAsia="宋体" w:cs="仿宋"/>
                <w:sz w:val="24"/>
              </w:rPr>
            </w:pPr>
          </w:p>
        </w:tc>
      </w:tr>
      <w:tr w14:paraId="4E47A32C">
        <w:tblPrEx>
          <w:tblCellMar>
            <w:top w:w="0" w:type="dxa"/>
            <w:left w:w="108" w:type="dxa"/>
            <w:bottom w:w="0" w:type="dxa"/>
            <w:right w:w="108" w:type="dxa"/>
          </w:tblCellMar>
        </w:tblPrEx>
        <w:trPr>
          <w:wBefore w:w="0" w:type="dxa"/>
          <w:jc w:val="center"/>
        </w:trPr>
        <w:tc>
          <w:tcPr>
            <w:tcW w:w="5004" w:type="dxa"/>
            <w:noWrap w:val="0"/>
            <w:vAlign w:val="top"/>
          </w:tcPr>
          <w:p w14:paraId="1749500F">
            <w:pPr>
              <w:spacing w:after="0" w:line="360" w:lineRule="auto"/>
              <w:ind w:left="1200" w:hanging="1200" w:hangingChars="500"/>
              <w:rPr>
                <w:rFonts w:ascii="宋体" w:hAnsi="宋体" w:eastAsia="宋体" w:cs="仿宋"/>
                <w:sz w:val="24"/>
              </w:rPr>
            </w:pPr>
            <w:r>
              <w:rPr>
                <w:rFonts w:hint="eastAsia" w:ascii="宋体" w:hAnsi="宋体" w:eastAsia="宋体" w:cs="仿宋"/>
                <w:sz w:val="24"/>
              </w:rPr>
              <w:t>甲方驻地：</w:t>
            </w:r>
          </w:p>
          <w:p w14:paraId="2B112952">
            <w:pPr>
              <w:spacing w:after="0" w:line="360" w:lineRule="auto"/>
              <w:ind w:left="1200" w:hanging="1200" w:hangingChars="500"/>
              <w:rPr>
                <w:rFonts w:hint="eastAsia" w:ascii="宋体" w:hAnsi="宋体" w:eastAsia="宋体" w:cs="仿宋"/>
                <w:sz w:val="24"/>
              </w:rPr>
            </w:pPr>
          </w:p>
        </w:tc>
        <w:tc>
          <w:tcPr>
            <w:tcW w:w="4919" w:type="dxa"/>
            <w:noWrap w:val="0"/>
            <w:vAlign w:val="top"/>
          </w:tcPr>
          <w:p w14:paraId="0168D476">
            <w:pPr>
              <w:spacing w:after="0" w:line="360" w:lineRule="auto"/>
              <w:rPr>
                <w:rFonts w:hint="eastAsia" w:ascii="宋体" w:hAnsi="宋体" w:eastAsia="宋体" w:cs="仿宋"/>
                <w:sz w:val="24"/>
              </w:rPr>
            </w:pPr>
            <w:r>
              <w:rPr>
                <w:rFonts w:hint="eastAsia" w:ascii="宋体" w:hAnsi="宋体" w:eastAsia="宋体" w:cs="仿宋"/>
                <w:sz w:val="24"/>
              </w:rPr>
              <w:t xml:space="preserve">乙方驻地： </w:t>
            </w:r>
          </w:p>
        </w:tc>
      </w:tr>
      <w:tr w14:paraId="257DDC5A">
        <w:tblPrEx>
          <w:tblCellMar>
            <w:top w:w="0" w:type="dxa"/>
            <w:left w:w="108" w:type="dxa"/>
            <w:bottom w:w="0" w:type="dxa"/>
            <w:right w:w="108" w:type="dxa"/>
          </w:tblCellMar>
        </w:tblPrEx>
        <w:trPr>
          <w:wBefore w:w="0" w:type="dxa"/>
          <w:jc w:val="center"/>
        </w:trPr>
        <w:tc>
          <w:tcPr>
            <w:tcW w:w="5004" w:type="dxa"/>
            <w:noWrap w:val="0"/>
            <w:vAlign w:val="top"/>
          </w:tcPr>
          <w:p w14:paraId="061C2DE2">
            <w:pPr>
              <w:spacing w:after="0" w:line="360" w:lineRule="auto"/>
              <w:rPr>
                <w:rFonts w:hint="eastAsia" w:ascii="宋体" w:hAnsi="宋体" w:eastAsia="宋体" w:cs="仿宋"/>
                <w:sz w:val="24"/>
              </w:rPr>
            </w:pPr>
            <w:r>
              <w:rPr>
                <w:rFonts w:hint="eastAsia" w:ascii="宋体" w:hAnsi="宋体" w:eastAsia="宋体" w:cs="仿宋"/>
                <w:sz w:val="24"/>
              </w:rPr>
              <w:t>电    话：</w:t>
            </w:r>
          </w:p>
        </w:tc>
        <w:tc>
          <w:tcPr>
            <w:tcW w:w="4919" w:type="dxa"/>
            <w:noWrap w:val="0"/>
            <w:vAlign w:val="top"/>
          </w:tcPr>
          <w:p w14:paraId="300E71AD">
            <w:pPr>
              <w:spacing w:after="0" w:line="360" w:lineRule="auto"/>
              <w:rPr>
                <w:rFonts w:hint="eastAsia" w:ascii="宋体" w:hAnsi="宋体" w:eastAsia="宋体" w:cs="仿宋"/>
                <w:sz w:val="24"/>
              </w:rPr>
            </w:pPr>
            <w:r>
              <w:rPr>
                <w:rFonts w:hint="eastAsia" w:ascii="宋体" w:hAnsi="宋体" w:eastAsia="宋体" w:cs="仿宋"/>
                <w:sz w:val="24"/>
              </w:rPr>
              <w:t>电    话：</w:t>
            </w:r>
          </w:p>
        </w:tc>
      </w:tr>
      <w:tr w14:paraId="54415152">
        <w:tblPrEx>
          <w:tblCellMar>
            <w:top w:w="0" w:type="dxa"/>
            <w:left w:w="108" w:type="dxa"/>
            <w:bottom w:w="0" w:type="dxa"/>
            <w:right w:w="108" w:type="dxa"/>
          </w:tblCellMar>
        </w:tblPrEx>
        <w:trPr>
          <w:wBefore w:w="0" w:type="dxa"/>
          <w:jc w:val="center"/>
        </w:trPr>
        <w:tc>
          <w:tcPr>
            <w:tcW w:w="5004" w:type="dxa"/>
            <w:noWrap w:val="0"/>
            <w:vAlign w:val="top"/>
          </w:tcPr>
          <w:p w14:paraId="267EC709">
            <w:pPr>
              <w:spacing w:after="0" w:line="360" w:lineRule="auto"/>
              <w:rPr>
                <w:rFonts w:hint="eastAsia" w:ascii="宋体" w:hAnsi="宋体" w:eastAsia="宋体" w:cs="仿宋"/>
                <w:sz w:val="24"/>
              </w:rPr>
            </w:pPr>
            <w:r>
              <w:rPr>
                <w:rFonts w:hint="eastAsia" w:ascii="宋体" w:hAnsi="宋体" w:eastAsia="宋体" w:cs="仿宋"/>
                <w:sz w:val="24"/>
              </w:rPr>
              <w:t>传    真：</w:t>
            </w:r>
          </w:p>
        </w:tc>
        <w:tc>
          <w:tcPr>
            <w:tcW w:w="4919" w:type="dxa"/>
            <w:noWrap w:val="0"/>
            <w:vAlign w:val="top"/>
          </w:tcPr>
          <w:p w14:paraId="517A146A">
            <w:pPr>
              <w:spacing w:after="0" w:line="360" w:lineRule="auto"/>
              <w:rPr>
                <w:rFonts w:hint="eastAsia" w:ascii="宋体" w:hAnsi="宋体" w:eastAsia="宋体" w:cs="仿宋"/>
                <w:sz w:val="24"/>
              </w:rPr>
            </w:pPr>
            <w:r>
              <w:rPr>
                <w:rFonts w:hint="eastAsia" w:ascii="宋体" w:hAnsi="宋体" w:eastAsia="宋体" w:cs="仿宋"/>
                <w:sz w:val="24"/>
              </w:rPr>
              <w:t>传    真：</w:t>
            </w:r>
          </w:p>
        </w:tc>
      </w:tr>
      <w:tr w14:paraId="0D9A3F8B">
        <w:tblPrEx>
          <w:tblCellMar>
            <w:top w:w="0" w:type="dxa"/>
            <w:left w:w="108" w:type="dxa"/>
            <w:bottom w:w="0" w:type="dxa"/>
            <w:right w:w="108" w:type="dxa"/>
          </w:tblCellMar>
        </w:tblPrEx>
        <w:trPr>
          <w:wBefore w:w="0" w:type="dxa"/>
          <w:jc w:val="center"/>
        </w:trPr>
        <w:tc>
          <w:tcPr>
            <w:tcW w:w="5004" w:type="dxa"/>
            <w:noWrap w:val="0"/>
            <w:vAlign w:val="top"/>
          </w:tcPr>
          <w:p w14:paraId="7DE8A4D4">
            <w:pPr>
              <w:spacing w:after="0" w:line="360" w:lineRule="auto"/>
              <w:rPr>
                <w:rFonts w:hint="eastAsia" w:ascii="宋体" w:hAnsi="宋体" w:eastAsia="宋体" w:cs="仿宋"/>
                <w:sz w:val="24"/>
              </w:rPr>
            </w:pPr>
            <w:r>
              <w:rPr>
                <w:rFonts w:hint="eastAsia" w:ascii="宋体" w:hAnsi="宋体" w:eastAsia="宋体" w:cs="仿宋"/>
                <w:sz w:val="24"/>
              </w:rPr>
              <w:t>开户银行：</w:t>
            </w:r>
          </w:p>
        </w:tc>
        <w:tc>
          <w:tcPr>
            <w:tcW w:w="4919" w:type="dxa"/>
            <w:noWrap w:val="0"/>
            <w:vAlign w:val="top"/>
          </w:tcPr>
          <w:p w14:paraId="71415497">
            <w:pPr>
              <w:spacing w:after="0" w:line="360" w:lineRule="auto"/>
              <w:rPr>
                <w:rFonts w:hint="eastAsia" w:ascii="宋体" w:hAnsi="宋体" w:eastAsia="宋体" w:cs="仿宋"/>
                <w:sz w:val="24"/>
              </w:rPr>
            </w:pPr>
            <w:r>
              <w:rPr>
                <w:rFonts w:hint="eastAsia" w:ascii="宋体" w:hAnsi="宋体" w:eastAsia="宋体" w:cs="仿宋"/>
                <w:sz w:val="24"/>
              </w:rPr>
              <w:t xml:space="preserve">开户银行： </w:t>
            </w:r>
          </w:p>
        </w:tc>
      </w:tr>
      <w:tr w14:paraId="60294A51">
        <w:tblPrEx>
          <w:tblCellMar>
            <w:top w:w="0" w:type="dxa"/>
            <w:left w:w="108" w:type="dxa"/>
            <w:bottom w:w="0" w:type="dxa"/>
            <w:right w:w="108" w:type="dxa"/>
          </w:tblCellMar>
        </w:tblPrEx>
        <w:trPr>
          <w:wBefore w:w="0" w:type="dxa"/>
          <w:jc w:val="center"/>
        </w:trPr>
        <w:tc>
          <w:tcPr>
            <w:tcW w:w="5004" w:type="dxa"/>
            <w:noWrap w:val="0"/>
            <w:vAlign w:val="top"/>
          </w:tcPr>
          <w:p w14:paraId="6E7B69BC">
            <w:pPr>
              <w:spacing w:after="0" w:line="360" w:lineRule="auto"/>
              <w:rPr>
                <w:rFonts w:hint="eastAsia" w:ascii="宋体" w:hAnsi="宋体" w:eastAsia="宋体" w:cs="仿宋"/>
                <w:sz w:val="24"/>
              </w:rPr>
            </w:pPr>
            <w:r>
              <w:rPr>
                <w:rFonts w:hint="eastAsia" w:ascii="宋体" w:hAnsi="宋体" w:eastAsia="宋体" w:cs="仿宋"/>
                <w:sz w:val="24"/>
              </w:rPr>
              <w:t>户    名：</w:t>
            </w:r>
          </w:p>
        </w:tc>
        <w:tc>
          <w:tcPr>
            <w:tcW w:w="4919" w:type="dxa"/>
            <w:noWrap w:val="0"/>
            <w:vAlign w:val="top"/>
          </w:tcPr>
          <w:p w14:paraId="57F4580A">
            <w:pPr>
              <w:spacing w:after="0" w:line="360" w:lineRule="auto"/>
              <w:rPr>
                <w:rFonts w:hint="eastAsia" w:ascii="宋体" w:hAnsi="宋体" w:eastAsia="宋体" w:cs="仿宋"/>
                <w:sz w:val="24"/>
              </w:rPr>
            </w:pPr>
            <w:r>
              <w:rPr>
                <w:rFonts w:hint="eastAsia" w:ascii="宋体" w:hAnsi="宋体" w:eastAsia="宋体" w:cs="仿宋"/>
                <w:sz w:val="24"/>
              </w:rPr>
              <w:t xml:space="preserve">户    名： </w:t>
            </w:r>
          </w:p>
        </w:tc>
      </w:tr>
      <w:tr w14:paraId="5FA36354">
        <w:tblPrEx>
          <w:tblCellMar>
            <w:top w:w="0" w:type="dxa"/>
            <w:left w:w="108" w:type="dxa"/>
            <w:bottom w:w="0" w:type="dxa"/>
            <w:right w:w="108" w:type="dxa"/>
          </w:tblCellMar>
        </w:tblPrEx>
        <w:trPr>
          <w:wBefore w:w="0" w:type="dxa"/>
          <w:jc w:val="center"/>
        </w:trPr>
        <w:tc>
          <w:tcPr>
            <w:tcW w:w="5004" w:type="dxa"/>
            <w:noWrap w:val="0"/>
            <w:vAlign w:val="top"/>
          </w:tcPr>
          <w:p w14:paraId="3CA94FAA">
            <w:pPr>
              <w:spacing w:after="0" w:line="360" w:lineRule="auto"/>
              <w:rPr>
                <w:rFonts w:hint="eastAsia" w:ascii="宋体" w:hAnsi="宋体" w:eastAsia="宋体" w:cs="仿宋"/>
                <w:sz w:val="24"/>
              </w:rPr>
            </w:pPr>
            <w:r>
              <w:rPr>
                <w:rFonts w:hint="eastAsia" w:ascii="宋体" w:hAnsi="宋体" w:eastAsia="宋体" w:cs="仿宋"/>
                <w:sz w:val="24"/>
              </w:rPr>
              <w:t>账    号：</w:t>
            </w:r>
          </w:p>
        </w:tc>
        <w:tc>
          <w:tcPr>
            <w:tcW w:w="4919" w:type="dxa"/>
            <w:noWrap w:val="0"/>
            <w:vAlign w:val="top"/>
          </w:tcPr>
          <w:p w14:paraId="5036CBE9">
            <w:pPr>
              <w:spacing w:after="0" w:line="360" w:lineRule="auto"/>
              <w:rPr>
                <w:rFonts w:hint="eastAsia" w:ascii="宋体" w:hAnsi="宋体" w:eastAsia="宋体" w:cs="仿宋"/>
                <w:sz w:val="24"/>
              </w:rPr>
            </w:pPr>
            <w:r>
              <w:rPr>
                <w:rFonts w:hint="eastAsia" w:ascii="宋体" w:hAnsi="宋体" w:eastAsia="宋体" w:cs="仿宋"/>
                <w:sz w:val="24"/>
              </w:rPr>
              <w:t>账    号：</w:t>
            </w:r>
          </w:p>
        </w:tc>
      </w:tr>
      <w:tr w14:paraId="3CEDA8F7">
        <w:tblPrEx>
          <w:tblCellMar>
            <w:top w:w="0" w:type="dxa"/>
            <w:left w:w="108" w:type="dxa"/>
            <w:bottom w:w="0" w:type="dxa"/>
            <w:right w:w="108" w:type="dxa"/>
          </w:tblCellMar>
        </w:tblPrEx>
        <w:trPr>
          <w:wBefore w:w="0" w:type="dxa"/>
          <w:jc w:val="center"/>
        </w:trPr>
        <w:tc>
          <w:tcPr>
            <w:tcW w:w="9923" w:type="dxa"/>
            <w:gridSpan w:val="2"/>
            <w:noWrap w:val="0"/>
            <w:vAlign w:val="top"/>
          </w:tcPr>
          <w:p w14:paraId="6397E80B">
            <w:pPr>
              <w:spacing w:after="0" w:line="360" w:lineRule="auto"/>
              <w:rPr>
                <w:rFonts w:hint="eastAsia" w:ascii="宋体" w:hAnsi="宋体" w:eastAsia="宋体" w:cs="仿宋"/>
                <w:sz w:val="24"/>
              </w:rPr>
            </w:pPr>
            <w:r>
              <w:rPr>
                <w:rFonts w:hint="eastAsia" w:ascii="宋体" w:hAnsi="宋体" w:eastAsia="宋体" w:cs="仿宋"/>
                <w:sz w:val="24"/>
              </w:rPr>
              <w:t>日期：       年    月    日               日期：       年    月    日</w:t>
            </w:r>
          </w:p>
        </w:tc>
      </w:tr>
    </w:tbl>
    <w:p w14:paraId="5FAF5BF4">
      <w:pPr>
        <w:spacing w:after="0" w:line="360" w:lineRule="auto"/>
        <w:rPr>
          <w:rFonts w:hint="eastAsia" w:ascii="宋体" w:hAnsi="宋体" w:eastAsia="宋体"/>
          <w:sz w:val="28"/>
          <w:szCs w:val="28"/>
        </w:rPr>
      </w:pPr>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724C"/>
    <w:rsid w:val="00002BB9"/>
    <w:rsid w:val="0001799F"/>
    <w:rsid w:val="00045A5D"/>
    <w:rsid w:val="000B1C90"/>
    <w:rsid w:val="000D78E2"/>
    <w:rsid w:val="000E718C"/>
    <w:rsid w:val="00106D99"/>
    <w:rsid w:val="00107DF9"/>
    <w:rsid w:val="00125B55"/>
    <w:rsid w:val="00160716"/>
    <w:rsid w:val="00166EE5"/>
    <w:rsid w:val="00167AF2"/>
    <w:rsid w:val="00215D0C"/>
    <w:rsid w:val="002647F5"/>
    <w:rsid w:val="00286CCC"/>
    <w:rsid w:val="002B2677"/>
    <w:rsid w:val="002F4237"/>
    <w:rsid w:val="0037250C"/>
    <w:rsid w:val="00383612"/>
    <w:rsid w:val="003C1C93"/>
    <w:rsid w:val="003F6105"/>
    <w:rsid w:val="004074BD"/>
    <w:rsid w:val="004150EB"/>
    <w:rsid w:val="0043357D"/>
    <w:rsid w:val="00474A7C"/>
    <w:rsid w:val="00526E47"/>
    <w:rsid w:val="00552EA9"/>
    <w:rsid w:val="005F33AC"/>
    <w:rsid w:val="00647794"/>
    <w:rsid w:val="0069368E"/>
    <w:rsid w:val="006B0F13"/>
    <w:rsid w:val="00724E69"/>
    <w:rsid w:val="007347EB"/>
    <w:rsid w:val="00757588"/>
    <w:rsid w:val="00761FDA"/>
    <w:rsid w:val="00795A37"/>
    <w:rsid w:val="00875DD4"/>
    <w:rsid w:val="008E0907"/>
    <w:rsid w:val="0094555C"/>
    <w:rsid w:val="00951CB4"/>
    <w:rsid w:val="009A2A41"/>
    <w:rsid w:val="009A5F58"/>
    <w:rsid w:val="009C46FE"/>
    <w:rsid w:val="00A0738B"/>
    <w:rsid w:val="00AC72B0"/>
    <w:rsid w:val="00AE724C"/>
    <w:rsid w:val="00B1402E"/>
    <w:rsid w:val="00B147CD"/>
    <w:rsid w:val="00B22596"/>
    <w:rsid w:val="00B25F1E"/>
    <w:rsid w:val="00B9591E"/>
    <w:rsid w:val="00BA30C7"/>
    <w:rsid w:val="00BE37B8"/>
    <w:rsid w:val="00BE3DF4"/>
    <w:rsid w:val="00BF5007"/>
    <w:rsid w:val="00C23EC4"/>
    <w:rsid w:val="00C54DFD"/>
    <w:rsid w:val="00C80786"/>
    <w:rsid w:val="00C97BCF"/>
    <w:rsid w:val="00CB61FC"/>
    <w:rsid w:val="00D436AC"/>
    <w:rsid w:val="00D64DCF"/>
    <w:rsid w:val="00D97B3B"/>
    <w:rsid w:val="00DD5AC5"/>
    <w:rsid w:val="00E26E72"/>
    <w:rsid w:val="00EB0D5F"/>
    <w:rsid w:val="00F06F28"/>
    <w:rsid w:val="00F66830"/>
    <w:rsid w:val="00FB2C6A"/>
    <w:rsid w:val="00FD66FE"/>
    <w:rsid w:val="30A9302A"/>
    <w:rsid w:val="32AB511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atentStyles>
  <w:style w:type="paragraph" w:default="1" w:styleId="1">
    <w:name w:val="Normal"/>
    <w:qFormat/>
    <w:uiPriority w:val="0"/>
    <w:pPr>
      <w:widowControl w:val="0"/>
      <w:spacing w:after="160" w:line="278" w:lineRule="auto"/>
    </w:pPr>
    <w:rPr>
      <w:kern w:val="2"/>
      <w:sz w:val="22"/>
      <w:szCs w:val="24"/>
      <w:lang w:val="en-US" w:eastAsia="zh-CN" w:bidi="ar-SA"/>
    </w:rPr>
  </w:style>
  <w:style w:type="paragraph" w:styleId="2">
    <w:name w:val="heading 1"/>
    <w:basedOn w:val="1"/>
    <w:next w:val="1"/>
    <w:link w:val="20"/>
    <w:qFormat/>
    <w:uiPriority w:val="9"/>
    <w:pPr>
      <w:keepNext/>
      <w:keepLines/>
      <w:spacing w:before="480" w:after="80"/>
      <w:outlineLvl w:val="0"/>
    </w:pPr>
    <w:rPr>
      <w:rFonts w:ascii="等线 Light" w:hAnsi="等线 Light" w:eastAsia="等线 Light" w:cs="Times New Roman"/>
      <w:color w:val="0F4761"/>
      <w:sz w:val="48"/>
      <w:szCs w:val="48"/>
    </w:rPr>
  </w:style>
  <w:style w:type="paragraph" w:styleId="3">
    <w:name w:val="heading 2"/>
    <w:basedOn w:val="1"/>
    <w:next w:val="1"/>
    <w:link w:val="21"/>
    <w:unhideWhenUsed/>
    <w:qFormat/>
    <w:uiPriority w:val="9"/>
    <w:pPr>
      <w:keepNext/>
      <w:keepLines/>
      <w:spacing w:before="160" w:after="80"/>
      <w:outlineLvl w:val="1"/>
    </w:pPr>
    <w:rPr>
      <w:rFonts w:ascii="等线 Light" w:hAnsi="等线 Light" w:eastAsia="等线 Light" w:cs="Times New Roman"/>
      <w:color w:val="0F4761"/>
      <w:sz w:val="40"/>
      <w:szCs w:val="40"/>
    </w:rPr>
  </w:style>
  <w:style w:type="paragraph" w:styleId="4">
    <w:name w:val="heading 3"/>
    <w:basedOn w:val="1"/>
    <w:next w:val="1"/>
    <w:link w:val="22"/>
    <w:unhideWhenUsed/>
    <w:qFormat/>
    <w:uiPriority w:val="9"/>
    <w:pPr>
      <w:keepNext/>
      <w:keepLines/>
      <w:spacing w:before="160" w:after="80"/>
      <w:outlineLvl w:val="2"/>
    </w:pPr>
    <w:rPr>
      <w:rFonts w:ascii="等线 Light" w:hAnsi="等线 Light" w:eastAsia="等线 Light" w:cs="Times New Roman"/>
      <w:color w:val="0F4761"/>
      <w:sz w:val="32"/>
      <w:szCs w:val="32"/>
    </w:rPr>
  </w:style>
  <w:style w:type="paragraph" w:styleId="5">
    <w:name w:val="heading 4"/>
    <w:basedOn w:val="1"/>
    <w:next w:val="1"/>
    <w:link w:val="23"/>
    <w:unhideWhenUsed/>
    <w:qFormat/>
    <w:uiPriority w:val="9"/>
    <w:pPr>
      <w:keepNext/>
      <w:keepLines/>
      <w:spacing w:before="80" w:after="40"/>
      <w:outlineLvl w:val="3"/>
    </w:pPr>
    <w:rPr>
      <w:rFonts w:cs="Times New Roman"/>
      <w:color w:val="0F4761"/>
      <w:sz w:val="28"/>
      <w:szCs w:val="28"/>
    </w:rPr>
  </w:style>
  <w:style w:type="paragraph" w:styleId="6">
    <w:name w:val="heading 5"/>
    <w:basedOn w:val="1"/>
    <w:next w:val="1"/>
    <w:link w:val="24"/>
    <w:unhideWhenUsed/>
    <w:qFormat/>
    <w:uiPriority w:val="9"/>
    <w:pPr>
      <w:keepNext/>
      <w:keepLines/>
      <w:spacing w:before="80" w:after="40"/>
      <w:outlineLvl w:val="4"/>
    </w:pPr>
    <w:rPr>
      <w:rFonts w:cs="Times New Roman"/>
      <w:color w:val="0F4761"/>
      <w:sz w:val="24"/>
    </w:rPr>
  </w:style>
  <w:style w:type="paragraph" w:styleId="7">
    <w:name w:val="heading 6"/>
    <w:basedOn w:val="1"/>
    <w:next w:val="1"/>
    <w:link w:val="25"/>
    <w:unhideWhenUsed/>
    <w:qFormat/>
    <w:uiPriority w:val="9"/>
    <w:pPr>
      <w:keepNext/>
      <w:keepLines/>
      <w:spacing w:before="40" w:after="0"/>
      <w:outlineLvl w:val="5"/>
    </w:pPr>
    <w:rPr>
      <w:rFonts w:cs="Times New Roman"/>
      <w:b/>
      <w:bCs/>
      <w:color w:val="0F4761"/>
    </w:rPr>
  </w:style>
  <w:style w:type="paragraph" w:styleId="8">
    <w:name w:val="heading 7"/>
    <w:basedOn w:val="1"/>
    <w:next w:val="1"/>
    <w:link w:val="26"/>
    <w:unhideWhenUsed/>
    <w:qFormat/>
    <w:uiPriority w:val="9"/>
    <w:pPr>
      <w:keepNext/>
      <w:keepLines/>
      <w:spacing w:before="40" w:after="0"/>
      <w:outlineLvl w:val="6"/>
    </w:pPr>
    <w:rPr>
      <w:rFonts w:cs="Times New Roman"/>
      <w:b/>
      <w:bCs/>
      <w:color w:val="595959"/>
    </w:rPr>
  </w:style>
  <w:style w:type="paragraph" w:styleId="9">
    <w:name w:val="heading 8"/>
    <w:basedOn w:val="1"/>
    <w:next w:val="1"/>
    <w:link w:val="27"/>
    <w:unhideWhenUsed/>
    <w:qFormat/>
    <w:uiPriority w:val="9"/>
    <w:pPr>
      <w:keepNext/>
      <w:keepLines/>
      <w:spacing w:after="0"/>
      <w:outlineLvl w:val="7"/>
    </w:pPr>
    <w:rPr>
      <w:rFonts w:cs="Times New Roman"/>
      <w:color w:val="595959"/>
    </w:rPr>
  </w:style>
  <w:style w:type="paragraph" w:styleId="10">
    <w:name w:val="heading 9"/>
    <w:basedOn w:val="1"/>
    <w:next w:val="1"/>
    <w:link w:val="28"/>
    <w:unhideWhenUsed/>
    <w:qFormat/>
    <w:uiPriority w:val="9"/>
    <w:pPr>
      <w:keepNext/>
      <w:keepLines/>
      <w:spacing w:after="0"/>
      <w:outlineLvl w:val="8"/>
    </w:pPr>
    <w:rPr>
      <w:rFonts w:eastAsia="等线 Light" w:cs="Times New Roman"/>
      <w:color w:val="595959"/>
    </w:rPr>
  </w:style>
  <w:style w:type="character" w:default="1" w:styleId="17">
    <w:name w:val="Default Paragraph Font"/>
    <w:unhideWhenUsed/>
    <w:uiPriority w:val="1"/>
  </w:style>
  <w:style w:type="table" w:default="1" w:styleId="15">
    <w:name w:val="Normal Table"/>
    <w:unhideWhenUsed/>
    <w:uiPriority w:val="99"/>
    <w:tblPr>
      <w:tblStyle w:val="15"/>
      <w:tblCellMar>
        <w:top w:w="0" w:type="dxa"/>
        <w:left w:w="108" w:type="dxa"/>
        <w:bottom w:w="0" w:type="dxa"/>
        <w:right w:w="108" w:type="dxa"/>
      </w:tblCellMar>
    </w:tblPr>
  </w:style>
  <w:style w:type="paragraph" w:styleId="11">
    <w:name w:val="footer"/>
    <w:basedOn w:val="1"/>
    <w:link w:val="29"/>
    <w:unhideWhenUsed/>
    <w:uiPriority w:val="99"/>
    <w:pPr>
      <w:tabs>
        <w:tab w:val="center" w:pos="4153"/>
        <w:tab w:val="right" w:pos="8306"/>
      </w:tabs>
      <w:snapToGrid w:val="0"/>
      <w:spacing w:line="240" w:lineRule="auto"/>
    </w:pPr>
    <w:rPr>
      <w:sz w:val="18"/>
      <w:szCs w:val="18"/>
    </w:rPr>
  </w:style>
  <w:style w:type="paragraph" w:styleId="12">
    <w:name w:val="header"/>
    <w:basedOn w:val="1"/>
    <w:link w:val="30"/>
    <w:unhideWhenUsed/>
    <w:uiPriority w:val="99"/>
    <w:pPr>
      <w:tabs>
        <w:tab w:val="center" w:pos="4153"/>
        <w:tab w:val="right" w:pos="8306"/>
      </w:tabs>
      <w:snapToGrid w:val="0"/>
      <w:spacing w:line="240" w:lineRule="auto"/>
      <w:jc w:val="center"/>
    </w:pPr>
    <w:rPr>
      <w:sz w:val="18"/>
      <w:szCs w:val="18"/>
    </w:rPr>
  </w:style>
  <w:style w:type="paragraph" w:styleId="13">
    <w:name w:val="Subtitle"/>
    <w:basedOn w:val="1"/>
    <w:next w:val="1"/>
    <w:link w:val="31"/>
    <w:qFormat/>
    <w:uiPriority w:val="11"/>
    <w:pPr>
      <w:numPr>
        <w:ilvl w:val="1"/>
        <w:numId w:val="0"/>
      </w:numPr>
      <w:jc w:val="center"/>
    </w:pPr>
    <w:rPr>
      <w:rFonts w:ascii="等线 Light" w:hAnsi="等线 Light" w:eastAsia="等线 Light" w:cs="Times New Roman"/>
      <w:color w:val="595959"/>
      <w:spacing w:val="15"/>
      <w:sz w:val="28"/>
      <w:szCs w:val="28"/>
    </w:rPr>
  </w:style>
  <w:style w:type="paragraph" w:styleId="14">
    <w:name w:val="Title"/>
    <w:basedOn w:val="1"/>
    <w:next w:val="1"/>
    <w:link w:val="32"/>
    <w:qFormat/>
    <w:uiPriority w:val="10"/>
    <w:pPr>
      <w:spacing w:after="80" w:line="240" w:lineRule="auto"/>
      <w:contextualSpacing/>
      <w:jc w:val="center"/>
    </w:pPr>
    <w:rPr>
      <w:rFonts w:ascii="等线 Light" w:hAnsi="等线 Light" w:eastAsia="等线 Light" w:cs="Times New Roman"/>
      <w:spacing w:val="-10"/>
      <w:kern w:val="28"/>
      <w:sz w:val="56"/>
      <w:szCs w:val="56"/>
    </w:rPr>
  </w:style>
  <w:style w:type="table" w:styleId="16">
    <w:name w:val="Table Grid"/>
    <w:basedOn w:val="15"/>
    <w:uiPriority w:val="39"/>
    <w:pPr>
      <w:spacing w:after="0" w:line="240" w:lineRule="auto"/>
    </w:pPr>
    <w:tblPr>
      <w:tblStyle w:val="15"/>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llowedHyperlink"/>
    <w:unhideWhenUsed/>
    <w:uiPriority w:val="99"/>
    <w:rPr>
      <w:color w:val="954F72"/>
      <w:u w:val="single"/>
    </w:rPr>
  </w:style>
  <w:style w:type="character" w:styleId="19">
    <w:name w:val="Hyperlink"/>
    <w:unhideWhenUsed/>
    <w:uiPriority w:val="99"/>
    <w:rPr>
      <w:color w:val="0563C1"/>
      <w:u w:val="single"/>
    </w:rPr>
  </w:style>
  <w:style w:type="character" w:customStyle="1" w:styleId="20">
    <w:name w:val="标题 1 字符"/>
    <w:link w:val="2"/>
    <w:uiPriority w:val="9"/>
    <w:rPr>
      <w:rFonts w:ascii="等线 Light" w:hAnsi="等线 Light" w:eastAsia="等线 Light" w:cs="Times New Roman"/>
      <w:color w:val="0F4761"/>
      <w:sz w:val="48"/>
      <w:szCs w:val="48"/>
    </w:rPr>
  </w:style>
  <w:style w:type="character" w:customStyle="1" w:styleId="21">
    <w:name w:val="标题 2 字符"/>
    <w:link w:val="3"/>
    <w:semiHidden/>
    <w:uiPriority w:val="9"/>
    <w:rPr>
      <w:rFonts w:ascii="等线 Light" w:hAnsi="等线 Light" w:eastAsia="等线 Light" w:cs="Times New Roman"/>
      <w:color w:val="0F4761"/>
      <w:sz w:val="40"/>
      <w:szCs w:val="40"/>
    </w:rPr>
  </w:style>
  <w:style w:type="character" w:customStyle="1" w:styleId="22">
    <w:name w:val="标题 3 字符"/>
    <w:link w:val="4"/>
    <w:semiHidden/>
    <w:uiPriority w:val="9"/>
    <w:rPr>
      <w:rFonts w:ascii="等线 Light" w:hAnsi="等线 Light" w:eastAsia="等线 Light" w:cs="Times New Roman"/>
      <w:color w:val="0F4761"/>
      <w:sz w:val="32"/>
      <w:szCs w:val="32"/>
    </w:rPr>
  </w:style>
  <w:style w:type="character" w:customStyle="1" w:styleId="23">
    <w:name w:val="标题 4 字符"/>
    <w:link w:val="5"/>
    <w:semiHidden/>
    <w:uiPriority w:val="9"/>
    <w:rPr>
      <w:rFonts w:cs="Times New Roman"/>
      <w:color w:val="0F4761"/>
      <w:sz w:val="28"/>
      <w:szCs w:val="28"/>
    </w:rPr>
  </w:style>
  <w:style w:type="character" w:customStyle="1" w:styleId="24">
    <w:name w:val="标题 5 字符"/>
    <w:link w:val="6"/>
    <w:semiHidden/>
    <w:uiPriority w:val="9"/>
    <w:rPr>
      <w:rFonts w:cs="Times New Roman"/>
      <w:color w:val="0F4761"/>
      <w:sz w:val="24"/>
    </w:rPr>
  </w:style>
  <w:style w:type="character" w:customStyle="1" w:styleId="25">
    <w:name w:val="标题 6 字符"/>
    <w:link w:val="7"/>
    <w:semiHidden/>
    <w:uiPriority w:val="9"/>
    <w:rPr>
      <w:rFonts w:cs="Times New Roman"/>
      <w:b/>
      <w:bCs/>
      <w:color w:val="0F4761"/>
    </w:rPr>
  </w:style>
  <w:style w:type="character" w:customStyle="1" w:styleId="26">
    <w:name w:val="标题 7 字符"/>
    <w:link w:val="8"/>
    <w:semiHidden/>
    <w:uiPriority w:val="9"/>
    <w:rPr>
      <w:rFonts w:cs="Times New Roman"/>
      <w:b/>
      <w:bCs/>
      <w:color w:val="595959"/>
    </w:rPr>
  </w:style>
  <w:style w:type="character" w:customStyle="1" w:styleId="27">
    <w:name w:val="标题 8 字符"/>
    <w:link w:val="9"/>
    <w:semiHidden/>
    <w:uiPriority w:val="9"/>
    <w:rPr>
      <w:rFonts w:cs="Times New Roman"/>
      <w:color w:val="595959"/>
    </w:rPr>
  </w:style>
  <w:style w:type="character" w:customStyle="1" w:styleId="28">
    <w:name w:val="标题 9 字符"/>
    <w:link w:val="10"/>
    <w:semiHidden/>
    <w:uiPriority w:val="9"/>
    <w:rPr>
      <w:rFonts w:eastAsia="等线 Light" w:cs="Times New Roman"/>
      <w:color w:val="595959"/>
    </w:rPr>
  </w:style>
  <w:style w:type="character" w:customStyle="1" w:styleId="29">
    <w:name w:val="页脚 字符"/>
    <w:link w:val="11"/>
    <w:uiPriority w:val="99"/>
    <w:rPr>
      <w:kern w:val="2"/>
      <w:sz w:val="18"/>
      <w:szCs w:val="18"/>
    </w:rPr>
  </w:style>
  <w:style w:type="character" w:customStyle="1" w:styleId="30">
    <w:name w:val="页眉 字符"/>
    <w:link w:val="12"/>
    <w:uiPriority w:val="99"/>
    <w:rPr>
      <w:kern w:val="2"/>
      <w:sz w:val="18"/>
      <w:szCs w:val="18"/>
    </w:rPr>
  </w:style>
  <w:style w:type="character" w:customStyle="1" w:styleId="31">
    <w:name w:val="副标题 字符"/>
    <w:link w:val="13"/>
    <w:uiPriority w:val="11"/>
    <w:rPr>
      <w:rFonts w:ascii="等线 Light" w:hAnsi="等线 Light" w:eastAsia="等线 Light" w:cs="Times New Roman"/>
      <w:color w:val="595959"/>
      <w:spacing w:val="15"/>
      <w:sz w:val="28"/>
      <w:szCs w:val="28"/>
    </w:rPr>
  </w:style>
  <w:style w:type="character" w:customStyle="1" w:styleId="32">
    <w:name w:val="标题 字符"/>
    <w:link w:val="14"/>
    <w:uiPriority w:val="10"/>
    <w:rPr>
      <w:rFonts w:ascii="等线 Light" w:hAnsi="等线 Light" w:eastAsia="等线 Light" w:cs="Times New Roman"/>
      <w:spacing w:val="-10"/>
      <w:kern w:val="28"/>
      <w:sz w:val="56"/>
      <w:szCs w:val="56"/>
    </w:rPr>
  </w:style>
  <w:style w:type="paragraph" w:styleId="33">
    <w:name w:val="Quote"/>
    <w:basedOn w:val="1"/>
    <w:next w:val="1"/>
    <w:link w:val="34"/>
    <w:qFormat/>
    <w:uiPriority w:val="29"/>
    <w:pPr>
      <w:spacing w:before="160"/>
      <w:jc w:val="center"/>
    </w:pPr>
    <w:rPr>
      <w:i/>
      <w:iCs/>
      <w:color w:val="404040"/>
    </w:rPr>
  </w:style>
  <w:style w:type="character" w:customStyle="1" w:styleId="34">
    <w:name w:val="引用 字符"/>
    <w:link w:val="33"/>
    <w:uiPriority w:val="29"/>
    <w:rPr>
      <w:i/>
      <w:iCs/>
      <w:color w:val="404040"/>
    </w:rPr>
  </w:style>
  <w:style w:type="paragraph" w:styleId="35">
    <w:name w:val="List Paragraph"/>
    <w:basedOn w:val="1"/>
    <w:qFormat/>
    <w:uiPriority w:val="34"/>
    <w:pPr>
      <w:ind w:left="720"/>
      <w:contextualSpacing/>
    </w:pPr>
  </w:style>
  <w:style w:type="character" w:styleId="36">
    <w:name w:val=""/>
    <w:qFormat/>
    <w:uiPriority w:val="21"/>
    <w:rPr>
      <w:i/>
      <w:iCs/>
      <w:color w:val="0F4761"/>
    </w:rPr>
  </w:style>
  <w:style w:type="paragraph" w:styleId="37">
    <w:name w:val="Intense Quote"/>
    <w:basedOn w:val="1"/>
    <w:next w:val="1"/>
    <w:link w:val="38"/>
    <w:qFormat/>
    <w:uiPriority w:val="30"/>
    <w:pPr>
      <w:pBdr>
        <w:top w:val="single" w:color="0F4761" w:sz="4" w:space="10"/>
        <w:bottom w:val="single" w:color="0F4761" w:sz="4" w:space="10"/>
      </w:pBdr>
      <w:spacing w:before="360" w:after="360"/>
      <w:ind w:left="864" w:right="864"/>
      <w:jc w:val="center"/>
    </w:pPr>
    <w:rPr>
      <w:i/>
      <w:iCs/>
      <w:color w:val="0F4761"/>
    </w:rPr>
  </w:style>
  <w:style w:type="character" w:customStyle="1" w:styleId="38">
    <w:name w:val="明显引用 字符"/>
    <w:link w:val="37"/>
    <w:uiPriority w:val="30"/>
    <w:rPr>
      <w:i/>
      <w:iCs/>
      <w:color w:val="0F4761"/>
    </w:rPr>
  </w:style>
  <w:style w:type="character" w:styleId="39">
    <w:name w:val=""/>
    <w:qFormat/>
    <w:uiPriority w:val="32"/>
    <w:rPr>
      <w:b/>
      <w:bCs/>
      <w:smallCaps/>
      <w:color w:val="0F4761"/>
      <w:spacing w:val="5"/>
    </w:rPr>
  </w:style>
  <w:style w:type="paragraph" w:customStyle="1" w:styleId="40">
    <w:name w:val="msonormal"/>
    <w:basedOn w:val="1"/>
    <w:uiPriority w:val="0"/>
    <w:pPr>
      <w:widowControl/>
      <w:spacing w:before="100" w:beforeAutospacing="1" w:after="100" w:afterAutospacing="1" w:line="240" w:lineRule="auto"/>
    </w:pPr>
    <w:rPr>
      <w:rFonts w:ascii="宋体" w:hAnsi="宋体" w:eastAsia="宋体" w:cs="宋体"/>
      <w:kern w:val="0"/>
      <w:sz w:val="24"/>
    </w:rPr>
  </w:style>
  <w:style w:type="paragraph" w:customStyle="1" w:styleId="41">
    <w:name w:val="font5"/>
    <w:basedOn w:val="1"/>
    <w:uiPriority w:val="0"/>
    <w:pPr>
      <w:widowControl/>
      <w:spacing w:before="100" w:beforeAutospacing="1" w:after="100" w:afterAutospacing="1" w:line="240" w:lineRule="auto"/>
    </w:pPr>
    <w:rPr>
      <w:rFonts w:cs="宋体"/>
      <w:kern w:val="0"/>
      <w:sz w:val="18"/>
      <w:szCs w:val="18"/>
    </w:rPr>
  </w:style>
  <w:style w:type="paragraph" w:customStyle="1" w:styleId="42">
    <w:name w:val="font6"/>
    <w:basedOn w:val="1"/>
    <w:uiPriority w:val="0"/>
    <w:pPr>
      <w:widowControl/>
      <w:spacing w:before="100" w:beforeAutospacing="1" w:after="100" w:afterAutospacing="1" w:line="240" w:lineRule="auto"/>
    </w:pPr>
    <w:rPr>
      <w:rFonts w:ascii="宋体" w:hAnsi="宋体" w:eastAsia="宋体" w:cs="宋体"/>
      <w:kern w:val="0"/>
      <w:sz w:val="18"/>
      <w:szCs w:val="18"/>
    </w:rPr>
  </w:style>
  <w:style w:type="paragraph" w:customStyle="1" w:styleId="43">
    <w:name w:val="font7"/>
    <w:basedOn w:val="1"/>
    <w:uiPriority w:val="0"/>
    <w:pPr>
      <w:widowControl/>
      <w:spacing w:before="100" w:beforeAutospacing="1" w:after="100" w:afterAutospacing="1" w:line="240" w:lineRule="auto"/>
    </w:pPr>
    <w:rPr>
      <w:rFonts w:ascii="宋体" w:hAnsi="宋体" w:eastAsia="宋体" w:cs="宋体"/>
      <w:color w:val="000000"/>
      <w:kern w:val="0"/>
      <w:sz w:val="20"/>
      <w:szCs w:val="20"/>
    </w:rPr>
  </w:style>
  <w:style w:type="paragraph" w:customStyle="1" w:styleId="44">
    <w:name w:val="xl6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color w:val="000000"/>
      <w:kern w:val="0"/>
      <w:sz w:val="20"/>
      <w:szCs w:val="20"/>
    </w:rPr>
  </w:style>
  <w:style w:type="paragraph" w:customStyle="1" w:styleId="45">
    <w:name w:val="xl64"/>
    <w:basedOn w:val="1"/>
    <w:uiPriority w:val="0"/>
    <w:pPr>
      <w:widowControl/>
      <w:spacing w:before="100" w:beforeAutospacing="1" w:after="100" w:afterAutospacing="1" w:line="240" w:lineRule="auto"/>
    </w:pPr>
    <w:rPr>
      <w:rFonts w:ascii="宋体" w:hAnsi="宋体" w:eastAsia="宋体" w:cs="宋体"/>
      <w:b/>
      <w:bCs/>
      <w:kern w:val="0"/>
      <w:sz w:val="24"/>
    </w:rPr>
  </w:style>
  <w:style w:type="paragraph" w:customStyle="1" w:styleId="46">
    <w:name w:val="xl6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textAlignment w:val="center"/>
    </w:pPr>
    <w:rPr>
      <w:rFonts w:ascii="宋体" w:hAnsi="宋体" w:eastAsia="宋体" w:cs="宋体"/>
      <w:b/>
      <w:bCs/>
      <w:kern w:val="0"/>
      <w:sz w:val="20"/>
      <w:szCs w:val="20"/>
    </w:rPr>
  </w:style>
  <w:style w:type="paragraph" w:customStyle="1" w:styleId="47">
    <w:name w:val="xl6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b/>
      <w:bCs/>
      <w:kern w:val="0"/>
      <w:sz w:val="20"/>
      <w:szCs w:val="20"/>
    </w:rPr>
  </w:style>
  <w:style w:type="paragraph" w:customStyle="1" w:styleId="48">
    <w:name w:val="xl6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textAlignment w:val="center"/>
    </w:pPr>
    <w:rPr>
      <w:rFonts w:ascii="宋体" w:hAnsi="宋体" w:eastAsia="宋体" w:cs="宋体"/>
      <w:kern w:val="0"/>
      <w:sz w:val="20"/>
      <w:szCs w:val="20"/>
    </w:rPr>
  </w:style>
  <w:style w:type="paragraph" w:customStyle="1" w:styleId="49">
    <w:name w:val="xl68"/>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20"/>
      <w:szCs w:val="20"/>
    </w:rPr>
  </w:style>
  <w:style w:type="paragraph" w:customStyle="1" w:styleId="50">
    <w:name w:val="xl6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textAlignment w:val="center"/>
    </w:pPr>
    <w:rPr>
      <w:rFonts w:ascii="宋体" w:hAnsi="宋体" w:eastAsia="宋体" w:cs="宋体"/>
      <w:b/>
      <w:bCs/>
      <w:kern w:val="0"/>
      <w:sz w:val="20"/>
      <w:szCs w:val="20"/>
    </w:rPr>
  </w:style>
  <w:style w:type="paragraph" w:customStyle="1" w:styleId="51">
    <w:name w:val="xl7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b/>
      <w:bCs/>
      <w:color w:val="FF0000"/>
      <w:kern w:val="0"/>
      <w:sz w:val="20"/>
      <w:szCs w:val="20"/>
    </w:rPr>
  </w:style>
  <w:style w:type="paragraph" w:customStyle="1" w:styleId="52">
    <w:name w:val="xl71"/>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b/>
      <w:bCs/>
      <w:kern w:val="0"/>
      <w:sz w:val="20"/>
      <w:szCs w:val="20"/>
    </w:rPr>
  </w:style>
  <w:style w:type="paragraph" w:customStyle="1" w:styleId="53">
    <w:name w:val="xl72"/>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b/>
      <w:bCs/>
      <w:kern w:val="0"/>
      <w:sz w:val="20"/>
      <w:szCs w:val="20"/>
    </w:rPr>
  </w:style>
  <w:style w:type="paragraph" w:customStyle="1" w:styleId="54">
    <w:name w:val="xl73"/>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textAlignment w:val="center"/>
    </w:pPr>
    <w:rPr>
      <w:rFonts w:ascii="宋体" w:hAnsi="宋体" w:eastAsia="宋体" w:cs="宋体"/>
      <w:kern w:val="0"/>
      <w:sz w:val="20"/>
      <w:szCs w:val="20"/>
    </w:rPr>
  </w:style>
  <w:style w:type="paragraph" w:customStyle="1" w:styleId="55">
    <w:name w:val="xl74"/>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20"/>
      <w:szCs w:val="20"/>
    </w:rPr>
  </w:style>
  <w:style w:type="paragraph" w:customStyle="1" w:styleId="56">
    <w:name w:val="xl75"/>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20"/>
      <w:szCs w:val="20"/>
    </w:rPr>
  </w:style>
  <w:style w:type="paragraph" w:customStyle="1" w:styleId="57">
    <w:name w:val="xl76"/>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b/>
      <w:bCs/>
      <w:kern w:val="0"/>
      <w:sz w:val="20"/>
      <w:szCs w:val="20"/>
    </w:rPr>
  </w:style>
  <w:style w:type="paragraph" w:customStyle="1" w:styleId="58">
    <w:name w:val="xl77"/>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textAlignment w:val="center"/>
    </w:pPr>
    <w:rPr>
      <w:rFonts w:ascii="宋体" w:hAnsi="宋体" w:eastAsia="宋体" w:cs="宋体"/>
      <w:kern w:val="0"/>
      <w:sz w:val="20"/>
      <w:szCs w:val="20"/>
    </w:rPr>
  </w:style>
  <w:style w:type="paragraph" w:customStyle="1" w:styleId="59">
    <w:name w:val="xl78"/>
    <w:basedOn w:val="1"/>
    <w:uiPriority w:val="0"/>
    <w:pPr>
      <w:widowControl/>
      <w:pBdr>
        <w:left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20"/>
      <w:szCs w:val="20"/>
    </w:rPr>
  </w:style>
  <w:style w:type="paragraph" w:customStyle="1" w:styleId="60">
    <w:name w:val="xl79"/>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textAlignment w:val="center"/>
    </w:pPr>
    <w:rPr>
      <w:rFonts w:ascii="宋体" w:hAnsi="宋体" w:eastAsia="宋体" w:cs="宋体"/>
      <w:b/>
      <w:bCs/>
      <w:color w:val="000000"/>
      <w:kern w:val="0"/>
      <w:sz w:val="20"/>
      <w:szCs w:val="20"/>
    </w:rPr>
  </w:style>
  <w:style w:type="paragraph" w:customStyle="1" w:styleId="61">
    <w:name w:val="xl80"/>
    <w:basedOn w:val="1"/>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kern w:val="0"/>
      <w:sz w:val="20"/>
      <w:szCs w:val="20"/>
    </w:rPr>
  </w:style>
  <w:style w:type="paragraph" w:customStyle="1" w:styleId="62">
    <w:name w:val="xl81"/>
    <w:basedOn w:val="1"/>
    <w:uiPriority w:val="0"/>
    <w:pPr>
      <w:widowControl/>
      <w:pBdr>
        <w:top w:val="single" w:color="auto" w:sz="4" w:space="0"/>
        <w:left w:val="single" w:color="auto" w:sz="4" w:space="0"/>
        <w:bottom w:val="single" w:color="auto" w:sz="4" w:space="0"/>
      </w:pBdr>
      <w:spacing w:before="100" w:beforeAutospacing="1" w:after="100" w:afterAutospacing="1" w:line="240" w:lineRule="auto"/>
      <w:jc w:val="center"/>
      <w:textAlignment w:val="center"/>
    </w:pPr>
    <w:rPr>
      <w:rFonts w:ascii="宋体" w:hAnsi="宋体" w:eastAsia="宋体" w:cs="宋体"/>
      <w:b/>
      <w:bCs/>
      <w:kern w:val="0"/>
      <w:sz w:val="20"/>
      <w:szCs w:val="20"/>
    </w:rPr>
  </w:style>
  <w:style w:type="paragraph" w:customStyle="1" w:styleId="63">
    <w:name w:val="xl82"/>
    <w:basedOn w:val="1"/>
    <w:uiPriority w:val="0"/>
    <w:pPr>
      <w:widowControl/>
      <w:pBdr>
        <w:top w:val="single" w:color="auto" w:sz="4" w:space="0"/>
        <w:bottom w:val="single" w:color="auto" w:sz="4" w:space="0"/>
      </w:pBdr>
      <w:spacing w:before="100" w:beforeAutospacing="1" w:after="100" w:afterAutospacing="1" w:line="240" w:lineRule="auto"/>
      <w:jc w:val="center"/>
      <w:textAlignment w:val="center"/>
    </w:pPr>
    <w:rPr>
      <w:rFonts w:ascii="宋体" w:hAnsi="宋体" w:eastAsia="宋体" w:cs="宋体"/>
      <w:b/>
      <w:bCs/>
      <w:kern w:val="0"/>
      <w:sz w:val="20"/>
      <w:szCs w:val="20"/>
    </w:rPr>
  </w:style>
  <w:style w:type="paragraph" w:customStyle="1" w:styleId="64">
    <w:name w:val="xl83"/>
    <w:basedOn w:val="1"/>
    <w:uiPriority w:val="0"/>
    <w:pPr>
      <w:widowControl/>
      <w:pBdr>
        <w:top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b/>
      <w:bCs/>
      <w:kern w:val="0"/>
      <w:sz w:val="20"/>
      <w:szCs w:val="20"/>
    </w:rPr>
  </w:style>
  <w:style w:type="paragraph" w:customStyle="1" w:styleId="65">
    <w:name w:val="xl84"/>
    <w:basedOn w:val="1"/>
    <w:uiPriority w:val="0"/>
    <w:pPr>
      <w:widowControl/>
      <w:pBdr>
        <w:top w:val="single" w:color="auto" w:sz="4" w:space="0"/>
        <w:left w:val="single" w:color="auto" w:sz="4" w:space="0"/>
        <w:bottom w:val="single" w:color="auto" w:sz="4" w:space="0"/>
      </w:pBdr>
      <w:spacing w:before="100" w:beforeAutospacing="1" w:after="100" w:afterAutospacing="1" w:line="240" w:lineRule="auto"/>
      <w:jc w:val="center"/>
      <w:textAlignment w:val="center"/>
    </w:pPr>
    <w:rPr>
      <w:rFonts w:ascii="宋体" w:hAnsi="宋体" w:eastAsia="宋体" w:cs="宋体"/>
      <w:b/>
      <w:bCs/>
      <w:color w:val="000000"/>
      <w:kern w:val="0"/>
      <w:sz w:val="20"/>
      <w:szCs w:val="20"/>
    </w:rPr>
  </w:style>
  <w:style w:type="paragraph" w:customStyle="1" w:styleId="66">
    <w:name w:val="xl85"/>
    <w:basedOn w:val="1"/>
    <w:uiPriority w:val="0"/>
    <w:pPr>
      <w:widowControl/>
      <w:pBdr>
        <w:top w:val="single" w:color="auto" w:sz="4" w:space="0"/>
        <w:bottom w:val="single" w:color="auto" w:sz="4" w:space="0"/>
      </w:pBdr>
      <w:spacing w:before="100" w:beforeAutospacing="1" w:after="100" w:afterAutospacing="1" w:line="240" w:lineRule="auto"/>
      <w:jc w:val="center"/>
      <w:textAlignment w:val="center"/>
    </w:pPr>
    <w:rPr>
      <w:rFonts w:ascii="宋体" w:hAnsi="宋体" w:eastAsia="宋体" w:cs="宋体"/>
      <w:b/>
      <w:bCs/>
      <w:color w:val="000000"/>
      <w:kern w:val="0"/>
      <w:sz w:val="20"/>
      <w:szCs w:val="20"/>
    </w:rPr>
  </w:style>
  <w:style w:type="paragraph" w:customStyle="1" w:styleId="67">
    <w:name w:val="xl86"/>
    <w:basedOn w:val="1"/>
    <w:uiPriority w:val="0"/>
    <w:pPr>
      <w:widowControl/>
      <w:pBdr>
        <w:top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b/>
      <w:bCs/>
      <w:color w:val="000000"/>
      <w:kern w:val="0"/>
      <w:sz w:val="20"/>
      <w:szCs w:val="20"/>
    </w:rPr>
  </w:style>
  <w:style w:type="paragraph" w:customStyle="1" w:styleId="68">
    <w:name w:val="xl87"/>
    <w:basedOn w:val="1"/>
    <w:uiPriority w:val="0"/>
    <w:pPr>
      <w:widowControl/>
      <w:pBdr>
        <w:top w:val="single" w:color="auto" w:sz="4" w:space="0"/>
        <w:bottom w:val="single" w:color="auto" w:sz="4" w:space="0"/>
      </w:pBdr>
      <w:spacing w:before="100" w:beforeAutospacing="1" w:after="100" w:afterAutospacing="1" w:line="240" w:lineRule="auto"/>
      <w:jc w:val="center"/>
      <w:textAlignment w:val="center"/>
    </w:pPr>
    <w:rPr>
      <w:rFonts w:ascii="宋体" w:hAnsi="宋体" w:eastAsia="宋体" w:cs="宋体"/>
      <w:b/>
      <w:bCs/>
      <w:color w:val="000000"/>
      <w:kern w:val="0"/>
      <w:sz w:val="20"/>
      <w:szCs w:val="20"/>
    </w:rPr>
  </w:style>
  <w:style w:type="paragraph" w:customStyle="1" w:styleId="69">
    <w:name w:val="xl88"/>
    <w:basedOn w:val="1"/>
    <w:uiPriority w:val="0"/>
    <w:pPr>
      <w:widowControl/>
      <w:pBdr>
        <w:top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宋体" w:hAnsi="宋体" w:eastAsia="宋体" w:cs="宋体"/>
      <w:b/>
      <w:bCs/>
      <w:color w:val="000000"/>
      <w:kern w:val="0"/>
      <w:sz w:val="20"/>
      <w:szCs w:val="20"/>
    </w:rPr>
  </w:style>
  <w:style w:type="paragraph" w:customStyle="1" w:styleId="70">
    <w:name w:val="xl89"/>
    <w:basedOn w:val="1"/>
    <w:uiPriority w:val="0"/>
    <w:pPr>
      <w:widowControl/>
      <w:pBdr>
        <w:top w:val="single" w:color="auto" w:sz="4" w:space="0"/>
      </w:pBdr>
      <w:spacing w:before="100" w:beforeAutospacing="1" w:after="100" w:afterAutospacing="1" w:line="240" w:lineRule="auto"/>
      <w:jc w:val="center"/>
    </w:pPr>
    <w:rPr>
      <w:rFonts w:ascii="宋体" w:hAnsi="宋体" w:eastAsia="宋体" w:cs="宋体"/>
      <w:b/>
      <w:bCs/>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1111</Words>
  <Characters>1277</Characters>
  <Lines>73</Lines>
  <Paragraphs>83</Paragraphs>
  <TotalTime>0</TotalTime>
  <ScaleCrop>false</ScaleCrop>
  <LinksUpToDate>false</LinksUpToDate>
  <CharactersWithSpaces>1292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2026-03-18T05:55:00Z</dcterms:created>
  <dc:creator>小桥 流水</dc:creator>
  <cp:lastModifiedBy>13622</cp:lastModifiedBy>
  <dcterms:modified xsi:type="dcterms:W3CDTF">2026-03-18T08:33:05Z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eyJoZGlkIjoiMTVjNTJkZWEyZWIyMjEyNTVmMDA4NGYwNTI4OTg4ZGEiLCJ1c2VySWQiOiIzMDcyMjg3NjcifQ==</vt:lpwstr>
  </property>
  <property fmtid="{D5CDD505-2E9C-101B-9397-08002B2CF9AE}" pid="3" name="KSOProductBuildVer">
    <vt:lpwstr>2052-12.1.0.25225</vt:lpwstr>
  </property>
  <property fmtid="{D5CDD505-2E9C-101B-9397-08002B2CF9AE}" pid="4" name="ICV">
    <vt:lpwstr>BC094DFD89CA4BD9A515A5AB90F141E9_13</vt:lpwstr>
  </property>
</Properties>
</file>