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丹江丹凤城区段涉锑重金属自动监测站建设项目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未专门面向中小企业的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情况说明</w:t>
      </w:r>
    </w:p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color="auto" w:fill="FFFFFF"/>
        </w:rPr>
        <w:t>丹江丹凤城区段涉锑重金属自动监测站建设项目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color="auto" w:fill="FFFFFF"/>
          <w:lang w:val="en-US" w:eastAsia="zh-CN"/>
        </w:rPr>
        <w:t>主要实施内容是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color="auto" w:fill="FFFFFF"/>
        </w:rPr>
        <w:t>采购涉锑重金属自动监测设备1套，配备监测办公用房。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color="auto" w:fill="FFFFFF"/>
          <w:lang w:val="en-US" w:eastAsia="zh-CN"/>
        </w:rPr>
        <w:t>自动监测站监测数据需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color="auto" w:fill="FFFFFF"/>
        </w:rPr>
        <w:t>实时自动监测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color="auto" w:fill="FFFFFF"/>
          <w:lang w:eastAsia="zh-CN"/>
        </w:rPr>
        <w:t>上传，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color="auto" w:fill="FFFFFF"/>
          <w:lang w:val="en-US" w:eastAsia="zh-CN"/>
        </w:rPr>
        <w:t>设备运行稳定性及数据准确性将用来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color="auto" w:fill="FFFFFF"/>
          <w:lang w:val="en-US" w:eastAsia="zh-CN"/>
        </w:rPr>
        <w:t>实时指导涉锑应急处置工作重要依据。为确保设备供应商充分竞争，该项目不专门面向中小企业，特此说明！</w:t>
      </w:r>
    </w:p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商洛市生态环境局丹凤县分局</w:t>
      </w:r>
    </w:p>
    <w:p>
      <w:pPr>
        <w:rPr>
          <w:rFonts w:hint="default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       2024年3月6日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kNjdlODQ0MGNiOGJjMmQ0YTlkN2I3MTBmMzYxZmEifQ=="/>
  </w:docVars>
  <w:rsids>
    <w:rsidRoot w:val="00000000"/>
    <w:rsid w:val="067F52D3"/>
    <w:rsid w:val="1A90765C"/>
    <w:rsid w:val="2297354C"/>
    <w:rsid w:val="265236C0"/>
    <w:rsid w:val="26C15E49"/>
    <w:rsid w:val="606049A2"/>
    <w:rsid w:val="70A3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2023-09-20T09:39:00Z</dcterms:created>
  <dc:creator>10479</dc:creator>
  <cp:lastModifiedBy>qzuser</cp:lastModifiedBy>
  <dcterms:modified xsi:type="dcterms:W3CDTF">2024-03-06T07:22:17Z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44921290882045F2B40869FC3776104F_12</vt:lpwstr>
  </property>
</Properties>
</file>