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Ansi="宋体" w:cs="宋体"/>
          <w:b/>
          <w:bCs/>
          <w:color w:val="000000"/>
          <w:sz w:val="36"/>
          <w:szCs w:val="36"/>
          <w:highlight w:val="none"/>
        </w:rPr>
      </w:pPr>
    </w:p>
    <w:p>
      <w:pPr>
        <w:rPr>
          <w:rFonts w:hint="eastAsia" w:hAnsi="宋体" w:eastAsia="宋体" w:cs="宋体"/>
          <w:b/>
          <w:color w:val="000000"/>
          <w:sz w:val="36"/>
          <w:highlight w:val="none"/>
          <w:lang w:eastAsia="zh-CN"/>
        </w:rPr>
      </w:pPr>
      <w:r>
        <w:rPr>
          <w:rFonts w:hint="eastAsia" w:hAnsi="宋体" w:cs="宋体"/>
          <w:b/>
          <w:bCs/>
          <w:color w:val="000000"/>
          <w:sz w:val="36"/>
          <w:szCs w:val="36"/>
          <w:highlight w:val="none"/>
        </w:rPr>
        <w:t>项目编号:</w:t>
      </w:r>
      <w:r>
        <w:rPr>
          <w:rFonts w:hint="eastAsia" w:hAnsi="宋体" w:cs="宋体"/>
          <w:b/>
          <w:bCs/>
          <w:color w:val="000000"/>
          <w:sz w:val="36"/>
          <w:szCs w:val="36"/>
          <w:highlight w:val="none"/>
          <w:lang w:eastAsia="zh-CN"/>
        </w:rPr>
        <w:t>SXZCZB2024-ZCGK-0116</w:t>
      </w:r>
    </w:p>
    <w:p>
      <w:pPr>
        <w:rPr>
          <w:rFonts w:hAnsi="宋体" w:cs="宋体"/>
          <w:b/>
          <w:color w:val="000000"/>
          <w:sz w:val="36"/>
          <w:highlight w:val="none"/>
        </w:rPr>
      </w:pPr>
    </w:p>
    <w:p>
      <w:pPr>
        <w:tabs>
          <w:tab w:val="left" w:pos="3375"/>
        </w:tabs>
        <w:rPr>
          <w:rFonts w:hAnsi="宋体" w:cs="宋体"/>
          <w:color w:val="000000"/>
          <w:highlight w:val="none"/>
        </w:rPr>
      </w:pPr>
      <w:r>
        <w:rPr>
          <w:rFonts w:hint="eastAsia" w:hAnsi="宋体" w:cs="宋体"/>
          <w:color w:val="000000"/>
          <w:highlight w:val="none"/>
        </w:rPr>
        <w:tab/>
      </w:r>
    </w:p>
    <w:p>
      <w:pPr>
        <w:jc w:val="center"/>
        <w:rPr>
          <w:rFonts w:hint="eastAsia" w:hAnsi="宋体" w:eastAsia="宋体" w:cs="宋体"/>
          <w:b/>
          <w:color w:val="000000"/>
          <w:sz w:val="40"/>
          <w:szCs w:val="40"/>
          <w:highlight w:val="none"/>
          <w:lang w:eastAsia="zh-CN"/>
        </w:rPr>
      </w:pPr>
      <w:r>
        <w:rPr>
          <w:rFonts w:hint="eastAsia" w:hAnsi="宋体" w:cs="宋体"/>
          <w:b/>
          <w:color w:val="000000"/>
          <w:sz w:val="56"/>
          <w:szCs w:val="56"/>
          <w:highlight w:val="none"/>
          <w:lang w:eastAsia="zh-CN"/>
        </w:rPr>
        <w:t>商南县城区环卫市场化运营项目</w:t>
      </w:r>
    </w:p>
    <w:p>
      <w:pPr>
        <w:bidi w:val="0"/>
        <w:rPr>
          <w:highlight w:val="none"/>
        </w:rPr>
      </w:pPr>
    </w:p>
    <w:p>
      <w:pPr>
        <w:bidi w:val="0"/>
        <w:rPr>
          <w:highlight w:val="none"/>
        </w:rPr>
      </w:pPr>
    </w:p>
    <w:p>
      <w:pPr>
        <w:rPr>
          <w:highlight w:val="none"/>
        </w:rPr>
      </w:pPr>
    </w:p>
    <w:p>
      <w:pPr>
        <w:bidi w:val="0"/>
        <w:rPr>
          <w:highlight w:val="none"/>
        </w:rPr>
      </w:pPr>
    </w:p>
    <w:p>
      <w:pPr>
        <w:rPr>
          <w:highlight w:val="none"/>
        </w:rPr>
      </w:pPr>
    </w:p>
    <w:p>
      <w:pPr>
        <w:spacing w:line="780" w:lineRule="auto"/>
        <w:jc w:val="center"/>
        <w:rPr>
          <w:rFonts w:hAnsi="宋体" w:cs="宋体"/>
          <w:b/>
          <w:color w:val="000000"/>
          <w:sz w:val="88"/>
          <w:szCs w:val="88"/>
          <w:highlight w:val="none"/>
        </w:rPr>
      </w:pPr>
      <w:r>
        <w:rPr>
          <w:rFonts w:hint="eastAsia" w:hAnsi="宋体" w:cs="宋体"/>
          <w:b/>
          <w:color w:val="000000"/>
          <w:sz w:val="88"/>
          <w:szCs w:val="88"/>
          <w:highlight w:val="none"/>
        </w:rPr>
        <w:t>招 标 文 件</w:t>
      </w:r>
    </w:p>
    <w:p>
      <w:pPr>
        <w:rPr>
          <w:rFonts w:hAnsi="宋体" w:cs="宋体"/>
          <w:color w:val="000000"/>
          <w:highlight w:val="none"/>
        </w:rPr>
      </w:pPr>
      <w:bookmarkStart w:id="0" w:name="_Toc363463325"/>
    </w:p>
    <w:p>
      <w:pPr>
        <w:rPr>
          <w:rFonts w:hAnsi="宋体" w:cs="宋体"/>
          <w:color w:val="000000"/>
          <w:highlight w:val="none"/>
        </w:rPr>
      </w:pPr>
    </w:p>
    <w:p>
      <w:pPr>
        <w:rPr>
          <w:rFonts w:hAnsi="宋体" w:cs="宋体"/>
          <w:color w:val="000000"/>
          <w:highlight w:val="none"/>
        </w:rPr>
      </w:pPr>
    </w:p>
    <w:bookmarkEnd w:id="0"/>
    <w:p>
      <w:pPr>
        <w:rPr>
          <w:rFonts w:hAnsi="宋体" w:cs="宋体"/>
          <w:color w:val="000000"/>
          <w:sz w:val="18"/>
          <w:szCs w:val="18"/>
          <w:highlight w:val="none"/>
        </w:rPr>
      </w:pPr>
    </w:p>
    <w:p>
      <w:pPr>
        <w:rPr>
          <w:rFonts w:hAnsi="宋体" w:cs="宋体"/>
          <w:color w:val="000000"/>
          <w:sz w:val="18"/>
          <w:szCs w:val="18"/>
          <w:highlight w:val="none"/>
        </w:rPr>
      </w:pPr>
    </w:p>
    <w:p>
      <w:pPr>
        <w:rPr>
          <w:rFonts w:hAnsi="宋体" w:cs="宋体"/>
          <w:color w:val="000000"/>
          <w:sz w:val="18"/>
          <w:szCs w:val="18"/>
          <w:highlight w:val="none"/>
        </w:rPr>
      </w:pPr>
    </w:p>
    <w:p>
      <w:pPr>
        <w:rPr>
          <w:rFonts w:hAnsi="宋体" w:cs="宋体"/>
          <w:color w:val="000000"/>
          <w:sz w:val="18"/>
          <w:szCs w:val="18"/>
          <w:highlight w:val="none"/>
        </w:rPr>
      </w:pPr>
    </w:p>
    <w:p>
      <w:pPr>
        <w:bidi w:val="0"/>
        <w:rPr>
          <w:highlight w:val="none"/>
        </w:rPr>
      </w:pPr>
    </w:p>
    <w:p>
      <w:pPr>
        <w:rPr>
          <w:rFonts w:hAnsi="宋体" w:cs="宋体"/>
          <w:color w:val="000000"/>
          <w:sz w:val="18"/>
          <w:szCs w:val="18"/>
          <w:highlight w:val="none"/>
        </w:rPr>
      </w:pPr>
    </w:p>
    <w:p>
      <w:pPr>
        <w:tabs>
          <w:tab w:val="left" w:pos="525"/>
        </w:tabs>
        <w:jc w:val="center"/>
        <w:rPr>
          <w:rFonts w:hint="eastAsia" w:hAnsi="宋体" w:eastAsia="宋体" w:cs="宋体"/>
          <w:b/>
          <w:bCs/>
          <w:color w:val="000000"/>
          <w:sz w:val="36"/>
          <w:szCs w:val="36"/>
          <w:highlight w:val="none"/>
          <w:lang w:eastAsia="zh-CN"/>
        </w:rPr>
      </w:pPr>
      <w:r>
        <w:rPr>
          <w:rFonts w:hint="eastAsia" w:hAnsi="宋体" w:cs="宋体"/>
          <w:b/>
          <w:bCs/>
          <w:color w:val="000000"/>
          <w:sz w:val="36"/>
          <w:szCs w:val="36"/>
          <w:highlight w:val="none"/>
          <w:lang w:eastAsia="zh-CN"/>
        </w:rPr>
        <w:t>陕西至诚项目管理集团有限公司</w:t>
      </w:r>
    </w:p>
    <w:p>
      <w:pPr>
        <w:tabs>
          <w:tab w:val="left" w:pos="525"/>
        </w:tabs>
        <w:jc w:val="center"/>
        <w:rPr>
          <w:rFonts w:hAnsi="宋体" w:cs="宋体"/>
          <w:b/>
          <w:sz w:val="44"/>
          <w:szCs w:val="44"/>
          <w:highlight w:val="none"/>
        </w:rPr>
        <w:sectPr>
          <w:headerReference r:id="rId4" w:type="first"/>
          <w:footerReference r:id="rId6" w:type="first"/>
          <w:headerReference r:id="rId3" w:type="default"/>
          <w:footerReference r:id="rId5" w:type="default"/>
          <w:pgSz w:w="11906" w:h="16838"/>
          <w:pgMar w:top="1417" w:right="1134" w:bottom="1417" w:left="1417" w:header="1134" w:footer="992" w:gutter="0"/>
          <w:pgNumType w:start="1"/>
          <w:cols w:space="720" w:num="1"/>
          <w:titlePg/>
          <w:docGrid w:type="lines" w:linePitch="333" w:charSpace="0"/>
        </w:sectPr>
      </w:pPr>
      <w:r>
        <w:rPr>
          <w:rFonts w:hint="eastAsia" w:hAnsi="宋体" w:cs="宋体"/>
          <w:b/>
          <w:bCs/>
          <w:color w:val="000000"/>
          <w:sz w:val="36"/>
          <w:szCs w:val="36"/>
          <w:highlight w:val="none"/>
        </w:rPr>
        <w:t>二〇</w:t>
      </w:r>
      <w:r>
        <w:rPr>
          <w:rFonts w:hint="eastAsia" w:hAnsi="宋体" w:cs="宋体"/>
          <w:b/>
          <w:bCs/>
          <w:color w:val="000000"/>
          <w:sz w:val="36"/>
          <w:szCs w:val="36"/>
          <w:highlight w:val="none"/>
          <w:lang w:val="en-US" w:eastAsia="zh-CN"/>
        </w:rPr>
        <w:t>二四</w:t>
      </w:r>
      <w:r>
        <w:rPr>
          <w:rFonts w:hint="eastAsia" w:hAnsi="宋体" w:cs="宋体"/>
          <w:b/>
          <w:bCs/>
          <w:color w:val="000000"/>
          <w:sz w:val="36"/>
          <w:szCs w:val="36"/>
          <w:highlight w:val="none"/>
        </w:rPr>
        <w:t>年</w:t>
      </w:r>
      <w:r>
        <w:rPr>
          <w:rFonts w:hint="eastAsia" w:hAnsi="宋体" w:cs="宋体"/>
          <w:b/>
          <w:bCs/>
          <w:color w:val="000000"/>
          <w:sz w:val="36"/>
          <w:szCs w:val="36"/>
          <w:highlight w:val="none"/>
          <w:lang w:val="en-US" w:eastAsia="zh-CN"/>
        </w:rPr>
        <w:t>一</w:t>
      </w:r>
      <w:r>
        <w:rPr>
          <w:rFonts w:hint="eastAsia" w:hAnsi="宋体" w:cs="宋体"/>
          <w:b/>
          <w:bCs/>
          <w:color w:val="000000"/>
          <w:sz w:val="36"/>
          <w:szCs w:val="36"/>
          <w:highlight w:val="none"/>
        </w:rPr>
        <w:t>月</w:t>
      </w:r>
    </w:p>
    <w:p>
      <w:pPr>
        <w:spacing w:before="166" w:beforeLines="50" w:line="360" w:lineRule="auto"/>
        <w:jc w:val="center"/>
        <w:rPr>
          <w:rFonts w:hAnsi="宋体" w:cs="宋体"/>
          <w:b/>
          <w:sz w:val="44"/>
          <w:szCs w:val="44"/>
          <w:highlight w:val="none"/>
        </w:rPr>
      </w:pPr>
      <w:r>
        <w:rPr>
          <w:rFonts w:hint="eastAsia" w:hAnsi="宋体" w:cs="宋体"/>
          <w:b/>
          <w:sz w:val="44"/>
          <w:szCs w:val="44"/>
          <w:highlight w:val="none"/>
        </w:rPr>
        <w:t>目   录</w:t>
      </w:r>
    </w:p>
    <w:p>
      <w:pPr>
        <w:pStyle w:val="19"/>
        <w:keepNext w:val="0"/>
        <w:keepLines w:val="0"/>
        <w:pageBreakBefore w:val="0"/>
        <w:widowControl w:val="0"/>
        <w:tabs>
          <w:tab w:val="clear" w:pos="1418"/>
          <w:tab w:val="clear" w:pos="8302"/>
        </w:tabs>
        <w:kinsoku/>
        <w:wordWrap/>
        <w:overflowPunct/>
        <w:topLinePunct w:val="0"/>
        <w:autoSpaceDE/>
        <w:autoSpaceDN/>
        <w:bidi w:val="0"/>
        <w:adjustRightInd/>
        <w:snapToGrid/>
        <w:spacing w:line="640" w:lineRule="exact"/>
        <w:textAlignment w:val="auto"/>
        <w:rPr>
          <w:rFonts w:hAnsi="宋体" w:cs="宋体"/>
          <w:sz w:val="30"/>
          <w:szCs w:val="30"/>
          <w:highlight w:val="none"/>
        </w:rPr>
      </w:pPr>
      <w:bookmarkStart w:id="1" w:name="_Toc20858"/>
      <w:bookmarkStart w:id="2" w:name="_Toc16218"/>
      <w:bookmarkStart w:id="3" w:name="_Toc19886"/>
      <w:bookmarkStart w:id="4" w:name="_Toc5293"/>
      <w:bookmarkStart w:id="5" w:name="_Toc21518"/>
      <w:bookmarkStart w:id="6" w:name="_Toc389582033"/>
      <w:bookmarkStart w:id="7" w:name="_Toc20652"/>
      <w:bookmarkStart w:id="8" w:name="_Toc426457691"/>
      <w:bookmarkStart w:id="9" w:name="_Toc363473971"/>
      <w:bookmarkStart w:id="10" w:name="_Toc403077638"/>
      <w:bookmarkStart w:id="11" w:name="_Toc363474016"/>
      <w:r>
        <w:rPr>
          <w:rFonts w:hint="eastAsia" w:hAnsi="宋体" w:cs="宋体"/>
          <w:sz w:val="30"/>
          <w:szCs w:val="30"/>
          <w:highlight w:val="none"/>
        </w:rPr>
        <w:fldChar w:fldCharType="begin"/>
      </w:r>
      <w:r>
        <w:rPr>
          <w:rFonts w:hint="eastAsia" w:hAnsi="宋体" w:cs="宋体"/>
          <w:sz w:val="30"/>
          <w:szCs w:val="30"/>
          <w:highlight w:val="none"/>
        </w:rPr>
        <w:instrText xml:space="preserve">TOC \o "1-3" \h \u </w:instrText>
      </w:r>
      <w:r>
        <w:rPr>
          <w:rFonts w:hint="eastAsia" w:hAnsi="宋体" w:cs="宋体"/>
          <w:sz w:val="30"/>
          <w:szCs w:val="30"/>
          <w:highlight w:val="none"/>
        </w:rPr>
        <w:fldChar w:fldCharType="separate"/>
      </w:r>
      <w:r>
        <w:rPr>
          <w:highlight w:val="none"/>
        </w:rPr>
        <w:fldChar w:fldCharType="begin"/>
      </w:r>
      <w:r>
        <w:rPr>
          <w:highlight w:val="none"/>
        </w:rPr>
        <w:instrText xml:space="preserve"> HYPERLINK \l "_Toc23576" </w:instrText>
      </w:r>
      <w:r>
        <w:rPr>
          <w:highlight w:val="none"/>
        </w:rPr>
        <w:fldChar w:fldCharType="separate"/>
      </w:r>
      <w:r>
        <w:rPr>
          <w:rFonts w:hint="eastAsia" w:hAnsi="宋体" w:cs="宋体"/>
          <w:sz w:val="30"/>
          <w:szCs w:val="30"/>
          <w:highlight w:val="none"/>
        </w:rPr>
        <w:t>第一章  招标公告</w:t>
      </w:r>
      <w:r>
        <w:rPr>
          <w:rFonts w:hint="eastAsia" w:hAnsi="宋体" w:cs="宋体"/>
          <w:sz w:val="30"/>
          <w:szCs w:val="30"/>
          <w:highlight w:val="none"/>
        </w:rPr>
        <w:tab/>
      </w:r>
      <w:r>
        <w:rPr>
          <w:rFonts w:hint="eastAsia" w:hAnsi="宋体" w:cs="宋体"/>
          <w:sz w:val="30"/>
          <w:szCs w:val="30"/>
          <w:highlight w:val="none"/>
          <w:lang w:val="en-US" w:eastAsia="zh-CN"/>
        </w:rPr>
        <w:t>...........................................</w:t>
      </w:r>
      <w:r>
        <w:rPr>
          <w:rFonts w:hint="eastAsia" w:hAnsi="宋体" w:cs="宋体"/>
          <w:sz w:val="30"/>
          <w:szCs w:val="30"/>
          <w:highlight w:val="none"/>
        </w:rPr>
        <w:fldChar w:fldCharType="begin"/>
      </w:r>
      <w:r>
        <w:rPr>
          <w:rFonts w:hint="eastAsia" w:hAnsi="宋体" w:cs="宋体"/>
          <w:sz w:val="30"/>
          <w:szCs w:val="30"/>
          <w:highlight w:val="none"/>
        </w:rPr>
        <w:instrText xml:space="preserve"> PAGEREF _Toc23576 </w:instrText>
      </w:r>
      <w:r>
        <w:rPr>
          <w:rFonts w:hint="eastAsia" w:hAnsi="宋体" w:cs="宋体"/>
          <w:sz w:val="30"/>
          <w:szCs w:val="30"/>
          <w:highlight w:val="none"/>
        </w:rPr>
        <w:fldChar w:fldCharType="separate"/>
      </w:r>
      <w:r>
        <w:rPr>
          <w:rFonts w:hint="eastAsia" w:hAnsi="宋体" w:cs="宋体"/>
          <w:sz w:val="30"/>
          <w:szCs w:val="30"/>
          <w:highlight w:val="none"/>
        </w:rPr>
        <w:t>1</w:t>
      </w:r>
      <w:r>
        <w:rPr>
          <w:rFonts w:hint="eastAsia" w:hAnsi="宋体" w:cs="宋体"/>
          <w:sz w:val="30"/>
          <w:szCs w:val="30"/>
          <w:highlight w:val="none"/>
        </w:rPr>
        <w:fldChar w:fldCharType="end"/>
      </w:r>
      <w:r>
        <w:rPr>
          <w:rFonts w:hint="eastAsia" w:hAnsi="宋体" w:cs="宋体"/>
          <w:sz w:val="30"/>
          <w:szCs w:val="30"/>
          <w:highlight w:val="none"/>
        </w:rPr>
        <w:fldChar w:fldCharType="end"/>
      </w:r>
    </w:p>
    <w:p>
      <w:pPr>
        <w:pStyle w:val="19"/>
        <w:keepNext w:val="0"/>
        <w:keepLines w:val="0"/>
        <w:pageBreakBefore w:val="0"/>
        <w:widowControl w:val="0"/>
        <w:tabs>
          <w:tab w:val="clear" w:pos="1418"/>
          <w:tab w:val="clear" w:pos="8302"/>
        </w:tabs>
        <w:kinsoku/>
        <w:wordWrap/>
        <w:overflowPunct/>
        <w:topLinePunct w:val="0"/>
        <w:autoSpaceDE/>
        <w:autoSpaceDN/>
        <w:bidi w:val="0"/>
        <w:adjustRightInd/>
        <w:snapToGrid/>
        <w:spacing w:line="640" w:lineRule="exact"/>
        <w:textAlignment w:val="auto"/>
        <w:rPr>
          <w:rFonts w:hAnsi="宋体" w:cs="宋体"/>
          <w:sz w:val="30"/>
          <w:szCs w:val="30"/>
          <w:highlight w:val="none"/>
        </w:rPr>
      </w:pPr>
      <w:r>
        <w:rPr>
          <w:highlight w:val="none"/>
        </w:rPr>
        <w:fldChar w:fldCharType="begin"/>
      </w:r>
      <w:r>
        <w:rPr>
          <w:highlight w:val="none"/>
        </w:rPr>
        <w:instrText xml:space="preserve"> HYPERLINK \l "_Toc6096" </w:instrText>
      </w:r>
      <w:r>
        <w:rPr>
          <w:highlight w:val="none"/>
        </w:rPr>
        <w:fldChar w:fldCharType="separate"/>
      </w:r>
      <w:r>
        <w:rPr>
          <w:rFonts w:hint="eastAsia" w:hAnsi="宋体" w:cs="宋体"/>
          <w:sz w:val="30"/>
          <w:szCs w:val="30"/>
          <w:highlight w:val="none"/>
        </w:rPr>
        <w:t>第二章  投标人须知</w:t>
      </w:r>
      <w:r>
        <w:rPr>
          <w:rFonts w:hint="eastAsia" w:hAnsi="宋体" w:cs="宋体"/>
          <w:sz w:val="30"/>
          <w:szCs w:val="30"/>
          <w:highlight w:val="none"/>
          <w:lang w:val="en-US" w:eastAsia="zh-CN"/>
        </w:rPr>
        <w:t>..........................................6</w:t>
      </w:r>
      <w:r>
        <w:rPr>
          <w:rFonts w:hint="eastAsia" w:hAnsi="宋体" w:cs="宋体"/>
          <w:sz w:val="30"/>
          <w:szCs w:val="30"/>
          <w:highlight w:val="none"/>
        </w:rPr>
        <w:fldChar w:fldCharType="end"/>
      </w:r>
    </w:p>
    <w:p>
      <w:pPr>
        <w:pStyle w:val="19"/>
        <w:keepNext w:val="0"/>
        <w:keepLines w:val="0"/>
        <w:pageBreakBefore w:val="0"/>
        <w:widowControl w:val="0"/>
        <w:tabs>
          <w:tab w:val="clear" w:pos="1418"/>
          <w:tab w:val="clear" w:pos="8302"/>
        </w:tabs>
        <w:kinsoku/>
        <w:wordWrap/>
        <w:overflowPunct/>
        <w:topLinePunct w:val="0"/>
        <w:autoSpaceDE/>
        <w:autoSpaceDN/>
        <w:bidi w:val="0"/>
        <w:adjustRightInd/>
        <w:snapToGrid/>
        <w:spacing w:line="640" w:lineRule="exact"/>
        <w:textAlignment w:val="auto"/>
        <w:rPr>
          <w:rFonts w:hint="eastAsia" w:hAnsi="宋体" w:eastAsia="宋体" w:cs="宋体"/>
          <w:sz w:val="30"/>
          <w:szCs w:val="30"/>
          <w:highlight w:val="none"/>
          <w:lang w:val="en-US" w:eastAsia="zh-CN"/>
        </w:rPr>
      </w:pPr>
      <w:r>
        <w:rPr>
          <w:highlight w:val="none"/>
        </w:rPr>
        <w:fldChar w:fldCharType="begin"/>
      </w:r>
      <w:r>
        <w:rPr>
          <w:highlight w:val="none"/>
        </w:rPr>
        <w:instrText xml:space="preserve"> HYPERLINK \l "_Toc6721" </w:instrText>
      </w:r>
      <w:r>
        <w:rPr>
          <w:highlight w:val="none"/>
        </w:rPr>
        <w:fldChar w:fldCharType="separate"/>
      </w:r>
      <w:r>
        <w:rPr>
          <w:rFonts w:hint="eastAsia" w:hAnsi="宋体" w:cs="宋体"/>
          <w:sz w:val="30"/>
          <w:szCs w:val="30"/>
          <w:highlight w:val="none"/>
        </w:rPr>
        <w:t>第三章  合同条款及格式</w:t>
      </w:r>
      <w:r>
        <w:rPr>
          <w:rFonts w:hint="eastAsia" w:hAnsi="宋体" w:cs="宋体"/>
          <w:sz w:val="30"/>
          <w:szCs w:val="30"/>
          <w:highlight w:val="none"/>
          <w:lang w:val="en-US" w:eastAsia="zh-CN"/>
        </w:rPr>
        <w:t>......................................2</w:t>
      </w:r>
      <w:r>
        <w:rPr>
          <w:rFonts w:hint="eastAsia" w:hAnsi="宋体" w:cs="宋体"/>
          <w:sz w:val="30"/>
          <w:szCs w:val="30"/>
          <w:highlight w:val="none"/>
        </w:rPr>
        <w:fldChar w:fldCharType="end"/>
      </w:r>
      <w:r>
        <w:rPr>
          <w:rFonts w:hint="eastAsia" w:hAnsi="宋体" w:cs="宋体"/>
          <w:sz w:val="30"/>
          <w:szCs w:val="30"/>
          <w:highlight w:val="none"/>
          <w:lang w:val="en-US" w:eastAsia="zh-CN"/>
        </w:rPr>
        <w:t>7</w:t>
      </w:r>
    </w:p>
    <w:p>
      <w:pPr>
        <w:pStyle w:val="19"/>
        <w:keepNext w:val="0"/>
        <w:keepLines w:val="0"/>
        <w:pageBreakBefore w:val="0"/>
        <w:widowControl w:val="0"/>
        <w:tabs>
          <w:tab w:val="clear" w:pos="1418"/>
          <w:tab w:val="clear" w:pos="8302"/>
        </w:tabs>
        <w:kinsoku/>
        <w:wordWrap/>
        <w:overflowPunct/>
        <w:topLinePunct w:val="0"/>
        <w:autoSpaceDE/>
        <w:autoSpaceDN/>
        <w:bidi w:val="0"/>
        <w:adjustRightInd/>
        <w:snapToGrid/>
        <w:spacing w:line="640" w:lineRule="exact"/>
        <w:textAlignment w:val="auto"/>
        <w:rPr>
          <w:rFonts w:hAnsi="宋体" w:cs="宋体"/>
          <w:sz w:val="30"/>
          <w:szCs w:val="30"/>
          <w:highlight w:val="none"/>
        </w:rPr>
      </w:pPr>
      <w:r>
        <w:rPr>
          <w:highlight w:val="none"/>
        </w:rPr>
        <w:fldChar w:fldCharType="begin"/>
      </w:r>
      <w:r>
        <w:rPr>
          <w:highlight w:val="none"/>
        </w:rPr>
        <w:instrText xml:space="preserve"> HYPERLINK \l "_Toc8954" </w:instrText>
      </w:r>
      <w:r>
        <w:rPr>
          <w:highlight w:val="none"/>
        </w:rPr>
        <w:fldChar w:fldCharType="separate"/>
      </w:r>
      <w:r>
        <w:rPr>
          <w:rFonts w:hint="eastAsia" w:hAnsi="宋体" w:cs="宋体"/>
          <w:sz w:val="30"/>
          <w:szCs w:val="30"/>
          <w:highlight w:val="none"/>
        </w:rPr>
        <w:t xml:space="preserve">第四章 </w:t>
      </w:r>
      <w:r>
        <w:rPr>
          <w:rFonts w:hint="eastAsia" w:hAnsi="宋体" w:cs="宋体"/>
          <w:sz w:val="30"/>
          <w:szCs w:val="30"/>
          <w:highlight w:val="none"/>
          <w:lang w:val="en-US" w:eastAsia="zh-CN"/>
        </w:rPr>
        <w:t xml:space="preserve"> </w:t>
      </w:r>
      <w:r>
        <w:rPr>
          <w:rFonts w:hint="eastAsia" w:hAnsi="宋体" w:cs="宋体"/>
          <w:sz w:val="30"/>
          <w:szCs w:val="30"/>
          <w:highlight w:val="none"/>
        </w:rPr>
        <w:t>采购内容及技术要求</w:t>
      </w:r>
      <w:r>
        <w:rPr>
          <w:rFonts w:hint="eastAsia" w:hAnsi="宋体" w:cs="宋体"/>
          <w:sz w:val="30"/>
          <w:szCs w:val="30"/>
          <w:highlight w:val="none"/>
          <w:lang w:val="en-US" w:eastAsia="zh-CN"/>
        </w:rPr>
        <w:t>..................................</w:t>
      </w:r>
      <w:r>
        <w:rPr>
          <w:rFonts w:hint="eastAsia" w:hAnsi="宋体" w:cs="宋体"/>
          <w:sz w:val="30"/>
          <w:szCs w:val="30"/>
          <w:highlight w:val="none"/>
        </w:rPr>
        <w:fldChar w:fldCharType="begin"/>
      </w:r>
      <w:r>
        <w:rPr>
          <w:rFonts w:hint="eastAsia" w:hAnsi="宋体" w:cs="宋体"/>
          <w:sz w:val="30"/>
          <w:szCs w:val="30"/>
          <w:highlight w:val="none"/>
        </w:rPr>
        <w:instrText xml:space="preserve"> PAGEREF _Toc8954 </w:instrText>
      </w:r>
      <w:r>
        <w:rPr>
          <w:rFonts w:hint="eastAsia" w:hAnsi="宋体" w:cs="宋体"/>
          <w:sz w:val="30"/>
          <w:szCs w:val="30"/>
          <w:highlight w:val="none"/>
        </w:rPr>
        <w:fldChar w:fldCharType="separate"/>
      </w:r>
      <w:r>
        <w:rPr>
          <w:rFonts w:hint="eastAsia" w:hAnsi="宋体" w:cs="宋体"/>
          <w:sz w:val="30"/>
          <w:szCs w:val="30"/>
          <w:highlight w:val="none"/>
        </w:rPr>
        <w:t>35</w:t>
      </w:r>
      <w:r>
        <w:rPr>
          <w:rFonts w:hint="eastAsia" w:hAnsi="宋体" w:cs="宋体"/>
          <w:sz w:val="30"/>
          <w:szCs w:val="30"/>
          <w:highlight w:val="none"/>
        </w:rPr>
        <w:fldChar w:fldCharType="end"/>
      </w:r>
      <w:r>
        <w:rPr>
          <w:rFonts w:hint="eastAsia" w:hAnsi="宋体" w:cs="宋体"/>
          <w:sz w:val="30"/>
          <w:szCs w:val="30"/>
          <w:highlight w:val="none"/>
        </w:rPr>
        <w:fldChar w:fldCharType="end"/>
      </w:r>
    </w:p>
    <w:p>
      <w:pPr>
        <w:pStyle w:val="19"/>
        <w:keepNext w:val="0"/>
        <w:keepLines w:val="0"/>
        <w:pageBreakBefore w:val="0"/>
        <w:widowControl w:val="0"/>
        <w:tabs>
          <w:tab w:val="clear" w:pos="1418"/>
          <w:tab w:val="clear" w:pos="8302"/>
        </w:tabs>
        <w:kinsoku/>
        <w:wordWrap/>
        <w:overflowPunct/>
        <w:topLinePunct w:val="0"/>
        <w:autoSpaceDE/>
        <w:autoSpaceDN/>
        <w:bidi w:val="0"/>
        <w:adjustRightInd/>
        <w:snapToGrid/>
        <w:spacing w:line="640" w:lineRule="exact"/>
        <w:textAlignment w:val="auto"/>
        <w:rPr>
          <w:rFonts w:hint="eastAsia" w:hAnsi="宋体" w:eastAsia="宋体" w:cs="宋体"/>
          <w:sz w:val="30"/>
          <w:szCs w:val="30"/>
          <w:highlight w:val="none"/>
          <w:lang w:val="en-US" w:eastAsia="zh-CN"/>
        </w:rPr>
      </w:pPr>
      <w:r>
        <w:rPr>
          <w:highlight w:val="none"/>
        </w:rPr>
        <w:fldChar w:fldCharType="begin"/>
      </w:r>
      <w:r>
        <w:rPr>
          <w:highlight w:val="none"/>
        </w:rPr>
        <w:instrText xml:space="preserve"> HYPERLINK \l "_Toc19952" </w:instrText>
      </w:r>
      <w:r>
        <w:rPr>
          <w:highlight w:val="none"/>
        </w:rPr>
        <w:fldChar w:fldCharType="separate"/>
      </w:r>
      <w:r>
        <w:rPr>
          <w:rFonts w:hint="eastAsia" w:hAnsi="宋体" w:cs="宋体"/>
          <w:sz w:val="30"/>
          <w:szCs w:val="30"/>
          <w:highlight w:val="none"/>
        </w:rPr>
        <w:t xml:space="preserve">第五章 </w:t>
      </w:r>
      <w:r>
        <w:rPr>
          <w:rFonts w:hint="eastAsia" w:hAnsi="宋体" w:cs="宋体"/>
          <w:sz w:val="30"/>
          <w:szCs w:val="30"/>
          <w:highlight w:val="none"/>
          <w:lang w:val="en-US" w:eastAsia="zh-CN"/>
        </w:rPr>
        <w:t xml:space="preserve"> </w:t>
      </w:r>
      <w:r>
        <w:rPr>
          <w:rFonts w:hint="eastAsia" w:hAnsi="宋体" w:cs="宋体"/>
          <w:sz w:val="30"/>
          <w:szCs w:val="30"/>
          <w:highlight w:val="none"/>
        </w:rPr>
        <w:t>评标方法</w:t>
      </w:r>
      <w:r>
        <w:rPr>
          <w:rFonts w:hint="eastAsia" w:hAnsi="宋体" w:cs="宋体"/>
          <w:sz w:val="30"/>
          <w:szCs w:val="30"/>
          <w:highlight w:val="none"/>
          <w:lang w:val="en-US" w:eastAsia="zh-CN"/>
        </w:rPr>
        <w:t>............................................4</w:t>
      </w:r>
      <w:r>
        <w:rPr>
          <w:rFonts w:hint="eastAsia" w:hAnsi="宋体" w:cs="宋体"/>
          <w:sz w:val="30"/>
          <w:szCs w:val="30"/>
          <w:highlight w:val="none"/>
        </w:rPr>
        <w:fldChar w:fldCharType="end"/>
      </w:r>
      <w:r>
        <w:rPr>
          <w:rFonts w:hint="eastAsia" w:hAnsi="宋体" w:cs="宋体"/>
          <w:sz w:val="30"/>
          <w:szCs w:val="30"/>
          <w:highlight w:val="none"/>
          <w:lang w:val="en-US" w:eastAsia="zh-CN"/>
        </w:rPr>
        <w:t>4</w:t>
      </w:r>
    </w:p>
    <w:p>
      <w:pPr>
        <w:pStyle w:val="19"/>
        <w:keepNext w:val="0"/>
        <w:keepLines w:val="0"/>
        <w:pageBreakBefore w:val="0"/>
        <w:widowControl w:val="0"/>
        <w:tabs>
          <w:tab w:val="clear" w:pos="1418"/>
          <w:tab w:val="clear" w:pos="8302"/>
        </w:tabs>
        <w:kinsoku/>
        <w:wordWrap/>
        <w:overflowPunct/>
        <w:topLinePunct w:val="0"/>
        <w:autoSpaceDE/>
        <w:autoSpaceDN/>
        <w:bidi w:val="0"/>
        <w:adjustRightInd/>
        <w:snapToGrid/>
        <w:spacing w:line="640" w:lineRule="exact"/>
        <w:textAlignment w:val="auto"/>
        <w:rPr>
          <w:rFonts w:hAnsi="宋体" w:cs="宋体"/>
          <w:sz w:val="30"/>
          <w:szCs w:val="30"/>
          <w:highlight w:val="none"/>
        </w:rPr>
      </w:pPr>
      <w:r>
        <w:rPr>
          <w:highlight w:val="none"/>
        </w:rPr>
        <w:fldChar w:fldCharType="begin"/>
      </w:r>
      <w:r>
        <w:rPr>
          <w:highlight w:val="none"/>
        </w:rPr>
        <w:instrText xml:space="preserve"> HYPERLINK \l "_Toc8126" </w:instrText>
      </w:r>
      <w:r>
        <w:rPr>
          <w:highlight w:val="none"/>
        </w:rPr>
        <w:fldChar w:fldCharType="separate"/>
      </w:r>
      <w:r>
        <w:rPr>
          <w:rFonts w:hint="eastAsia" w:hAnsi="宋体" w:cs="宋体"/>
          <w:bCs/>
          <w:sz w:val="30"/>
          <w:szCs w:val="30"/>
          <w:highlight w:val="none"/>
        </w:rPr>
        <w:t xml:space="preserve">第六章 </w:t>
      </w:r>
      <w:r>
        <w:rPr>
          <w:rFonts w:hint="eastAsia" w:hAnsi="宋体" w:cs="宋体"/>
          <w:bCs/>
          <w:sz w:val="30"/>
          <w:szCs w:val="30"/>
          <w:highlight w:val="none"/>
          <w:lang w:val="en-US" w:eastAsia="zh-CN"/>
        </w:rPr>
        <w:t xml:space="preserve"> </w:t>
      </w:r>
      <w:r>
        <w:rPr>
          <w:rFonts w:hint="eastAsia" w:hAnsi="宋体" w:cs="宋体"/>
          <w:bCs/>
          <w:sz w:val="30"/>
          <w:szCs w:val="30"/>
          <w:highlight w:val="none"/>
        </w:rPr>
        <w:t>投标文件构成及格式</w:t>
      </w:r>
      <w:r>
        <w:rPr>
          <w:rFonts w:hint="eastAsia" w:hAnsi="宋体" w:cs="宋体"/>
          <w:sz w:val="30"/>
          <w:szCs w:val="30"/>
          <w:highlight w:val="none"/>
          <w:lang w:val="en-US" w:eastAsia="zh-CN"/>
        </w:rPr>
        <w:t>..................................</w:t>
      </w:r>
      <w:r>
        <w:rPr>
          <w:rFonts w:hint="eastAsia" w:hAnsi="宋体" w:cs="宋体"/>
          <w:sz w:val="30"/>
          <w:szCs w:val="30"/>
          <w:highlight w:val="none"/>
        </w:rPr>
        <w:fldChar w:fldCharType="begin"/>
      </w:r>
      <w:r>
        <w:rPr>
          <w:rFonts w:hint="eastAsia" w:hAnsi="宋体" w:cs="宋体"/>
          <w:sz w:val="30"/>
          <w:szCs w:val="30"/>
          <w:highlight w:val="none"/>
        </w:rPr>
        <w:instrText xml:space="preserve"> PAGEREF _Toc8126 </w:instrText>
      </w:r>
      <w:r>
        <w:rPr>
          <w:rFonts w:hint="eastAsia" w:hAnsi="宋体" w:cs="宋体"/>
          <w:sz w:val="30"/>
          <w:szCs w:val="30"/>
          <w:highlight w:val="none"/>
        </w:rPr>
        <w:fldChar w:fldCharType="separate"/>
      </w:r>
      <w:r>
        <w:rPr>
          <w:rFonts w:hint="eastAsia" w:hAnsi="宋体" w:cs="宋体"/>
          <w:sz w:val="30"/>
          <w:szCs w:val="30"/>
          <w:highlight w:val="none"/>
        </w:rPr>
        <w:t>53</w:t>
      </w:r>
      <w:r>
        <w:rPr>
          <w:rFonts w:hint="eastAsia" w:hAnsi="宋体" w:cs="宋体"/>
          <w:sz w:val="30"/>
          <w:szCs w:val="30"/>
          <w:highlight w:val="none"/>
        </w:rPr>
        <w:fldChar w:fldCharType="end"/>
      </w:r>
      <w:r>
        <w:rPr>
          <w:rFonts w:hint="eastAsia" w:hAnsi="宋体" w:cs="宋体"/>
          <w:sz w:val="30"/>
          <w:szCs w:val="30"/>
          <w:highlight w:val="none"/>
        </w:rPr>
        <w:fldChar w:fldCharType="end"/>
      </w:r>
    </w:p>
    <w:p>
      <w:pPr>
        <w:pStyle w:val="20"/>
        <w:tabs>
          <w:tab w:val="clear" w:pos="8302"/>
        </w:tabs>
        <w:spacing w:line="360" w:lineRule="auto"/>
        <w:ind w:left="480"/>
        <w:rPr>
          <w:rFonts w:hAnsi="宋体" w:cs="宋体"/>
          <w:sz w:val="30"/>
          <w:szCs w:val="30"/>
          <w:highlight w:val="none"/>
        </w:rPr>
      </w:pPr>
    </w:p>
    <w:p>
      <w:pPr>
        <w:pStyle w:val="13"/>
        <w:tabs>
          <w:tab w:val="right" w:leader="dot" w:pos="9355"/>
        </w:tabs>
        <w:spacing w:line="360" w:lineRule="auto"/>
        <w:ind w:left="960"/>
        <w:rPr>
          <w:highlight w:val="none"/>
        </w:rPr>
      </w:pPr>
    </w:p>
    <w:p>
      <w:pPr>
        <w:pStyle w:val="19"/>
        <w:spacing w:line="900" w:lineRule="exact"/>
        <w:rPr>
          <w:rFonts w:hAnsi="宋体" w:cs="宋体"/>
          <w:highlight w:val="none"/>
        </w:rPr>
      </w:pPr>
      <w:r>
        <w:rPr>
          <w:rFonts w:hint="eastAsia" w:hAnsi="宋体" w:cs="宋体"/>
          <w:szCs w:val="30"/>
          <w:highlight w:val="none"/>
        </w:rPr>
        <w:fldChar w:fldCharType="end"/>
      </w:r>
    </w:p>
    <w:p>
      <w:pPr>
        <w:tabs>
          <w:tab w:val="left" w:pos="525"/>
        </w:tabs>
        <w:spacing w:line="560" w:lineRule="exact"/>
        <w:jc w:val="center"/>
        <w:rPr>
          <w:rFonts w:hAnsi="宋体" w:cs="宋体"/>
          <w:highlight w:val="none"/>
        </w:rPr>
        <w:sectPr>
          <w:footerReference r:id="rId8" w:type="first"/>
          <w:footerReference r:id="rId7" w:type="default"/>
          <w:pgSz w:w="11906" w:h="16838"/>
          <w:pgMar w:top="1417" w:right="1134" w:bottom="1417" w:left="1417" w:header="1134" w:footer="992" w:gutter="0"/>
          <w:pgNumType w:start="1"/>
          <w:cols w:space="720" w:num="1"/>
          <w:titlePg/>
          <w:docGrid w:type="lines" w:linePitch="333" w:charSpace="0"/>
        </w:sectPr>
      </w:pPr>
    </w:p>
    <w:p>
      <w:pPr>
        <w:pStyle w:val="2"/>
        <w:rPr>
          <w:rFonts w:ascii="宋体" w:hAnsi="宋体" w:cs="宋体"/>
          <w:highlight w:val="none"/>
        </w:rPr>
      </w:pPr>
    </w:p>
    <w:p>
      <w:pPr>
        <w:pStyle w:val="4"/>
        <w:spacing w:after="333" w:afterLines="100" w:line="500" w:lineRule="exact"/>
        <w:jc w:val="center"/>
        <w:rPr>
          <w:rFonts w:ascii="宋体" w:eastAsia="宋体" w:cs="宋体"/>
          <w:sz w:val="36"/>
          <w:szCs w:val="36"/>
          <w:highlight w:val="none"/>
        </w:rPr>
      </w:pPr>
      <w:bookmarkStart w:id="12" w:name="_Toc26849"/>
      <w:bookmarkStart w:id="13" w:name="_Toc23576"/>
      <w:bookmarkStart w:id="14" w:name="_Toc28504"/>
      <w:bookmarkStart w:id="15" w:name="_Toc31289"/>
      <w:r>
        <w:rPr>
          <w:rFonts w:hint="eastAsia" w:ascii="宋体" w:eastAsia="宋体" w:cs="宋体"/>
          <w:sz w:val="36"/>
          <w:szCs w:val="36"/>
          <w:highlight w:val="none"/>
        </w:rPr>
        <w:t xml:space="preserve">第一章  </w:t>
      </w:r>
      <w:bookmarkEnd w:id="1"/>
      <w:bookmarkEnd w:id="2"/>
      <w:bookmarkEnd w:id="3"/>
      <w:bookmarkEnd w:id="4"/>
      <w:bookmarkEnd w:id="5"/>
      <w:bookmarkEnd w:id="6"/>
      <w:bookmarkEnd w:id="7"/>
      <w:r>
        <w:rPr>
          <w:rFonts w:hint="eastAsia" w:ascii="宋体" w:eastAsia="宋体" w:cs="宋体"/>
          <w:sz w:val="36"/>
          <w:szCs w:val="36"/>
          <w:highlight w:val="none"/>
        </w:rPr>
        <w:t>招标公告</w:t>
      </w:r>
      <w:bookmarkEnd w:id="8"/>
      <w:bookmarkEnd w:id="12"/>
      <w:bookmarkEnd w:id="13"/>
      <w:bookmarkEnd w:id="14"/>
      <w:bookmarkEnd w:id="15"/>
    </w:p>
    <w:p>
      <w:pPr>
        <w:bidi w:val="0"/>
        <w:rPr>
          <w:rFonts w:hint="eastAsia" w:ascii="宋体" w:hAnsi="宋体" w:eastAsia="宋体" w:cs="宋体"/>
          <w:b w:val="0"/>
          <w:bCs w:val="0"/>
          <w:sz w:val="24"/>
          <w:szCs w:val="24"/>
          <w:highlight w:val="none"/>
        </w:rPr>
      </w:pPr>
      <w:r>
        <w:rPr>
          <w:rStyle w:val="27"/>
          <w:rFonts w:hint="eastAsia" w:ascii="宋体" w:hAnsi="宋体" w:eastAsia="宋体" w:cs="宋体"/>
          <w:b/>
          <w:bCs/>
          <w:i w:val="0"/>
          <w:iCs w:val="0"/>
          <w:caps w:val="0"/>
          <w:color w:val="333333"/>
          <w:spacing w:val="0"/>
          <w:sz w:val="24"/>
          <w:szCs w:val="24"/>
          <w:highlight w:val="none"/>
          <w:shd w:val="clear" w:fill="FFFFFF"/>
          <w:vertAlign w:val="baseline"/>
        </w:rPr>
        <w:t>项目概况</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商南县城区环卫市场化运营项目招标项目的潜在投标人应在陕西省西安市经济技术开发区未央路171-1号银池道拉斯财富中心21楼获取招标文件，并于 2024年02月01日 09时00分 （北京时间）前递交投标文件。</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一、项目基本情况</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项目编号：SXZCZB2024-ZCGK-0116</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项目名称：商南县城区环卫市场化运营项目</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采购方式：公开招标</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预算金额：19,394,042.26元</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采购需求：</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合同包1(商南县城区环卫市场化运营项目):</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合同包预算金额：19,394,042.26元</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合同包最高限价：19,394,042.26元</w:t>
      </w: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38"/>
        <w:gridCol w:w="736"/>
        <w:gridCol w:w="2934"/>
        <w:gridCol w:w="836"/>
        <w:gridCol w:w="950"/>
        <w:gridCol w:w="1800"/>
        <w:gridCol w:w="1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无害固体废物处理服务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商南县环卫市场化运营项目主要服务内容包括环卫保洁、垃圾清运、公厕清扫保洁等，运营公司负责人员招聘、培训管理、清运设备的运营维护，费用主要包括直接费用和管理费用。</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vertAlign w:val="baseline"/>
                <w:lang w:val="en-US" w:eastAsia="zh-CN" w:bidi="ar"/>
              </w:rPr>
              <w:t>19,394,042.26</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vertAlign w:val="baseline"/>
                <w:lang w:val="en-US" w:eastAsia="zh-CN" w:bidi="ar"/>
              </w:rPr>
              <w:t>19,394,042.26</w:t>
            </w:r>
          </w:p>
        </w:tc>
      </w:tr>
    </w:tbl>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本合同包不接受联合体投标</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合同履行期限：无</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val="en-US" w:eastAsia="zh-CN"/>
        </w:rPr>
      </w:pP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二、申请人的资格要求：</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1.满足《中华人民共和国政府采购</w:t>
      </w:r>
      <w:r>
        <w:rPr>
          <w:rFonts w:hint="eastAsia" w:ascii="宋体" w:hAnsi="宋体" w:eastAsia="宋体" w:cs="宋体"/>
          <w:i w:val="0"/>
          <w:iCs w:val="0"/>
          <w:caps w:val="0"/>
          <w:color w:val="333333"/>
          <w:spacing w:val="0"/>
          <w:sz w:val="24"/>
          <w:szCs w:val="24"/>
          <w:highlight w:val="none"/>
          <w:shd w:val="clear" w:fill="FFFFFF"/>
          <w:vertAlign w:val="baseline"/>
        </w:rPr>
        <w:t>法》第二十二条规定;</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2.落实政府采购政策需满足的资格要求：</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合同包1(商南县城区环卫市场化运营项目)落实政府采购政策需满足的资格要求如下:</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（1）《政府采购促进中小企业发展管理办法》（财库〔2020〕46号）；</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（2）《财政部司法部关于政府采购支持监狱企业发展有关问题的通知》（财库〔2014〕68号）；</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（3）《关于促进残疾人就业政府采购政策的通知》（财库〔2017〕141号）；</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（4）《节能产品政府采购实施意见》（财库〔2004〕185号）；</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（5）《环境标志产品政府采购实施的意见》（财库〔2006〕90号）；</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（6）《国务院办公厅关于建立政府强制采购节能产品制度的通知》（国办发〔2007〕51号）；</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（8）《关于印发环境标志产品政府采购品目清单的通知》（财库〔2019〕18号）；</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（9）《关于印发节能产品政府采购品目清单的通知》（财库〔2019〕19号）；</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（10）《市场监督总局关于发布参与实施政府采购节能产品、环境标志产品认证机构名录的公告》（2019年第16号)；</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（11）《关于运用政府采购政策支持乡村产业振兴的通知》（财库〔2021〕19号）；</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（12）陕西省财政厅关于印发《陕西省中小企业政府采购信用融资办法》（陕财办采〔2018〕23号），相关政策、业务流程、办理平台（详见http://www.ccgp-shaanxi.gov.cn/zcdservice/zcd/shanxi/）；</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（13）《陕西省财政厅关于加快推进我省中小企业政府采购信用融资工作的通知》（陕财办采〔2020〕15号）；</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（14）《关于进一步加强政府绿色采购有关问题的通知》（陕财办采〔2021〕29号）；</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（15）《陕西省财政厅陕西省工业和信息化厅关于运用政府采购政策支持首台（套）及创新产品有关事项的通知》（陕财办采〔2021〕17号）；</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（16）《关于进一步加大政府采购支持中小企业力度的通知》（财库〔2022〕19号）、《关于落实政府采购支持中小企业政策有关事项的通知》（陕财办采函〔2022〕10号）；</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（17）其他需要落实的政府采购政策。</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3.本项目的特定资格要求：</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合同包1(商南县城区环卫市场化运营项目)特定资格要求如下:</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（1）提供合格有效的法人或者其他组织的营业执照等证明文件，自然人的身份证明；</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（2）提供法定代表人授权书（附法定代表人、被授权人身份证复印件）法定代表人直接参加投标，须提供法定代表人身份证明及身份证复印件；</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（3）财务状况报告：提供2022年度经审计的财务审计报告（成立时间至提交投标文件截止时间不足一年的可提供成立后任意时段的资产负债表）或开标时间前六个月内银行出具的资信证明；</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（4）税收缴纳证明：提供2023年度已缴纳的至少一个月纳税证明或完税证明，依法免税或无须缴纳税收的投标人，应提供相应证明文件；</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（5）社会保障资金缴纳证明：提供2023年度已缴存的至少一个月的社会保障资金缴存单据或社保机构开具的社会保险参保缴费情况证明，依法不需要缴纳社会保障资金的单位应提供相关证明材料；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6）投标人不得为“信用中国”网站（www.creditchina.gov.cn）中列入失信被执行人、重大税收违法案件当事人名单，不得为中国政府采购网（www.ccgp.gov.cn）政府采购严重违法失信行为记录名单中被财政部门禁止参加政府采购活动的投标人；</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（7）参加政府采购活动前3年内，在经营活动中没有重大违法记录的书面声明；</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（8）提供具有履行合同所必需的设备和专业技术能力的承诺函；</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（9）投标人提供中小企业声明函；</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（10）本项目不接受联合体投标（需提供承诺书）。</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三、获取招标文件</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时间：2024年01月12日至2024年01月18日，每天上午09:00:00至12:00:00，下午14:00:00至17:00:00（北京时间）</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途径：陕西省西安市经济技术开发区未央路171-1号银池道拉斯财富中心21楼</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方式：现场获取</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售价： 0元</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四、提交投标文件截止时间、开标时间和地点</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时间：2024年02月01日 09时00分00秒 （北京时间）</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提交投标文件地点：陕西省西安市经济技术开发区未央路171-1号银池道拉斯财富中心21楼</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开标地点：陕西省西安市经济技术开发区未央路171-1号银池道拉斯财富中心21楼</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五、公告期限</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自本公告发布之日起5个工作日。</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六、其他补充事宜</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（1）投标人领取标书时，请携带单位介绍信及经办人身份证原件及复印件加盖公章；</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（2）请投标人按照《陕西省财政厅关于政府采购供应商注册登记有关事项的通知》中的要求，通过陕西省政府采购网（http://www.ccgp-shaanxi.gov.cn/）注册登记加入陕西省政府采购供应商库。</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（3）本项目专门面向中小企业采购。</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val="en-US" w:eastAsia="zh-CN"/>
        </w:rPr>
      </w:pP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七、对本次招标提出询问，请按以下方式联系。</w:t>
      </w:r>
    </w:p>
    <w:p>
      <w:pPr>
        <w:bidi w:val="0"/>
        <w:rPr>
          <w:rFonts w:hint="eastAsia"/>
          <w:highlight w:val="none"/>
          <w:lang w:val="en-US" w:eastAsia="zh-CN"/>
        </w:rPr>
      </w:pPr>
      <w:r>
        <w:rPr>
          <w:rFonts w:hint="eastAsia"/>
          <w:highlight w:val="none"/>
          <w:lang w:val="en-US" w:eastAsia="zh-CN"/>
        </w:rPr>
        <w:t>1.采购人信息</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b w:val="0"/>
          <w:i w:val="0"/>
          <w:iCs w:val="0"/>
          <w:caps w:val="0"/>
          <w:color w:val="333333"/>
          <w:spacing w:val="0"/>
          <w:sz w:val="24"/>
          <w:szCs w:val="24"/>
          <w:highlight w:val="none"/>
          <w:shd w:val="clear" w:fill="FFFFFF"/>
          <w:vertAlign w:val="baseline"/>
          <w:lang w:val="en-US" w:eastAsia="zh-CN" w:bidi="ar-SA"/>
        </w:rPr>
        <w:t>名称：商南县</w:t>
      </w:r>
      <w:r>
        <w:rPr>
          <w:rFonts w:hint="eastAsia" w:ascii="宋体" w:hAnsi="宋体" w:eastAsia="宋体" w:cs="宋体"/>
          <w:i w:val="0"/>
          <w:iCs w:val="0"/>
          <w:caps w:val="0"/>
          <w:color w:val="333333"/>
          <w:spacing w:val="0"/>
          <w:sz w:val="24"/>
          <w:szCs w:val="24"/>
          <w:highlight w:val="none"/>
          <w:shd w:val="clear" w:fill="FFFFFF"/>
          <w:vertAlign w:val="baseline"/>
        </w:rPr>
        <w:t>城市管理局（本级）</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地址：商南县北环大道凤凰公寓</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联系方式：0914-6322512</w:t>
      </w:r>
    </w:p>
    <w:p>
      <w:pPr>
        <w:bidi w:val="0"/>
        <w:rPr>
          <w:rFonts w:hint="eastAsia"/>
          <w:highlight w:val="none"/>
        </w:rPr>
      </w:pPr>
      <w:r>
        <w:rPr>
          <w:rFonts w:hint="eastAsia"/>
          <w:highlight w:val="none"/>
        </w:rPr>
        <w:t>2.采购代理机构信息</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名称：陕西至诚项目管理集团有限公司</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地址：陕西省西安市经济技术开发区未央路171-1号银池道拉斯财富中心21楼</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联系方式：029-88219779</w:t>
      </w:r>
    </w:p>
    <w:p>
      <w:pPr>
        <w:bidi w:val="0"/>
        <w:rPr>
          <w:rFonts w:hint="eastAsia"/>
          <w:highlight w:val="none"/>
        </w:rPr>
      </w:pPr>
      <w:r>
        <w:rPr>
          <w:rFonts w:hint="eastAsia"/>
          <w:highlight w:val="none"/>
        </w:rPr>
        <w:t>3.项目联系方式</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项目联系人：常瑛、王欣玫、倪沛</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电话：029-88219779</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right"/>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陕西至诚项目管理集团有限公司</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right"/>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2024年01月11日</w:t>
      </w:r>
    </w:p>
    <w:p>
      <w:pPr>
        <w:pStyle w:val="4"/>
        <w:spacing w:after="333" w:afterLines="100" w:line="500" w:lineRule="exact"/>
        <w:jc w:val="center"/>
        <w:rPr>
          <w:rStyle w:val="31"/>
          <w:rFonts w:ascii="宋体" w:eastAsia="宋体" w:cs="宋体"/>
          <w:b/>
          <w:sz w:val="36"/>
          <w:szCs w:val="36"/>
          <w:highlight w:val="none"/>
        </w:rPr>
      </w:pPr>
      <w:r>
        <w:rPr>
          <w:rFonts w:hint="eastAsia" w:ascii="宋体" w:eastAsia="宋体" w:cs="宋体"/>
          <w:highlight w:val="none"/>
        </w:rPr>
        <w:br w:type="page"/>
      </w:r>
      <w:bookmarkStart w:id="16" w:name="_Toc389582035"/>
      <w:bookmarkStart w:id="17" w:name="_Toc2929"/>
      <w:bookmarkStart w:id="18" w:name="_Toc426457692"/>
      <w:bookmarkStart w:id="19" w:name="_Toc6096"/>
      <w:bookmarkStart w:id="20" w:name="_Toc30304"/>
      <w:r>
        <w:rPr>
          <w:rFonts w:hint="eastAsia" w:ascii="宋体" w:eastAsia="宋体" w:cs="宋体"/>
          <w:sz w:val="36"/>
          <w:szCs w:val="36"/>
          <w:highlight w:val="none"/>
        </w:rPr>
        <w:t>第二</w:t>
      </w:r>
      <w:r>
        <w:rPr>
          <w:rStyle w:val="31"/>
          <w:rFonts w:hint="eastAsia" w:ascii="宋体" w:eastAsia="宋体" w:cs="宋体"/>
          <w:b/>
          <w:sz w:val="36"/>
          <w:szCs w:val="36"/>
          <w:highlight w:val="none"/>
        </w:rPr>
        <w:t xml:space="preserve">章  </w:t>
      </w:r>
      <w:bookmarkEnd w:id="16"/>
      <w:bookmarkEnd w:id="17"/>
      <w:r>
        <w:rPr>
          <w:rStyle w:val="31"/>
          <w:rFonts w:hint="eastAsia" w:eastAsia="宋体" w:cs="宋体"/>
          <w:b/>
          <w:sz w:val="36"/>
          <w:szCs w:val="36"/>
          <w:highlight w:val="none"/>
        </w:rPr>
        <w:t>投标人</w:t>
      </w:r>
      <w:r>
        <w:rPr>
          <w:rStyle w:val="31"/>
          <w:rFonts w:hint="eastAsia" w:ascii="宋体" w:eastAsia="宋体" w:cs="宋体"/>
          <w:b/>
          <w:sz w:val="36"/>
          <w:szCs w:val="36"/>
          <w:highlight w:val="none"/>
        </w:rPr>
        <w:t>须知</w:t>
      </w:r>
      <w:bookmarkEnd w:id="18"/>
    </w:p>
    <w:bookmarkEnd w:id="19"/>
    <w:bookmarkEnd w:id="20"/>
    <w:p>
      <w:pPr>
        <w:pStyle w:val="5"/>
        <w:spacing w:before="120" w:after="120"/>
        <w:jc w:val="center"/>
        <w:rPr>
          <w:rFonts w:ascii="宋体" w:hAnsi="宋体" w:cs="宋体"/>
          <w:sz w:val="32"/>
          <w:highlight w:val="none"/>
        </w:rPr>
      </w:pPr>
      <w:bookmarkStart w:id="21" w:name="_Toc11975"/>
      <w:bookmarkStart w:id="22" w:name="_Toc17040"/>
      <w:bookmarkStart w:id="23" w:name="_Toc426457693"/>
      <w:bookmarkStart w:id="24" w:name="_Toc23108"/>
      <w:bookmarkStart w:id="25" w:name="_Toc30222"/>
      <w:r>
        <w:rPr>
          <w:rFonts w:hint="eastAsia" w:ascii="宋体" w:hAnsi="宋体" w:cs="宋体"/>
          <w:sz w:val="32"/>
          <w:highlight w:val="none"/>
        </w:rPr>
        <w:t>投标人须知前附表</w:t>
      </w:r>
      <w:bookmarkEnd w:id="21"/>
      <w:bookmarkEnd w:id="22"/>
      <w:bookmarkEnd w:id="23"/>
      <w:bookmarkEnd w:id="24"/>
      <w:bookmarkEnd w:id="25"/>
    </w:p>
    <w:tbl>
      <w:tblPr>
        <w:tblStyle w:val="24"/>
        <w:tblW w:w="84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0"/>
        <w:gridCol w:w="947"/>
        <w:gridCol w:w="68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9" w:hRule="atLeast"/>
          <w:jc w:val="center"/>
        </w:trPr>
        <w:tc>
          <w:tcPr>
            <w:tcW w:w="590" w:type="dxa"/>
          </w:tcPr>
          <w:p>
            <w:pPr>
              <w:spacing w:before="166" w:beforeLines="50"/>
              <w:jc w:val="center"/>
              <w:rPr>
                <w:rFonts w:hAnsi="宋体" w:cs="宋体"/>
                <w:b/>
                <w:szCs w:val="24"/>
                <w:highlight w:val="none"/>
              </w:rPr>
            </w:pPr>
            <w:r>
              <w:rPr>
                <w:rFonts w:hint="eastAsia" w:hAnsi="宋体" w:cs="宋体"/>
                <w:b/>
                <w:szCs w:val="24"/>
                <w:highlight w:val="none"/>
              </w:rPr>
              <w:t>序号</w:t>
            </w:r>
          </w:p>
        </w:tc>
        <w:tc>
          <w:tcPr>
            <w:tcW w:w="947" w:type="dxa"/>
            <w:vAlign w:val="center"/>
          </w:tcPr>
          <w:p>
            <w:pPr>
              <w:spacing w:before="166" w:beforeLines="50"/>
              <w:jc w:val="center"/>
              <w:rPr>
                <w:rFonts w:hAnsi="宋体" w:cs="宋体"/>
                <w:b/>
                <w:szCs w:val="24"/>
                <w:highlight w:val="none"/>
              </w:rPr>
            </w:pPr>
            <w:r>
              <w:rPr>
                <w:rFonts w:hint="eastAsia" w:hAnsi="宋体" w:cs="宋体"/>
                <w:b/>
                <w:szCs w:val="24"/>
                <w:highlight w:val="none"/>
              </w:rPr>
              <w:t>条款号</w:t>
            </w:r>
          </w:p>
        </w:tc>
        <w:tc>
          <w:tcPr>
            <w:tcW w:w="6867" w:type="dxa"/>
          </w:tcPr>
          <w:p>
            <w:pPr>
              <w:spacing w:before="166" w:beforeLines="50"/>
              <w:jc w:val="center"/>
              <w:rPr>
                <w:rFonts w:hAnsi="宋体" w:cs="宋体"/>
                <w:b/>
                <w:szCs w:val="24"/>
                <w:highlight w:val="none"/>
              </w:rPr>
            </w:pPr>
            <w:r>
              <w:rPr>
                <w:rFonts w:hint="eastAsia" w:hAnsi="宋体" w:cs="宋体"/>
                <w:b/>
                <w:szCs w:val="24"/>
                <w:highlight w:val="none"/>
              </w:rPr>
              <w:t xml:space="preserve">编 列 内 容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590" w:type="dxa"/>
            <w:vAlign w:val="center"/>
          </w:tcPr>
          <w:p>
            <w:pPr>
              <w:jc w:val="center"/>
              <w:rPr>
                <w:rFonts w:hAnsi="宋体" w:cs="宋体"/>
                <w:szCs w:val="24"/>
                <w:highlight w:val="none"/>
              </w:rPr>
            </w:pPr>
            <w:r>
              <w:rPr>
                <w:rFonts w:hint="eastAsia" w:hAnsi="宋体" w:cs="宋体"/>
                <w:szCs w:val="24"/>
                <w:highlight w:val="none"/>
              </w:rPr>
              <w:t>1</w:t>
            </w:r>
          </w:p>
        </w:tc>
        <w:tc>
          <w:tcPr>
            <w:tcW w:w="947" w:type="dxa"/>
            <w:vAlign w:val="center"/>
          </w:tcPr>
          <w:p>
            <w:pPr>
              <w:jc w:val="center"/>
              <w:rPr>
                <w:rFonts w:hAnsi="宋体" w:cs="宋体"/>
                <w:szCs w:val="24"/>
                <w:highlight w:val="none"/>
              </w:rPr>
            </w:pPr>
            <w:r>
              <w:rPr>
                <w:rFonts w:hint="eastAsia" w:hAnsi="宋体" w:cs="宋体"/>
                <w:szCs w:val="24"/>
                <w:highlight w:val="none"/>
              </w:rPr>
              <w:t>2.3</w:t>
            </w:r>
          </w:p>
        </w:tc>
        <w:tc>
          <w:tcPr>
            <w:tcW w:w="6867" w:type="dxa"/>
          </w:tcPr>
          <w:p>
            <w:pPr>
              <w:spacing w:line="360" w:lineRule="auto"/>
              <w:rPr>
                <w:rFonts w:hint="eastAsia" w:hAnsi="宋体" w:eastAsia="宋体" w:cs="宋体"/>
                <w:szCs w:val="24"/>
                <w:highlight w:val="none"/>
                <w:lang w:eastAsia="zh-CN"/>
              </w:rPr>
            </w:pPr>
            <w:r>
              <w:rPr>
                <w:rFonts w:hint="eastAsia" w:hAnsi="宋体" w:cs="宋体"/>
                <w:szCs w:val="24"/>
                <w:highlight w:val="none"/>
              </w:rPr>
              <w:t>采购代理机构：</w:t>
            </w:r>
            <w:r>
              <w:rPr>
                <w:rFonts w:hint="eastAsia"/>
                <w:szCs w:val="24"/>
                <w:highlight w:val="none"/>
                <w:lang w:eastAsia="zh-CN"/>
              </w:rPr>
              <w:t>陕西至诚项目管理集团有限公司</w:t>
            </w:r>
          </w:p>
          <w:p>
            <w:pPr>
              <w:spacing w:line="360" w:lineRule="auto"/>
              <w:rPr>
                <w:rFonts w:hint="eastAsia"/>
                <w:szCs w:val="24"/>
                <w:highlight w:val="none"/>
                <w:lang w:eastAsia="zh-CN"/>
              </w:rPr>
            </w:pPr>
            <w:r>
              <w:rPr>
                <w:rFonts w:hint="eastAsia" w:hAnsi="宋体" w:cs="宋体"/>
                <w:szCs w:val="24"/>
                <w:highlight w:val="none"/>
              </w:rPr>
              <w:t>地        址：</w:t>
            </w:r>
            <w:r>
              <w:rPr>
                <w:rFonts w:hint="eastAsia"/>
                <w:szCs w:val="24"/>
                <w:highlight w:val="none"/>
                <w:lang w:eastAsia="zh-CN"/>
              </w:rPr>
              <w:t>陕西省西安市经济技术开发区未央路171-1号银</w:t>
            </w:r>
          </w:p>
          <w:p>
            <w:pPr>
              <w:spacing w:line="360" w:lineRule="auto"/>
              <w:ind w:firstLine="1680" w:firstLineChars="700"/>
              <w:rPr>
                <w:rFonts w:hint="eastAsia" w:hAnsi="宋体" w:eastAsia="宋体" w:cs="宋体"/>
                <w:szCs w:val="24"/>
                <w:highlight w:val="none"/>
                <w:lang w:eastAsia="zh-CN"/>
              </w:rPr>
            </w:pPr>
            <w:r>
              <w:rPr>
                <w:rFonts w:hint="eastAsia"/>
                <w:szCs w:val="24"/>
                <w:highlight w:val="none"/>
                <w:lang w:eastAsia="zh-CN"/>
              </w:rPr>
              <w:t>池道拉斯财富中心21楼</w:t>
            </w:r>
          </w:p>
          <w:p>
            <w:pPr>
              <w:spacing w:line="360" w:lineRule="auto"/>
              <w:rPr>
                <w:rFonts w:hint="eastAsia" w:ascii="宋体" w:hAnsi="Times New Roman" w:eastAsia="宋体" w:cs="Times New Roman"/>
                <w:szCs w:val="24"/>
                <w:highlight w:val="none"/>
                <w:lang w:eastAsia="zh-CN"/>
              </w:rPr>
            </w:pPr>
            <w:r>
              <w:rPr>
                <w:rFonts w:hint="eastAsia" w:hAnsi="宋体" w:cs="宋体"/>
                <w:szCs w:val="24"/>
                <w:highlight w:val="none"/>
              </w:rPr>
              <w:t>邮        编：</w:t>
            </w:r>
            <w:r>
              <w:rPr>
                <w:rFonts w:hint="eastAsia" w:ascii="宋体" w:hAnsi="Times New Roman" w:eastAsia="宋体" w:cs="Times New Roman"/>
                <w:szCs w:val="24"/>
                <w:highlight w:val="none"/>
                <w:lang w:eastAsia="zh-CN"/>
              </w:rPr>
              <w:t>710016</w:t>
            </w:r>
          </w:p>
          <w:p>
            <w:pPr>
              <w:keepNext w:val="0"/>
              <w:keepLines w:val="0"/>
              <w:widowControl/>
              <w:suppressLineNumbers w:val="0"/>
              <w:jc w:val="left"/>
              <w:rPr>
                <w:rFonts w:hAnsi="宋体" w:cs="宋体"/>
                <w:szCs w:val="24"/>
                <w:highlight w:val="none"/>
              </w:rPr>
            </w:pPr>
            <w:r>
              <w:rPr>
                <w:rFonts w:hint="eastAsia" w:hAnsi="宋体" w:cs="宋体"/>
                <w:szCs w:val="24"/>
                <w:highlight w:val="none"/>
              </w:rPr>
              <w:t>电        话：</w:t>
            </w:r>
            <w:r>
              <w:rPr>
                <w:rFonts w:hint="eastAsia" w:ascii="宋体" w:hAnsi="Times New Roman" w:eastAsia="宋体" w:cs="Times New Roman"/>
                <w:szCs w:val="24"/>
                <w:highlight w:val="none"/>
                <w:lang w:val="en-US" w:eastAsia="zh-CN"/>
              </w:rPr>
              <w:t>029-88219779</w:t>
            </w:r>
          </w:p>
          <w:p>
            <w:pPr>
              <w:spacing w:line="360" w:lineRule="auto"/>
              <w:rPr>
                <w:rFonts w:hAnsi="宋体" w:cs="宋体"/>
                <w:szCs w:val="24"/>
                <w:highlight w:val="none"/>
              </w:rPr>
            </w:pPr>
            <w:r>
              <w:rPr>
                <w:rFonts w:hint="eastAsia" w:hAnsi="宋体" w:cs="宋体"/>
                <w:szCs w:val="24"/>
                <w:highlight w:val="none"/>
              </w:rPr>
              <w:t>传        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590" w:type="dxa"/>
            <w:vAlign w:val="center"/>
          </w:tcPr>
          <w:p>
            <w:pPr>
              <w:jc w:val="center"/>
              <w:rPr>
                <w:rFonts w:hAnsi="宋体" w:cs="宋体"/>
                <w:szCs w:val="24"/>
                <w:highlight w:val="none"/>
              </w:rPr>
            </w:pPr>
            <w:r>
              <w:rPr>
                <w:rFonts w:hint="eastAsia" w:hAnsi="宋体" w:cs="宋体"/>
                <w:szCs w:val="24"/>
                <w:highlight w:val="none"/>
              </w:rPr>
              <w:t>2</w:t>
            </w:r>
          </w:p>
        </w:tc>
        <w:tc>
          <w:tcPr>
            <w:tcW w:w="947" w:type="dxa"/>
            <w:vAlign w:val="center"/>
          </w:tcPr>
          <w:p>
            <w:pPr>
              <w:jc w:val="center"/>
              <w:rPr>
                <w:rFonts w:hAnsi="宋体" w:cs="宋体"/>
                <w:szCs w:val="24"/>
                <w:highlight w:val="none"/>
              </w:rPr>
            </w:pPr>
            <w:r>
              <w:rPr>
                <w:rFonts w:hint="eastAsia" w:hAnsi="宋体" w:cs="宋体"/>
                <w:szCs w:val="24"/>
                <w:highlight w:val="none"/>
              </w:rPr>
              <w:t>3.6</w:t>
            </w:r>
          </w:p>
        </w:tc>
        <w:tc>
          <w:tcPr>
            <w:tcW w:w="6867" w:type="dxa"/>
            <w:vAlign w:val="center"/>
          </w:tcPr>
          <w:p>
            <w:pPr>
              <w:rPr>
                <w:rFonts w:hAnsi="宋体" w:cs="宋体"/>
                <w:szCs w:val="24"/>
                <w:highlight w:val="none"/>
              </w:rPr>
            </w:pPr>
            <w:r>
              <w:rPr>
                <w:rFonts w:hint="eastAsia" w:hAnsi="宋体" w:cs="宋体"/>
                <w:szCs w:val="24"/>
                <w:highlight w:val="none"/>
              </w:rPr>
              <w:t>本项目不接受联合体投标。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8" w:hRule="atLeast"/>
          <w:jc w:val="center"/>
        </w:trPr>
        <w:tc>
          <w:tcPr>
            <w:tcW w:w="590" w:type="dxa"/>
            <w:vAlign w:val="center"/>
          </w:tcPr>
          <w:p>
            <w:pPr>
              <w:jc w:val="center"/>
              <w:rPr>
                <w:rFonts w:hAnsi="宋体" w:cs="宋体"/>
                <w:szCs w:val="24"/>
                <w:highlight w:val="none"/>
              </w:rPr>
            </w:pPr>
            <w:r>
              <w:rPr>
                <w:rFonts w:hint="eastAsia" w:hAnsi="宋体" w:cs="宋体"/>
                <w:szCs w:val="24"/>
                <w:highlight w:val="none"/>
              </w:rPr>
              <w:t>3</w:t>
            </w:r>
          </w:p>
        </w:tc>
        <w:tc>
          <w:tcPr>
            <w:tcW w:w="947" w:type="dxa"/>
            <w:vAlign w:val="center"/>
          </w:tcPr>
          <w:p>
            <w:pPr>
              <w:jc w:val="center"/>
              <w:rPr>
                <w:rFonts w:hAnsi="宋体" w:cs="宋体"/>
                <w:szCs w:val="24"/>
                <w:highlight w:val="none"/>
              </w:rPr>
            </w:pPr>
            <w:r>
              <w:rPr>
                <w:rFonts w:hint="eastAsia" w:hAnsi="宋体" w:cs="宋体"/>
                <w:szCs w:val="24"/>
                <w:highlight w:val="none"/>
              </w:rPr>
              <w:t>9.2</w:t>
            </w:r>
          </w:p>
        </w:tc>
        <w:tc>
          <w:tcPr>
            <w:tcW w:w="6867" w:type="dxa"/>
            <w:vAlign w:val="center"/>
          </w:tcPr>
          <w:p>
            <w:pPr>
              <w:rPr>
                <w:rFonts w:hAnsi="宋体" w:cs="宋体"/>
                <w:szCs w:val="24"/>
                <w:highlight w:val="none"/>
              </w:rPr>
            </w:pPr>
            <w:r>
              <w:rPr>
                <w:rFonts w:hint="eastAsia" w:hAnsi="宋体" w:cs="宋体"/>
                <w:szCs w:val="24"/>
                <w:highlight w:val="none"/>
              </w:rPr>
              <w:t>不允许提供备选方案。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590" w:type="dxa"/>
            <w:vAlign w:val="center"/>
          </w:tcPr>
          <w:p>
            <w:pPr>
              <w:jc w:val="center"/>
              <w:rPr>
                <w:rFonts w:hAnsi="宋体" w:cs="宋体"/>
                <w:szCs w:val="24"/>
                <w:highlight w:val="none"/>
              </w:rPr>
            </w:pPr>
            <w:r>
              <w:rPr>
                <w:rFonts w:hint="eastAsia" w:hAnsi="宋体" w:cs="宋体"/>
                <w:szCs w:val="24"/>
                <w:highlight w:val="none"/>
              </w:rPr>
              <w:t>4</w:t>
            </w:r>
          </w:p>
        </w:tc>
        <w:tc>
          <w:tcPr>
            <w:tcW w:w="947" w:type="dxa"/>
            <w:vAlign w:val="center"/>
          </w:tcPr>
          <w:p>
            <w:pPr>
              <w:jc w:val="center"/>
              <w:rPr>
                <w:rFonts w:hAnsi="宋体" w:cs="宋体"/>
                <w:szCs w:val="24"/>
                <w:highlight w:val="none"/>
              </w:rPr>
            </w:pPr>
            <w:r>
              <w:rPr>
                <w:rFonts w:hint="eastAsia" w:hAnsi="宋体" w:cs="宋体"/>
                <w:szCs w:val="24"/>
                <w:highlight w:val="none"/>
              </w:rPr>
              <w:t>9.3</w:t>
            </w:r>
          </w:p>
        </w:tc>
        <w:tc>
          <w:tcPr>
            <w:tcW w:w="6867" w:type="dxa"/>
            <w:vAlign w:val="center"/>
          </w:tcPr>
          <w:p>
            <w:pPr>
              <w:spacing w:line="360" w:lineRule="auto"/>
              <w:rPr>
                <w:rFonts w:hAnsi="宋体" w:cs="宋体"/>
                <w:szCs w:val="24"/>
                <w:highlight w:val="none"/>
              </w:rPr>
            </w:pPr>
            <w:r>
              <w:rPr>
                <w:rFonts w:hint="eastAsia" w:hAnsi="宋体" w:cs="宋体"/>
                <w:szCs w:val="24"/>
                <w:highlight w:val="none"/>
              </w:rPr>
              <w:t>本次投标的最小单元为“项目”，</w:t>
            </w:r>
            <w:r>
              <w:rPr>
                <w:rFonts w:hint="eastAsia" w:hAnsi="宋体" w:cs="宋体"/>
                <w:szCs w:val="24"/>
                <w:highlight w:val="none"/>
                <w:lang w:eastAsia="zh-CN"/>
              </w:rPr>
              <w:t>不允许分包和转包，</w:t>
            </w:r>
            <w:r>
              <w:rPr>
                <w:rFonts w:hint="eastAsia" w:hAnsi="宋体" w:cs="宋体"/>
                <w:szCs w:val="24"/>
                <w:highlight w:val="none"/>
              </w:rPr>
              <w:t>投标人可根据自身的资质情况和经营范围进行投标，但不得将其子目自行分解或针对该项目中的品目进行不完全投标，任何不完全的投标将按无效投标处理。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8" w:hRule="atLeast"/>
          <w:jc w:val="center"/>
        </w:trPr>
        <w:tc>
          <w:tcPr>
            <w:tcW w:w="590" w:type="dxa"/>
            <w:vAlign w:val="center"/>
          </w:tcPr>
          <w:p>
            <w:pPr>
              <w:spacing w:after="166" w:afterLines="50"/>
              <w:jc w:val="center"/>
              <w:rPr>
                <w:rFonts w:hAnsi="宋体" w:cs="宋体"/>
                <w:szCs w:val="24"/>
                <w:highlight w:val="none"/>
              </w:rPr>
            </w:pPr>
            <w:r>
              <w:rPr>
                <w:rFonts w:hint="eastAsia" w:hAnsi="宋体" w:cs="宋体"/>
                <w:szCs w:val="24"/>
                <w:highlight w:val="none"/>
              </w:rPr>
              <w:t>5</w:t>
            </w:r>
          </w:p>
        </w:tc>
        <w:tc>
          <w:tcPr>
            <w:tcW w:w="947" w:type="dxa"/>
            <w:vAlign w:val="center"/>
          </w:tcPr>
          <w:p>
            <w:pPr>
              <w:spacing w:after="166" w:afterLines="50"/>
              <w:jc w:val="center"/>
              <w:rPr>
                <w:rFonts w:hAnsi="宋体" w:cs="宋体"/>
                <w:szCs w:val="24"/>
                <w:highlight w:val="none"/>
              </w:rPr>
            </w:pPr>
            <w:r>
              <w:rPr>
                <w:rFonts w:hint="eastAsia" w:hAnsi="宋体" w:cs="宋体"/>
                <w:szCs w:val="24"/>
                <w:highlight w:val="none"/>
              </w:rPr>
              <w:t>11.1</w:t>
            </w:r>
          </w:p>
        </w:tc>
        <w:tc>
          <w:tcPr>
            <w:tcW w:w="6867" w:type="dxa"/>
          </w:tcPr>
          <w:p>
            <w:pPr>
              <w:spacing w:line="500" w:lineRule="exact"/>
              <w:rPr>
                <w:rFonts w:hAnsi="宋体" w:cs="宋体"/>
                <w:szCs w:val="24"/>
                <w:highlight w:val="none"/>
              </w:rPr>
            </w:pPr>
            <w:r>
              <w:rPr>
                <w:rFonts w:hint="eastAsia" w:hAnsi="宋体" w:cs="宋体"/>
                <w:szCs w:val="24"/>
                <w:highlight w:val="none"/>
              </w:rPr>
              <w:t>投标报价：</w:t>
            </w:r>
            <w:bookmarkStart w:id="26" w:name="OLE_LINK11"/>
            <w:r>
              <w:rPr>
                <w:rFonts w:hint="eastAsia" w:hAnsi="宋体" w:cs="宋体"/>
                <w:szCs w:val="24"/>
                <w:highlight w:val="none"/>
              </w:rPr>
              <w:t>投标人应在投标报价表中标明完成本次招标所要求的服务且验收合格的所有费用，包括但不限于人工费、保洁装备费、机械费、油料费、维修保养费、保险费、应急费、税金等其他一切相关费用。任何有选择的报价将不予接受，否则按无效投标处理。</w:t>
            </w:r>
            <w:bookmarkEnd w:id="26"/>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0" w:type="dxa"/>
            <w:vAlign w:val="center"/>
          </w:tcPr>
          <w:p>
            <w:pPr>
              <w:jc w:val="center"/>
              <w:rPr>
                <w:rFonts w:hAnsi="宋体" w:cs="宋体"/>
                <w:szCs w:val="24"/>
                <w:highlight w:val="none"/>
              </w:rPr>
            </w:pPr>
            <w:r>
              <w:rPr>
                <w:rFonts w:hint="eastAsia" w:hAnsi="宋体" w:cs="宋体"/>
                <w:szCs w:val="24"/>
                <w:highlight w:val="none"/>
              </w:rPr>
              <w:t>6</w:t>
            </w:r>
          </w:p>
        </w:tc>
        <w:tc>
          <w:tcPr>
            <w:tcW w:w="947" w:type="dxa"/>
            <w:vAlign w:val="center"/>
          </w:tcPr>
          <w:p>
            <w:pPr>
              <w:jc w:val="center"/>
              <w:rPr>
                <w:rFonts w:hAnsi="宋体" w:cs="宋体"/>
                <w:szCs w:val="24"/>
                <w:highlight w:val="none"/>
              </w:rPr>
            </w:pPr>
            <w:r>
              <w:rPr>
                <w:rFonts w:hint="eastAsia" w:hAnsi="宋体" w:cs="宋体"/>
                <w:szCs w:val="24"/>
                <w:highlight w:val="none"/>
              </w:rPr>
              <w:t>12.1</w:t>
            </w:r>
          </w:p>
        </w:tc>
        <w:tc>
          <w:tcPr>
            <w:tcW w:w="6867" w:type="dxa"/>
          </w:tcPr>
          <w:p>
            <w:pPr>
              <w:spacing w:line="500" w:lineRule="exact"/>
              <w:rPr>
                <w:rFonts w:hAnsi="宋体" w:cs="宋体"/>
                <w:szCs w:val="24"/>
                <w:highlight w:val="none"/>
              </w:rPr>
            </w:pPr>
            <w:r>
              <w:rPr>
                <w:rFonts w:hint="eastAsia" w:hAnsi="宋体" w:cs="宋体"/>
                <w:szCs w:val="24"/>
                <w:highlight w:val="none"/>
              </w:rPr>
              <w:t>特定资格条件：</w:t>
            </w:r>
          </w:p>
          <w:p>
            <w:pPr>
              <w:pStyle w:val="21"/>
              <w:spacing w:before="0" w:beforeAutospacing="0" w:after="0" w:afterAutospacing="0" w:line="360" w:lineRule="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（1）提供合格有效的法人或者其他组织的营业执照等证明文件，自然人的身份证明；</w:t>
            </w:r>
            <w:r>
              <w:rPr>
                <w:rFonts w:hint="eastAsia" w:ascii="宋体" w:hAnsi="宋体" w:eastAsia="宋体" w:cs="宋体"/>
                <w:sz w:val="24"/>
                <w:szCs w:val="24"/>
                <w:highlight w:val="none"/>
                <w:lang w:val="en-US" w:eastAsia="zh-CN" w:bidi="ar-SA"/>
              </w:rPr>
              <w:br w:type="textWrapping"/>
            </w:r>
            <w:r>
              <w:rPr>
                <w:rFonts w:hint="eastAsia" w:ascii="宋体" w:hAnsi="宋体" w:eastAsia="宋体" w:cs="宋体"/>
                <w:sz w:val="24"/>
                <w:szCs w:val="24"/>
                <w:highlight w:val="none"/>
                <w:lang w:val="en-US" w:eastAsia="zh-CN" w:bidi="ar-SA"/>
              </w:rPr>
              <w:t>（2）提供法定代表人授权书（附法定代表人、被授权人身份证复印件）法定代表人直接参加投标，须提供法定代表人身份证明及身份证复印件；</w:t>
            </w:r>
            <w:r>
              <w:rPr>
                <w:rFonts w:hint="eastAsia" w:ascii="宋体" w:hAnsi="宋体" w:eastAsia="宋体" w:cs="宋体"/>
                <w:sz w:val="24"/>
                <w:szCs w:val="24"/>
                <w:highlight w:val="none"/>
                <w:lang w:val="en-US" w:eastAsia="zh-CN" w:bidi="ar-SA"/>
              </w:rPr>
              <w:br w:type="textWrapping"/>
            </w:r>
            <w:r>
              <w:rPr>
                <w:rFonts w:hint="eastAsia" w:ascii="宋体" w:hAnsi="宋体" w:eastAsia="宋体" w:cs="宋体"/>
                <w:sz w:val="24"/>
                <w:szCs w:val="24"/>
                <w:highlight w:val="none"/>
                <w:lang w:val="en-US" w:eastAsia="zh-CN" w:bidi="ar-SA"/>
              </w:rPr>
              <w:t>（3）财务状况报告：提供2022年度经审计的财务审计报告（成立时间至提交投标文件截止时间不足一年的可提供成立后任意时段的资产负债表）或开标时间前六个月内银行出具的资信证明；</w:t>
            </w:r>
            <w:r>
              <w:rPr>
                <w:rFonts w:hint="eastAsia" w:ascii="宋体" w:hAnsi="宋体" w:eastAsia="宋体" w:cs="宋体"/>
                <w:sz w:val="24"/>
                <w:szCs w:val="24"/>
                <w:highlight w:val="none"/>
                <w:lang w:val="en-US" w:eastAsia="zh-CN" w:bidi="ar-SA"/>
              </w:rPr>
              <w:br w:type="textWrapping"/>
            </w:r>
            <w:r>
              <w:rPr>
                <w:rFonts w:hint="eastAsia" w:ascii="宋体" w:hAnsi="宋体" w:eastAsia="宋体" w:cs="宋体"/>
                <w:sz w:val="24"/>
                <w:szCs w:val="24"/>
                <w:highlight w:val="none"/>
                <w:lang w:val="en-US" w:eastAsia="zh-CN" w:bidi="ar-SA"/>
              </w:rPr>
              <w:t>（4）税收缴纳证明：提供 2023年度已缴纳的至少一个月纳税证明或完税证明，依法免税或无须缴纳税收的投标人，应提供相应证明文件；</w:t>
            </w:r>
            <w:r>
              <w:rPr>
                <w:rFonts w:hint="eastAsia" w:ascii="宋体" w:hAnsi="宋体" w:eastAsia="宋体" w:cs="宋体"/>
                <w:sz w:val="24"/>
                <w:szCs w:val="24"/>
                <w:highlight w:val="none"/>
                <w:lang w:val="en-US" w:eastAsia="zh-CN" w:bidi="ar-SA"/>
              </w:rPr>
              <w:br w:type="textWrapping"/>
            </w:r>
            <w:r>
              <w:rPr>
                <w:rFonts w:hint="eastAsia" w:ascii="宋体" w:hAnsi="宋体" w:eastAsia="宋体" w:cs="宋体"/>
                <w:sz w:val="24"/>
                <w:szCs w:val="24"/>
                <w:highlight w:val="none"/>
                <w:lang w:val="en-US" w:eastAsia="zh-CN" w:bidi="ar-SA"/>
              </w:rPr>
              <w:t>（5）社会保障资金缴纳证明：提供 2023年度已缴存的至少一个月的社会保障资金缴存单据或社保机构开具的社会保险参保缴费情况证明，依法不需要缴纳社会保障资金的单位应提供相关证明材料；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highlight w:val="none"/>
                <w:lang w:val="en-US" w:eastAsia="zh-CN" w:bidi="ar-SA"/>
              </w:rPr>
              <w:br w:type="textWrapping"/>
            </w:r>
            <w:r>
              <w:rPr>
                <w:rFonts w:hint="eastAsia" w:ascii="宋体" w:hAnsi="宋体" w:eastAsia="宋体" w:cs="宋体"/>
                <w:sz w:val="24"/>
                <w:szCs w:val="24"/>
                <w:highlight w:val="none"/>
                <w:lang w:val="en-US" w:eastAsia="zh-CN" w:bidi="ar-SA"/>
              </w:rPr>
              <w:t>（6）投标人不得为“信用中国”网站（www.creditchina.gov.cn）中列入失信被执行人、重大税收违法案件当事人名单，不得为中国政府采购网（www.ccgp.gov.cn）政府采购严重违法失信行为记录名单中被财政部门禁止参加政府采购活动的投标人；</w:t>
            </w:r>
            <w:r>
              <w:rPr>
                <w:rFonts w:hint="eastAsia" w:ascii="宋体" w:hAnsi="宋体" w:eastAsia="宋体" w:cs="宋体"/>
                <w:sz w:val="24"/>
                <w:szCs w:val="24"/>
                <w:highlight w:val="none"/>
                <w:lang w:val="en-US" w:eastAsia="zh-CN" w:bidi="ar-SA"/>
              </w:rPr>
              <w:br w:type="textWrapping"/>
            </w:r>
            <w:r>
              <w:rPr>
                <w:rFonts w:hint="eastAsia" w:ascii="宋体" w:hAnsi="宋体" w:eastAsia="宋体" w:cs="宋体"/>
                <w:sz w:val="24"/>
                <w:szCs w:val="24"/>
                <w:highlight w:val="none"/>
                <w:lang w:val="en-US" w:eastAsia="zh-CN" w:bidi="ar-SA"/>
              </w:rPr>
              <w:t>（7）参加政府采购活动前3年内，在经营活动中没有重大违法记录的书面声明；</w:t>
            </w:r>
            <w:r>
              <w:rPr>
                <w:rFonts w:hint="eastAsia" w:ascii="宋体" w:hAnsi="宋体" w:eastAsia="宋体" w:cs="宋体"/>
                <w:sz w:val="24"/>
                <w:szCs w:val="24"/>
                <w:highlight w:val="none"/>
                <w:lang w:val="en-US" w:eastAsia="zh-CN" w:bidi="ar-SA"/>
              </w:rPr>
              <w:br w:type="textWrapping"/>
            </w:r>
            <w:r>
              <w:rPr>
                <w:rFonts w:hint="eastAsia" w:ascii="宋体" w:hAnsi="宋体" w:eastAsia="宋体" w:cs="宋体"/>
                <w:sz w:val="24"/>
                <w:szCs w:val="24"/>
                <w:highlight w:val="none"/>
                <w:lang w:val="en-US" w:eastAsia="zh-CN" w:bidi="ar-SA"/>
              </w:rPr>
              <w:t>（8）提供具有履行合同所必需的设备和专业技术能力的承诺函；</w:t>
            </w:r>
            <w:r>
              <w:rPr>
                <w:rFonts w:hint="eastAsia" w:ascii="宋体" w:hAnsi="宋体" w:eastAsia="宋体" w:cs="宋体"/>
                <w:sz w:val="24"/>
                <w:szCs w:val="24"/>
                <w:highlight w:val="none"/>
                <w:lang w:val="en-US" w:eastAsia="zh-CN" w:bidi="ar-SA"/>
              </w:rPr>
              <w:br w:type="textWrapping"/>
            </w:r>
            <w:r>
              <w:rPr>
                <w:rFonts w:hint="eastAsia" w:ascii="宋体" w:hAnsi="宋体" w:eastAsia="宋体" w:cs="宋体"/>
                <w:sz w:val="24"/>
                <w:szCs w:val="24"/>
                <w:highlight w:val="none"/>
                <w:lang w:val="en-US" w:eastAsia="zh-CN" w:bidi="ar-SA"/>
              </w:rPr>
              <w:t>（9）投标人提供中小企业声明函；</w:t>
            </w:r>
            <w:r>
              <w:rPr>
                <w:rFonts w:hint="eastAsia" w:ascii="宋体" w:hAnsi="宋体" w:eastAsia="宋体" w:cs="宋体"/>
                <w:sz w:val="24"/>
                <w:szCs w:val="24"/>
                <w:highlight w:val="none"/>
                <w:lang w:val="en-US" w:eastAsia="zh-CN" w:bidi="ar-SA"/>
              </w:rPr>
              <w:br w:type="textWrapping"/>
            </w:r>
            <w:r>
              <w:rPr>
                <w:rFonts w:hint="eastAsia" w:ascii="宋体" w:hAnsi="宋体" w:eastAsia="宋体" w:cs="宋体"/>
                <w:sz w:val="24"/>
                <w:szCs w:val="24"/>
                <w:highlight w:val="none"/>
                <w:lang w:val="en-US" w:eastAsia="zh-CN" w:bidi="ar-SA"/>
              </w:rPr>
              <w:t>（10）本项目不接受联合体投标（需提供承诺书）。</w:t>
            </w:r>
          </w:p>
          <w:p>
            <w:pPr>
              <w:spacing w:line="520" w:lineRule="exact"/>
              <w:ind w:firstLine="480"/>
              <w:rPr>
                <w:rFonts w:hAnsi="宋体" w:cs="宋体"/>
                <w:szCs w:val="24"/>
                <w:highlight w:val="none"/>
              </w:rPr>
            </w:pPr>
            <w:r>
              <w:rPr>
                <w:rFonts w:hint="eastAsia" w:hAnsi="宋体"/>
                <w:b/>
                <w:highlight w:val="none"/>
              </w:rPr>
              <w:t>以上1-</w:t>
            </w:r>
            <w:r>
              <w:rPr>
                <w:rFonts w:hint="eastAsia" w:hAnsi="宋体"/>
                <w:b/>
                <w:highlight w:val="none"/>
                <w:lang w:val="en-US" w:eastAsia="zh-CN"/>
              </w:rPr>
              <w:t>10</w:t>
            </w:r>
            <w:r>
              <w:rPr>
                <w:rFonts w:hint="eastAsia" w:hAnsi="宋体"/>
                <w:b/>
                <w:highlight w:val="none"/>
              </w:rPr>
              <w:t>项为必备资质，缺一项或某项达不到要求，按无效投标处理。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0" w:type="dxa"/>
            <w:vAlign w:val="center"/>
          </w:tcPr>
          <w:p>
            <w:pPr>
              <w:jc w:val="center"/>
              <w:rPr>
                <w:rFonts w:hAnsi="宋体" w:cs="宋体"/>
                <w:szCs w:val="24"/>
                <w:highlight w:val="none"/>
              </w:rPr>
            </w:pPr>
            <w:r>
              <w:rPr>
                <w:rFonts w:hint="eastAsia" w:hAnsi="宋体" w:cs="宋体"/>
                <w:szCs w:val="24"/>
                <w:highlight w:val="none"/>
              </w:rPr>
              <w:t>7</w:t>
            </w:r>
          </w:p>
        </w:tc>
        <w:tc>
          <w:tcPr>
            <w:tcW w:w="947" w:type="dxa"/>
            <w:vAlign w:val="center"/>
          </w:tcPr>
          <w:p>
            <w:pPr>
              <w:jc w:val="center"/>
              <w:rPr>
                <w:rFonts w:hAnsi="宋体" w:cs="宋体"/>
                <w:szCs w:val="24"/>
                <w:highlight w:val="none"/>
              </w:rPr>
            </w:pPr>
            <w:r>
              <w:rPr>
                <w:rFonts w:hint="eastAsia" w:hAnsi="宋体" w:cs="宋体"/>
                <w:szCs w:val="24"/>
                <w:highlight w:val="none"/>
              </w:rPr>
              <w:t>14.4</w:t>
            </w:r>
          </w:p>
        </w:tc>
        <w:tc>
          <w:tcPr>
            <w:tcW w:w="6867" w:type="dxa"/>
          </w:tcPr>
          <w:p>
            <w:pPr>
              <w:spacing w:line="360" w:lineRule="auto"/>
              <w:jc w:val="both"/>
              <w:rPr>
                <w:rFonts w:hint="eastAsia" w:hAnsi="宋体" w:eastAsia="宋体"/>
                <w:b/>
                <w:bCs/>
                <w:color w:val="auto"/>
                <w:szCs w:val="24"/>
                <w:highlight w:val="none"/>
                <w:lang w:eastAsia="zh-CN"/>
              </w:rPr>
            </w:pPr>
            <w:r>
              <w:rPr>
                <w:rFonts w:hint="eastAsia" w:hAnsi="宋体"/>
                <w:b/>
                <w:bCs/>
                <w:color w:val="auto"/>
                <w:szCs w:val="24"/>
                <w:highlight w:val="none"/>
                <w:lang w:val="en-US" w:eastAsia="zh-CN"/>
              </w:rPr>
              <w:t>投标</w:t>
            </w:r>
            <w:r>
              <w:rPr>
                <w:rFonts w:hint="eastAsia" w:hAnsi="宋体"/>
                <w:b/>
                <w:bCs/>
                <w:color w:val="auto"/>
                <w:szCs w:val="24"/>
                <w:highlight w:val="none"/>
              </w:rPr>
              <w:t>保证金</w:t>
            </w:r>
            <w:r>
              <w:rPr>
                <w:rFonts w:hint="eastAsia" w:hAnsi="宋体"/>
                <w:b/>
                <w:bCs/>
                <w:color w:val="auto"/>
                <w:szCs w:val="24"/>
                <w:highlight w:val="none"/>
                <w:lang w:eastAsia="zh-CN"/>
              </w:rPr>
              <w:t>（</w:t>
            </w:r>
            <w:r>
              <w:rPr>
                <w:rFonts w:hint="eastAsia" w:hAnsi="宋体"/>
                <w:b/>
                <w:bCs/>
                <w:color w:val="auto"/>
                <w:szCs w:val="24"/>
                <w:highlight w:val="none"/>
                <w:lang w:val="en-US" w:eastAsia="zh-CN"/>
              </w:rPr>
              <w:t>本项目不缴纳投标保证金，本文件中涉及保证金的相关描述均不适用。</w:t>
            </w:r>
            <w:r>
              <w:rPr>
                <w:rFonts w:hint="eastAsia" w:hAnsi="宋体"/>
                <w:b/>
                <w:bCs/>
                <w:color w:val="auto"/>
                <w:szCs w:val="24"/>
                <w:highlight w:val="none"/>
                <w:lang w:eastAsia="zh-CN"/>
              </w:rPr>
              <w:t>）</w:t>
            </w:r>
          </w:p>
          <w:p>
            <w:pPr>
              <w:spacing w:line="500" w:lineRule="exact"/>
              <w:ind w:firstLine="480"/>
              <w:rPr>
                <w:rFonts w:hAnsi="宋体" w:cs="宋体"/>
                <w:szCs w:val="24"/>
                <w:highlight w:val="none"/>
              </w:rPr>
            </w:pPr>
            <w:r>
              <w:rPr>
                <w:rFonts w:hint="eastAsia" w:hAnsi="宋体" w:cs="宋体"/>
                <w:szCs w:val="24"/>
                <w:highlight w:val="none"/>
              </w:rPr>
              <w:t>投标保证金的有效期与投标有效期一致。担保机构出具的保函的有效期为投标有效期至少延长一个月。</w:t>
            </w:r>
          </w:p>
          <w:p>
            <w:pPr>
              <w:spacing w:line="500" w:lineRule="exact"/>
              <w:ind w:firstLine="480"/>
              <w:rPr>
                <w:rFonts w:hAnsi="宋体" w:cs="宋体"/>
                <w:szCs w:val="24"/>
                <w:highlight w:val="none"/>
              </w:rPr>
            </w:pPr>
            <w:r>
              <w:rPr>
                <w:rFonts w:hint="eastAsia" w:hAnsi="宋体" w:cs="宋体"/>
                <w:szCs w:val="24"/>
                <w:highlight w:val="none"/>
              </w:rPr>
              <w:t>投标保证金的交纳形式：转账、电汇或担保机构保函。</w:t>
            </w:r>
          </w:p>
          <w:p>
            <w:pPr>
              <w:spacing w:line="500" w:lineRule="exact"/>
              <w:ind w:firstLine="480"/>
              <w:rPr>
                <w:rFonts w:hAnsi="宋体" w:cs="宋体"/>
                <w:szCs w:val="24"/>
                <w:highlight w:val="none"/>
              </w:rPr>
            </w:pPr>
            <w:r>
              <w:rPr>
                <w:rFonts w:hint="eastAsia" w:hAnsi="宋体" w:cs="宋体"/>
                <w:szCs w:val="24"/>
                <w:highlight w:val="none"/>
              </w:rPr>
              <w:t>投标人以银行转账、电汇</w:t>
            </w:r>
            <w:r>
              <w:rPr>
                <w:rFonts w:hint="eastAsia" w:hAnsi="宋体" w:cs="宋体"/>
                <w:szCs w:val="24"/>
                <w:highlight w:val="none"/>
                <w:lang w:eastAsia="zh-CN"/>
              </w:rPr>
              <w:t>等</w:t>
            </w:r>
            <w:r>
              <w:rPr>
                <w:rFonts w:hint="eastAsia" w:hAnsi="宋体" w:cs="宋体"/>
                <w:szCs w:val="24"/>
                <w:highlight w:val="none"/>
              </w:rPr>
              <w:t>形式交纳投标保证金的，须从基本账户转出，并且在投标文件递交截止前到达采购代理机构指定账户（转账时请注明项目编号）。投标保证金到达采购代理机构指定账户后，投标人须与</w:t>
            </w:r>
            <w:r>
              <w:rPr>
                <w:rFonts w:hint="eastAsia" w:hAnsi="宋体" w:cs="宋体"/>
                <w:szCs w:val="24"/>
                <w:highlight w:val="none"/>
                <w:lang w:eastAsia="zh-CN"/>
              </w:rPr>
              <w:t>陕西至诚项目管理集团有限公司</w:t>
            </w:r>
            <w:r>
              <w:rPr>
                <w:rFonts w:hint="eastAsia" w:hAnsi="宋体" w:cs="宋体"/>
                <w:szCs w:val="24"/>
                <w:highlight w:val="none"/>
              </w:rPr>
              <w:t>财务部联系确认到账后（联系电话029-88219779），将投标保证金缴纳凭证复印件粘贴于招标文件规定处。</w:t>
            </w:r>
          </w:p>
          <w:p>
            <w:pPr>
              <w:spacing w:line="500" w:lineRule="exact"/>
              <w:ind w:firstLine="480"/>
              <w:rPr>
                <w:rFonts w:hAnsi="宋体" w:cs="宋体"/>
                <w:szCs w:val="24"/>
                <w:highlight w:val="none"/>
              </w:rPr>
            </w:pPr>
            <w:r>
              <w:rPr>
                <w:rFonts w:hint="eastAsia" w:hAnsi="宋体" w:cs="宋体"/>
                <w:szCs w:val="24"/>
                <w:highlight w:val="none"/>
              </w:rPr>
              <w:t>投标人以保函形式缴纳投标保证金的，须在投标文件递交截止时间前将担保机构保函正本原件提交至采购代理机构备案，并将保函正本复印件附在招标文件规定处。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590" w:type="dxa"/>
            <w:vAlign w:val="center"/>
          </w:tcPr>
          <w:p>
            <w:pPr>
              <w:jc w:val="center"/>
              <w:rPr>
                <w:rFonts w:hAnsi="宋体" w:cs="宋体"/>
                <w:szCs w:val="24"/>
                <w:highlight w:val="none"/>
              </w:rPr>
            </w:pPr>
            <w:r>
              <w:rPr>
                <w:rFonts w:hint="eastAsia" w:hAnsi="宋体" w:cs="宋体"/>
                <w:szCs w:val="24"/>
                <w:highlight w:val="none"/>
              </w:rPr>
              <w:t>8</w:t>
            </w:r>
          </w:p>
        </w:tc>
        <w:tc>
          <w:tcPr>
            <w:tcW w:w="947" w:type="dxa"/>
            <w:vAlign w:val="center"/>
          </w:tcPr>
          <w:p>
            <w:pPr>
              <w:jc w:val="center"/>
              <w:rPr>
                <w:rFonts w:hAnsi="宋体" w:cs="宋体"/>
                <w:szCs w:val="24"/>
                <w:highlight w:val="none"/>
              </w:rPr>
            </w:pPr>
            <w:r>
              <w:rPr>
                <w:rFonts w:hint="eastAsia" w:hAnsi="宋体" w:cs="宋体"/>
                <w:szCs w:val="24"/>
                <w:highlight w:val="none"/>
              </w:rPr>
              <w:t>15.1</w:t>
            </w:r>
          </w:p>
        </w:tc>
        <w:tc>
          <w:tcPr>
            <w:tcW w:w="6867" w:type="dxa"/>
          </w:tcPr>
          <w:p>
            <w:pPr>
              <w:spacing w:line="500" w:lineRule="exact"/>
              <w:rPr>
                <w:rFonts w:hAnsi="宋体" w:cs="宋体"/>
                <w:szCs w:val="24"/>
                <w:highlight w:val="none"/>
              </w:rPr>
            </w:pPr>
            <w:r>
              <w:rPr>
                <w:rFonts w:hint="eastAsia" w:hAnsi="宋体" w:cs="宋体"/>
                <w:szCs w:val="24"/>
                <w:highlight w:val="none"/>
              </w:rPr>
              <w:t>投标有效期：投标文件的截止之日起90天。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590" w:type="dxa"/>
            <w:vAlign w:val="center"/>
          </w:tcPr>
          <w:p>
            <w:pPr>
              <w:spacing w:after="166" w:afterLines="50"/>
              <w:jc w:val="center"/>
              <w:rPr>
                <w:rFonts w:hAnsi="宋体" w:cs="宋体"/>
                <w:szCs w:val="24"/>
                <w:highlight w:val="none"/>
              </w:rPr>
            </w:pPr>
            <w:r>
              <w:rPr>
                <w:rFonts w:hint="eastAsia" w:hAnsi="宋体" w:cs="宋体"/>
                <w:szCs w:val="24"/>
                <w:highlight w:val="none"/>
              </w:rPr>
              <w:t>9</w:t>
            </w:r>
          </w:p>
        </w:tc>
        <w:tc>
          <w:tcPr>
            <w:tcW w:w="947" w:type="dxa"/>
            <w:vAlign w:val="center"/>
          </w:tcPr>
          <w:p>
            <w:pPr>
              <w:spacing w:after="166" w:afterLines="50"/>
              <w:jc w:val="center"/>
              <w:rPr>
                <w:rFonts w:hAnsi="宋体" w:cs="宋体"/>
                <w:szCs w:val="24"/>
                <w:highlight w:val="none"/>
              </w:rPr>
            </w:pPr>
            <w:r>
              <w:rPr>
                <w:rFonts w:hint="eastAsia" w:hAnsi="宋体" w:cs="宋体"/>
                <w:szCs w:val="24"/>
                <w:highlight w:val="none"/>
              </w:rPr>
              <w:t>16.1</w:t>
            </w:r>
          </w:p>
        </w:tc>
        <w:tc>
          <w:tcPr>
            <w:tcW w:w="6867" w:type="dxa"/>
            <w:vAlign w:val="center"/>
          </w:tcPr>
          <w:p>
            <w:pPr>
              <w:spacing w:line="360" w:lineRule="auto"/>
              <w:rPr>
                <w:rFonts w:hAnsi="宋体" w:cs="宋体"/>
                <w:szCs w:val="24"/>
                <w:highlight w:val="none"/>
              </w:rPr>
            </w:pPr>
            <w:r>
              <w:rPr>
                <w:rFonts w:hint="eastAsia" w:ascii="宋体" w:hAnsi="宋体" w:eastAsia="宋体" w:cs="宋体"/>
                <w:szCs w:val="24"/>
                <w:highlight w:val="none"/>
              </w:rPr>
              <w:t>正本的份数：壹份；副本的份数：贰份；报价一览表：壹份；电子版（U盘）：</w:t>
            </w:r>
            <w:r>
              <w:rPr>
                <w:rFonts w:hint="eastAsia" w:hAnsi="宋体" w:cs="宋体"/>
                <w:szCs w:val="24"/>
                <w:highlight w:val="none"/>
                <w:lang w:val="en-US" w:eastAsia="zh-CN"/>
              </w:rPr>
              <w:t>壹</w:t>
            </w:r>
            <w:r>
              <w:rPr>
                <w:rFonts w:hint="eastAsia" w:ascii="宋体" w:hAnsi="宋体" w:eastAsia="宋体" w:cs="宋体"/>
                <w:szCs w:val="24"/>
                <w:highlight w:val="none"/>
              </w:rPr>
              <w:t>份（需在盘面上标注供应商全称、项目名称、编号）。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8" w:hRule="atLeast"/>
          <w:jc w:val="center"/>
        </w:trPr>
        <w:tc>
          <w:tcPr>
            <w:tcW w:w="590" w:type="dxa"/>
            <w:vAlign w:val="center"/>
          </w:tcPr>
          <w:p>
            <w:pPr>
              <w:spacing w:after="166" w:afterLines="50"/>
              <w:jc w:val="center"/>
              <w:rPr>
                <w:rFonts w:hAnsi="宋体" w:cs="宋体"/>
                <w:szCs w:val="24"/>
                <w:highlight w:val="none"/>
              </w:rPr>
            </w:pPr>
            <w:r>
              <w:rPr>
                <w:rFonts w:hint="eastAsia" w:hAnsi="宋体" w:cs="宋体"/>
                <w:szCs w:val="24"/>
                <w:highlight w:val="none"/>
              </w:rPr>
              <w:t>10</w:t>
            </w:r>
          </w:p>
        </w:tc>
        <w:tc>
          <w:tcPr>
            <w:tcW w:w="947" w:type="dxa"/>
            <w:vAlign w:val="center"/>
          </w:tcPr>
          <w:p>
            <w:pPr>
              <w:spacing w:after="166" w:afterLines="50"/>
              <w:jc w:val="center"/>
              <w:rPr>
                <w:rFonts w:hAnsi="宋体" w:cs="宋体"/>
                <w:szCs w:val="24"/>
                <w:highlight w:val="none"/>
              </w:rPr>
            </w:pPr>
            <w:r>
              <w:rPr>
                <w:rFonts w:hint="eastAsia" w:hAnsi="宋体" w:cs="宋体"/>
                <w:szCs w:val="24"/>
                <w:highlight w:val="none"/>
              </w:rPr>
              <w:t>17.2</w:t>
            </w:r>
          </w:p>
        </w:tc>
        <w:tc>
          <w:tcPr>
            <w:tcW w:w="6867" w:type="dxa"/>
            <w:vAlign w:val="center"/>
          </w:tcPr>
          <w:p>
            <w:pPr>
              <w:spacing w:line="360" w:lineRule="auto"/>
              <w:ind w:firstLine="480" w:firstLineChars="200"/>
              <w:rPr>
                <w:rFonts w:hAnsi="宋体" w:cs="宋体"/>
                <w:szCs w:val="24"/>
                <w:highlight w:val="none"/>
              </w:rPr>
            </w:pPr>
            <w:r>
              <w:rPr>
                <w:rFonts w:hint="eastAsia" w:hAnsi="宋体" w:cs="宋体"/>
                <w:szCs w:val="24"/>
                <w:highlight w:val="none"/>
                <w:lang w:val="en-US" w:eastAsia="zh-CN"/>
              </w:rPr>
              <w:t>投标</w:t>
            </w:r>
            <w:r>
              <w:rPr>
                <w:rFonts w:hint="eastAsia" w:hAnsi="宋体" w:cs="宋体"/>
                <w:szCs w:val="24"/>
                <w:highlight w:val="none"/>
              </w:rPr>
              <w:t>文件正本、电子版本、报价一览表密封装在单独的封袋中（封袋不得有破损），所有的副本密封装在单独的封袋中（封袋不得有破损）且在封袋正面标明“正本”“副本”“电子版本”“报价一览表”字样。封袋应加贴封条，并在封线处加盖供应商公章，封袋正面要粘贴供应商全称、项目名称、编号等标识。</w:t>
            </w:r>
          </w:p>
          <w:p>
            <w:pPr>
              <w:spacing w:line="360" w:lineRule="auto"/>
              <w:rPr>
                <w:rFonts w:hAnsi="宋体"/>
                <w:szCs w:val="24"/>
                <w:highlight w:val="none"/>
              </w:rPr>
            </w:pPr>
            <w:r>
              <w:rPr>
                <w:rFonts w:hAnsi="宋体"/>
                <w:szCs w:val="24"/>
                <w:highlight w:val="none"/>
              </w:rPr>
              <w:t>外层包装请按以下要求标记：</w:t>
            </w:r>
          </w:p>
          <w:p>
            <w:pPr>
              <w:spacing w:line="360" w:lineRule="auto"/>
              <w:rPr>
                <w:rFonts w:hAnsi="宋体"/>
                <w:szCs w:val="24"/>
                <w:highlight w:val="none"/>
              </w:rPr>
            </w:pPr>
            <w:r>
              <w:rPr>
                <w:rFonts w:hAnsi="宋体"/>
                <w:szCs w:val="24"/>
                <w:highlight w:val="none"/>
              </w:rPr>
              <w:t xml:space="preserve">1) </w:t>
            </w:r>
            <w:r>
              <w:rPr>
                <w:rFonts w:hint="eastAsia" w:hAnsi="宋体"/>
                <w:szCs w:val="24"/>
                <w:highlight w:val="none"/>
                <w:lang w:val="en-US" w:eastAsia="zh-CN"/>
              </w:rPr>
              <w:t>投标</w:t>
            </w:r>
            <w:r>
              <w:rPr>
                <w:rFonts w:hint="eastAsia" w:hAnsi="宋体"/>
                <w:szCs w:val="24"/>
                <w:highlight w:val="none"/>
              </w:rPr>
              <w:t>单位</w:t>
            </w:r>
            <w:r>
              <w:rPr>
                <w:rFonts w:hAnsi="宋体"/>
                <w:szCs w:val="24"/>
                <w:highlight w:val="none"/>
              </w:rPr>
              <w:t>的全称；</w:t>
            </w:r>
          </w:p>
          <w:p>
            <w:pPr>
              <w:spacing w:line="360" w:lineRule="auto"/>
              <w:rPr>
                <w:rFonts w:hAnsi="宋体"/>
                <w:szCs w:val="24"/>
                <w:highlight w:val="none"/>
              </w:rPr>
            </w:pPr>
            <w:r>
              <w:rPr>
                <w:rFonts w:hAnsi="宋体"/>
                <w:szCs w:val="24"/>
                <w:highlight w:val="none"/>
              </w:rPr>
              <w:t>2) 项目名称、项目编号</w:t>
            </w:r>
            <w:r>
              <w:rPr>
                <w:rFonts w:hint="eastAsia" w:hAnsi="宋体"/>
                <w:szCs w:val="24"/>
                <w:highlight w:val="none"/>
              </w:rPr>
              <w:t>；</w:t>
            </w:r>
          </w:p>
          <w:p>
            <w:pPr>
              <w:spacing w:line="360" w:lineRule="auto"/>
              <w:rPr>
                <w:rFonts w:hAnsi="宋体" w:cs="宋体"/>
                <w:szCs w:val="24"/>
                <w:highlight w:val="none"/>
              </w:rPr>
            </w:pPr>
            <w:r>
              <w:rPr>
                <w:rFonts w:hAnsi="宋体"/>
                <w:bCs/>
                <w:szCs w:val="24"/>
                <w:highlight w:val="none"/>
              </w:rPr>
              <w:t>3）正本或副本</w:t>
            </w:r>
            <w:r>
              <w:rPr>
                <w:rFonts w:hint="eastAsia" w:hAnsi="宋体"/>
                <w:bCs/>
                <w:szCs w:val="24"/>
                <w:highlight w:val="none"/>
              </w:rPr>
              <w:t>、电子版、报价一览表</w:t>
            </w:r>
            <w:r>
              <w:rPr>
                <w:rFonts w:hAnsi="宋体"/>
                <w:bCs/>
                <w:szCs w:val="24"/>
                <w:highlight w:val="none"/>
              </w:rPr>
              <w:t>“请勿在＿＿＿＿＿(</w:t>
            </w:r>
            <w:r>
              <w:rPr>
                <w:rFonts w:hint="eastAsia" w:hAnsi="宋体"/>
                <w:bCs/>
                <w:szCs w:val="24"/>
                <w:highlight w:val="none"/>
                <w:lang w:val="en-US" w:eastAsia="zh-CN"/>
              </w:rPr>
              <w:t>开标</w:t>
            </w:r>
            <w:r>
              <w:rPr>
                <w:rFonts w:hAnsi="宋体"/>
                <w:bCs/>
                <w:szCs w:val="24"/>
                <w:highlight w:val="none"/>
              </w:rPr>
              <w:t>时间)之前启封”。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5" w:hRule="atLeast"/>
          <w:jc w:val="center"/>
        </w:trPr>
        <w:tc>
          <w:tcPr>
            <w:tcW w:w="590" w:type="dxa"/>
            <w:vAlign w:val="center"/>
          </w:tcPr>
          <w:p>
            <w:pPr>
              <w:spacing w:after="166" w:afterLines="50"/>
              <w:jc w:val="center"/>
              <w:rPr>
                <w:rFonts w:hAnsi="宋体" w:cs="宋体"/>
                <w:szCs w:val="24"/>
                <w:highlight w:val="none"/>
              </w:rPr>
            </w:pPr>
            <w:r>
              <w:rPr>
                <w:rFonts w:hint="eastAsia" w:hAnsi="宋体" w:cs="宋体"/>
                <w:szCs w:val="24"/>
                <w:highlight w:val="none"/>
              </w:rPr>
              <w:t>11</w:t>
            </w:r>
          </w:p>
        </w:tc>
        <w:tc>
          <w:tcPr>
            <w:tcW w:w="947" w:type="dxa"/>
            <w:vAlign w:val="center"/>
          </w:tcPr>
          <w:p>
            <w:pPr>
              <w:spacing w:after="166" w:afterLines="50"/>
              <w:jc w:val="center"/>
              <w:rPr>
                <w:rFonts w:hAnsi="宋体" w:cs="宋体"/>
                <w:szCs w:val="24"/>
                <w:highlight w:val="none"/>
              </w:rPr>
            </w:pPr>
            <w:r>
              <w:rPr>
                <w:rFonts w:hint="eastAsia" w:hAnsi="宋体" w:cs="宋体"/>
                <w:szCs w:val="24"/>
                <w:highlight w:val="none"/>
              </w:rPr>
              <w:t>18.1</w:t>
            </w:r>
          </w:p>
        </w:tc>
        <w:tc>
          <w:tcPr>
            <w:tcW w:w="6867" w:type="dxa"/>
          </w:tcPr>
          <w:p>
            <w:pPr>
              <w:spacing w:line="360" w:lineRule="auto"/>
              <w:rPr>
                <w:rFonts w:hAnsi="宋体" w:cs="宋体"/>
                <w:szCs w:val="24"/>
                <w:highlight w:val="none"/>
              </w:rPr>
            </w:pPr>
            <w:r>
              <w:rPr>
                <w:rFonts w:hint="eastAsia" w:hAnsi="宋体" w:cs="宋体"/>
                <w:szCs w:val="24"/>
                <w:highlight w:val="none"/>
              </w:rPr>
              <w:t>投标文件递交截止时间</w:t>
            </w:r>
            <w:bookmarkStart w:id="27" w:name="OLE_LINK12"/>
            <w:r>
              <w:rPr>
                <w:rFonts w:hint="eastAsia" w:hAnsi="宋体" w:cs="宋体"/>
                <w:szCs w:val="24"/>
                <w:highlight w:val="none"/>
              </w:rPr>
              <w:t>：</w:t>
            </w:r>
            <w:bookmarkEnd w:id="27"/>
            <w:r>
              <w:rPr>
                <w:rFonts w:hint="eastAsia" w:hAnsi="宋体" w:cs="宋体"/>
                <w:szCs w:val="24"/>
                <w:highlight w:val="none"/>
              </w:rPr>
              <w:t>20</w:t>
            </w:r>
            <w:r>
              <w:rPr>
                <w:rFonts w:hint="eastAsia" w:hAnsi="宋体" w:cs="宋体"/>
                <w:szCs w:val="24"/>
                <w:highlight w:val="none"/>
                <w:lang w:val="en-US" w:eastAsia="zh-CN"/>
              </w:rPr>
              <w:t>24</w:t>
            </w:r>
            <w:r>
              <w:rPr>
                <w:rFonts w:hint="eastAsia" w:hAnsi="宋体" w:cs="宋体"/>
                <w:szCs w:val="24"/>
                <w:highlight w:val="none"/>
              </w:rPr>
              <w:t>-</w:t>
            </w:r>
            <w:r>
              <w:rPr>
                <w:rFonts w:hint="eastAsia" w:hAnsi="宋体" w:cs="宋体"/>
                <w:szCs w:val="24"/>
                <w:highlight w:val="none"/>
                <w:lang w:val="en-US" w:eastAsia="zh-CN"/>
              </w:rPr>
              <w:t>02</w:t>
            </w:r>
            <w:r>
              <w:rPr>
                <w:rFonts w:hint="eastAsia" w:hAnsi="宋体" w:cs="宋体"/>
                <w:szCs w:val="24"/>
                <w:highlight w:val="none"/>
              </w:rPr>
              <w:t>-</w:t>
            </w:r>
            <w:r>
              <w:rPr>
                <w:rFonts w:hint="eastAsia" w:hAnsi="宋体" w:cs="宋体"/>
                <w:szCs w:val="24"/>
                <w:highlight w:val="none"/>
                <w:lang w:val="en-US" w:eastAsia="zh-CN"/>
              </w:rPr>
              <w:t>01</w:t>
            </w:r>
            <w:r>
              <w:rPr>
                <w:rFonts w:hint="eastAsia" w:hAnsi="宋体" w:cs="宋体"/>
                <w:szCs w:val="24"/>
                <w:highlight w:val="none"/>
              </w:rPr>
              <w:t xml:space="preserve"> </w:t>
            </w:r>
            <w:r>
              <w:rPr>
                <w:rFonts w:hint="eastAsia" w:hAnsi="宋体" w:cs="宋体"/>
                <w:szCs w:val="24"/>
                <w:highlight w:val="none"/>
                <w:lang w:val="en-US" w:eastAsia="zh-CN"/>
              </w:rPr>
              <w:t>09</w:t>
            </w:r>
            <w:r>
              <w:rPr>
                <w:rFonts w:hint="eastAsia" w:hAnsi="宋体" w:cs="宋体"/>
                <w:szCs w:val="24"/>
                <w:highlight w:val="none"/>
              </w:rPr>
              <w:t>:</w:t>
            </w:r>
            <w:r>
              <w:rPr>
                <w:rFonts w:hint="eastAsia" w:hAnsi="宋体" w:cs="宋体"/>
                <w:szCs w:val="24"/>
                <w:highlight w:val="none"/>
                <w:lang w:val="en-US" w:eastAsia="zh-CN"/>
              </w:rPr>
              <w:t>0</w:t>
            </w:r>
            <w:r>
              <w:rPr>
                <w:rFonts w:hint="eastAsia" w:hAnsi="宋体" w:cs="宋体"/>
                <w:szCs w:val="24"/>
                <w:highlight w:val="none"/>
              </w:rPr>
              <w:t>0:00（北京时间)。</w:t>
            </w:r>
          </w:p>
          <w:p>
            <w:pPr>
              <w:spacing w:line="360" w:lineRule="auto"/>
              <w:rPr>
                <w:rFonts w:hAnsi="宋体" w:cs="宋体"/>
                <w:szCs w:val="24"/>
                <w:highlight w:val="none"/>
              </w:rPr>
            </w:pPr>
            <w:r>
              <w:rPr>
                <w:rFonts w:hint="eastAsia" w:hAnsi="宋体" w:cs="宋体"/>
                <w:szCs w:val="24"/>
                <w:highlight w:val="none"/>
              </w:rPr>
              <w:t>投标文件递交地址：</w:t>
            </w:r>
            <w:r>
              <w:rPr>
                <w:rFonts w:hint="eastAsia" w:hAnsi="宋体" w:cs="宋体"/>
                <w:szCs w:val="24"/>
                <w:highlight w:val="none"/>
                <w:lang w:eastAsia="zh-CN"/>
              </w:rPr>
              <w:t>陕西省西安市经济技术开发区未央路171-1号银池道拉斯财富中心21楼</w:t>
            </w:r>
            <w:r>
              <w:rPr>
                <w:rFonts w:hint="eastAsia" w:hAnsi="宋体" w:cs="宋体"/>
                <w:szCs w:val="24"/>
                <w:highlight w:val="none"/>
              </w:rPr>
              <w:t>。</w:t>
            </w:r>
          </w:p>
          <w:p>
            <w:pPr>
              <w:spacing w:line="360" w:lineRule="auto"/>
              <w:rPr>
                <w:rFonts w:hAnsi="宋体" w:cs="宋体"/>
                <w:szCs w:val="24"/>
                <w:highlight w:val="none"/>
              </w:rPr>
            </w:pPr>
            <w:r>
              <w:rPr>
                <w:rFonts w:hint="eastAsia" w:hAnsi="宋体" w:cs="宋体"/>
                <w:szCs w:val="24"/>
                <w:highlight w:val="none"/>
              </w:rPr>
              <w:t>投标文件接收人：</w:t>
            </w:r>
            <w:r>
              <w:rPr>
                <w:rFonts w:hint="eastAsia" w:hAnsi="宋体" w:cs="宋体"/>
                <w:szCs w:val="24"/>
                <w:highlight w:val="none"/>
                <w:lang w:eastAsia="zh-CN"/>
              </w:rPr>
              <w:t>陕西至诚项目管理集团有限公司</w:t>
            </w:r>
            <w:r>
              <w:rPr>
                <w:rFonts w:hint="eastAsia" w:hAnsi="宋体" w:cs="宋体"/>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3" w:hRule="atLeast"/>
          <w:jc w:val="center"/>
        </w:trPr>
        <w:tc>
          <w:tcPr>
            <w:tcW w:w="590" w:type="dxa"/>
            <w:vAlign w:val="center"/>
          </w:tcPr>
          <w:p>
            <w:pPr>
              <w:spacing w:after="166" w:afterLines="50"/>
              <w:jc w:val="center"/>
              <w:rPr>
                <w:rFonts w:hAnsi="宋体" w:cs="宋体"/>
                <w:szCs w:val="24"/>
                <w:highlight w:val="none"/>
              </w:rPr>
            </w:pPr>
            <w:r>
              <w:rPr>
                <w:rFonts w:hint="eastAsia" w:hAnsi="宋体" w:cs="宋体"/>
                <w:szCs w:val="24"/>
                <w:highlight w:val="none"/>
              </w:rPr>
              <w:t>12</w:t>
            </w:r>
          </w:p>
        </w:tc>
        <w:tc>
          <w:tcPr>
            <w:tcW w:w="947" w:type="dxa"/>
            <w:vAlign w:val="center"/>
          </w:tcPr>
          <w:p>
            <w:pPr>
              <w:spacing w:after="166" w:afterLines="50"/>
              <w:jc w:val="center"/>
              <w:rPr>
                <w:rFonts w:hAnsi="宋体" w:cs="宋体"/>
                <w:szCs w:val="24"/>
                <w:highlight w:val="none"/>
              </w:rPr>
            </w:pPr>
            <w:r>
              <w:rPr>
                <w:rFonts w:hint="eastAsia" w:hAnsi="宋体" w:cs="宋体"/>
                <w:szCs w:val="24"/>
                <w:highlight w:val="none"/>
              </w:rPr>
              <w:t>21.1</w:t>
            </w:r>
          </w:p>
        </w:tc>
        <w:tc>
          <w:tcPr>
            <w:tcW w:w="6867" w:type="dxa"/>
          </w:tcPr>
          <w:p>
            <w:pPr>
              <w:spacing w:line="360" w:lineRule="auto"/>
              <w:rPr>
                <w:rFonts w:hAnsi="宋体" w:cs="宋体"/>
                <w:szCs w:val="24"/>
                <w:highlight w:val="none"/>
              </w:rPr>
            </w:pPr>
            <w:r>
              <w:rPr>
                <w:rFonts w:hint="eastAsia" w:hAnsi="宋体" w:cs="宋体"/>
                <w:szCs w:val="24"/>
                <w:highlight w:val="none"/>
              </w:rPr>
              <w:t>开标时间：20</w:t>
            </w:r>
            <w:r>
              <w:rPr>
                <w:rFonts w:hint="eastAsia" w:hAnsi="宋体" w:cs="宋体"/>
                <w:szCs w:val="24"/>
                <w:highlight w:val="none"/>
                <w:lang w:val="en-US" w:eastAsia="zh-CN"/>
              </w:rPr>
              <w:t>24</w:t>
            </w:r>
            <w:r>
              <w:rPr>
                <w:rFonts w:hint="eastAsia" w:hAnsi="宋体" w:cs="宋体"/>
                <w:szCs w:val="24"/>
                <w:highlight w:val="none"/>
              </w:rPr>
              <w:t>-</w:t>
            </w:r>
            <w:r>
              <w:rPr>
                <w:rFonts w:hint="eastAsia" w:hAnsi="宋体" w:cs="宋体"/>
                <w:szCs w:val="24"/>
                <w:highlight w:val="none"/>
                <w:lang w:val="en-US" w:eastAsia="zh-CN"/>
              </w:rPr>
              <w:t>02</w:t>
            </w:r>
            <w:r>
              <w:rPr>
                <w:rFonts w:hint="eastAsia" w:hAnsi="宋体" w:cs="宋体"/>
                <w:szCs w:val="24"/>
                <w:highlight w:val="none"/>
              </w:rPr>
              <w:t>-</w:t>
            </w:r>
            <w:r>
              <w:rPr>
                <w:rFonts w:hint="eastAsia" w:hAnsi="宋体" w:cs="宋体"/>
                <w:szCs w:val="24"/>
                <w:highlight w:val="none"/>
                <w:lang w:val="en-US" w:eastAsia="zh-CN"/>
              </w:rPr>
              <w:t>01</w:t>
            </w:r>
            <w:r>
              <w:rPr>
                <w:rFonts w:hint="eastAsia" w:hAnsi="宋体" w:cs="宋体"/>
                <w:szCs w:val="24"/>
                <w:highlight w:val="none"/>
              </w:rPr>
              <w:t xml:space="preserve"> </w:t>
            </w:r>
            <w:r>
              <w:rPr>
                <w:rFonts w:hint="eastAsia" w:hAnsi="宋体" w:cs="宋体"/>
                <w:szCs w:val="24"/>
                <w:highlight w:val="none"/>
                <w:lang w:val="en-US" w:eastAsia="zh-CN"/>
              </w:rPr>
              <w:t>09</w:t>
            </w:r>
            <w:r>
              <w:rPr>
                <w:rFonts w:hint="eastAsia" w:hAnsi="宋体" w:cs="宋体"/>
                <w:szCs w:val="24"/>
                <w:highlight w:val="none"/>
              </w:rPr>
              <w:t>:</w:t>
            </w:r>
            <w:r>
              <w:rPr>
                <w:rFonts w:hint="eastAsia" w:hAnsi="宋体" w:cs="宋体"/>
                <w:szCs w:val="24"/>
                <w:highlight w:val="none"/>
                <w:lang w:val="en-US" w:eastAsia="zh-CN"/>
              </w:rPr>
              <w:t>0</w:t>
            </w:r>
            <w:r>
              <w:rPr>
                <w:rFonts w:hint="eastAsia" w:hAnsi="宋体" w:cs="宋体"/>
                <w:szCs w:val="24"/>
                <w:highlight w:val="none"/>
              </w:rPr>
              <w:t>0:00(北京时间)。</w:t>
            </w:r>
          </w:p>
          <w:p>
            <w:pPr>
              <w:spacing w:line="360" w:lineRule="auto"/>
              <w:rPr>
                <w:rFonts w:hAnsi="宋体" w:cs="宋体"/>
                <w:szCs w:val="24"/>
                <w:highlight w:val="none"/>
              </w:rPr>
            </w:pPr>
            <w:r>
              <w:rPr>
                <w:rFonts w:hint="eastAsia" w:hAnsi="宋体" w:cs="宋体"/>
                <w:szCs w:val="24"/>
                <w:highlight w:val="none"/>
              </w:rPr>
              <w:t>开标地点：</w:t>
            </w:r>
            <w:r>
              <w:rPr>
                <w:rFonts w:hint="eastAsia" w:hAnsi="宋体" w:cs="宋体"/>
                <w:szCs w:val="24"/>
                <w:highlight w:val="none"/>
                <w:lang w:eastAsia="zh-CN"/>
              </w:rPr>
              <w:t>陕西省西安市经济技术开发区未央路171-1号银池道拉斯财富中心21楼</w:t>
            </w:r>
            <w:r>
              <w:rPr>
                <w:rFonts w:hint="eastAsia" w:hAnsi="宋体" w:cs="宋体"/>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590" w:type="dxa"/>
            <w:vAlign w:val="center"/>
          </w:tcPr>
          <w:p>
            <w:pPr>
              <w:jc w:val="center"/>
              <w:rPr>
                <w:rFonts w:hAnsi="宋体" w:cs="宋体"/>
                <w:szCs w:val="24"/>
                <w:highlight w:val="none"/>
              </w:rPr>
            </w:pPr>
            <w:r>
              <w:rPr>
                <w:rFonts w:hint="eastAsia" w:hAnsi="宋体" w:cs="宋体"/>
                <w:szCs w:val="24"/>
                <w:highlight w:val="none"/>
              </w:rPr>
              <w:t>13</w:t>
            </w:r>
          </w:p>
        </w:tc>
        <w:tc>
          <w:tcPr>
            <w:tcW w:w="947" w:type="dxa"/>
            <w:vAlign w:val="center"/>
          </w:tcPr>
          <w:p>
            <w:pPr>
              <w:jc w:val="center"/>
              <w:rPr>
                <w:rFonts w:hAnsi="宋体" w:cs="宋体"/>
                <w:szCs w:val="24"/>
                <w:highlight w:val="none"/>
              </w:rPr>
            </w:pPr>
            <w:r>
              <w:rPr>
                <w:rFonts w:hint="eastAsia" w:hAnsi="宋体" w:cs="宋体"/>
                <w:szCs w:val="24"/>
                <w:highlight w:val="none"/>
              </w:rPr>
              <w:t>24.1</w:t>
            </w:r>
          </w:p>
        </w:tc>
        <w:tc>
          <w:tcPr>
            <w:tcW w:w="6867" w:type="dxa"/>
            <w:vAlign w:val="center"/>
          </w:tcPr>
          <w:p>
            <w:pPr>
              <w:jc w:val="left"/>
              <w:rPr>
                <w:rFonts w:hAnsi="宋体" w:cs="宋体"/>
                <w:b/>
                <w:bCs/>
                <w:szCs w:val="24"/>
                <w:highlight w:val="none"/>
              </w:rPr>
            </w:pPr>
            <w:r>
              <w:rPr>
                <w:rFonts w:hint="eastAsia" w:hAnsi="宋体" w:cs="宋体"/>
                <w:b/>
                <w:bCs/>
                <w:szCs w:val="24"/>
                <w:highlight w:val="none"/>
              </w:rPr>
              <w:t>评标方法：综合评分法（详见第五章）。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590" w:type="dxa"/>
            <w:vAlign w:val="center"/>
          </w:tcPr>
          <w:p>
            <w:pPr>
              <w:jc w:val="center"/>
              <w:rPr>
                <w:rFonts w:hAnsi="宋体" w:cs="宋体"/>
                <w:szCs w:val="24"/>
                <w:highlight w:val="none"/>
              </w:rPr>
            </w:pPr>
            <w:r>
              <w:rPr>
                <w:rFonts w:hint="eastAsia" w:hAnsi="宋体" w:cs="宋体"/>
                <w:szCs w:val="24"/>
                <w:highlight w:val="none"/>
              </w:rPr>
              <w:t>14</w:t>
            </w:r>
          </w:p>
        </w:tc>
        <w:tc>
          <w:tcPr>
            <w:tcW w:w="947" w:type="dxa"/>
            <w:vAlign w:val="center"/>
          </w:tcPr>
          <w:p>
            <w:pPr>
              <w:jc w:val="center"/>
              <w:rPr>
                <w:rFonts w:hAnsi="宋体" w:cs="宋体"/>
                <w:szCs w:val="24"/>
                <w:highlight w:val="none"/>
              </w:rPr>
            </w:pPr>
            <w:r>
              <w:rPr>
                <w:rFonts w:hint="eastAsia" w:hAnsi="宋体" w:cs="宋体"/>
                <w:szCs w:val="24"/>
                <w:highlight w:val="none"/>
              </w:rPr>
              <w:t>29</w:t>
            </w:r>
          </w:p>
        </w:tc>
        <w:tc>
          <w:tcPr>
            <w:tcW w:w="6867" w:type="dxa"/>
            <w:vAlign w:val="center"/>
          </w:tcPr>
          <w:p>
            <w:pPr>
              <w:spacing w:line="520" w:lineRule="exact"/>
              <w:rPr>
                <w:rFonts w:hAnsi="宋体" w:cs="宋体"/>
                <w:szCs w:val="24"/>
                <w:highlight w:val="none"/>
              </w:rPr>
            </w:pPr>
            <w:r>
              <w:rPr>
                <w:rFonts w:hint="eastAsia" w:hAnsi="宋体" w:cs="宋体"/>
                <w:szCs w:val="24"/>
                <w:highlight w:val="none"/>
              </w:rPr>
              <w:t xml:space="preserve">招标代理服务费： </w:t>
            </w:r>
          </w:p>
          <w:p>
            <w:pPr>
              <w:spacing w:line="500" w:lineRule="exact"/>
              <w:ind w:firstLine="480" w:firstLineChars="200"/>
              <w:rPr>
                <w:rFonts w:hAnsi="宋体" w:cs="宋体"/>
                <w:szCs w:val="22"/>
                <w:highlight w:val="none"/>
              </w:rPr>
            </w:pPr>
            <w:r>
              <w:rPr>
                <w:rFonts w:hint="eastAsia" w:hAnsi="宋体" w:cs="宋体"/>
                <w:szCs w:val="22"/>
                <w:highlight w:val="none"/>
              </w:rPr>
              <w:t>29.1 招标代理服务费的计算方法：以中标金额为基数，依据国家计委颁布《招标代理服务收费管理暂行办法》（计价格[2002]1980号）和国家发展改革委员会办公厅颁发的《关于招标代理服务收费有关问题的通知》（发改办价格[2003]857号）文件规定执行。</w:t>
            </w:r>
          </w:p>
          <w:p>
            <w:pPr>
              <w:spacing w:line="500" w:lineRule="exact"/>
              <w:ind w:firstLine="480" w:firstLineChars="200"/>
              <w:rPr>
                <w:rFonts w:hAnsi="宋体" w:cs="宋体"/>
                <w:szCs w:val="24"/>
                <w:highlight w:val="none"/>
              </w:rPr>
            </w:pPr>
            <w:r>
              <w:rPr>
                <w:rFonts w:hint="eastAsia" w:hAnsi="宋体" w:cs="宋体"/>
                <w:szCs w:val="24"/>
                <w:highlight w:val="none"/>
              </w:rPr>
              <w:t>29</w:t>
            </w:r>
            <w:r>
              <w:rPr>
                <w:rFonts w:hint="eastAsia" w:hAnsi="宋体" w:cs="宋体"/>
                <w:highlight w:val="none"/>
              </w:rPr>
              <w:t xml:space="preserve">.2 </w:t>
            </w:r>
            <w:r>
              <w:rPr>
                <w:rFonts w:hint="eastAsia" w:hAnsi="宋体" w:cs="宋体"/>
                <w:szCs w:val="24"/>
                <w:highlight w:val="none"/>
              </w:rPr>
              <w:t>中标人承担招标代理服务费，中标人在领取中标通知书前，须向采购代理机构一次性支付招标代理服务费。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590" w:type="dxa"/>
            <w:vAlign w:val="center"/>
          </w:tcPr>
          <w:p>
            <w:pPr>
              <w:jc w:val="center"/>
              <w:rPr>
                <w:rFonts w:hAnsi="宋体" w:cs="宋体"/>
                <w:szCs w:val="24"/>
                <w:highlight w:val="none"/>
              </w:rPr>
            </w:pPr>
            <w:r>
              <w:rPr>
                <w:rFonts w:hint="eastAsia" w:hAnsi="宋体" w:cs="宋体"/>
                <w:szCs w:val="24"/>
                <w:highlight w:val="none"/>
              </w:rPr>
              <w:t>15</w:t>
            </w:r>
          </w:p>
        </w:tc>
        <w:tc>
          <w:tcPr>
            <w:tcW w:w="947" w:type="dxa"/>
            <w:vAlign w:val="center"/>
          </w:tcPr>
          <w:p>
            <w:pPr>
              <w:spacing w:line="440" w:lineRule="exact"/>
              <w:jc w:val="center"/>
              <w:rPr>
                <w:rFonts w:hAnsi="宋体" w:cs="宋体"/>
                <w:b/>
                <w:bCs/>
                <w:szCs w:val="24"/>
                <w:highlight w:val="none"/>
              </w:rPr>
            </w:pPr>
            <w:r>
              <w:rPr>
                <w:rFonts w:hint="eastAsia" w:hAnsi="宋体" w:cs="宋体"/>
                <w:b/>
                <w:bCs/>
                <w:szCs w:val="24"/>
                <w:highlight w:val="none"/>
              </w:rPr>
              <w:t>银行</w:t>
            </w:r>
          </w:p>
          <w:p>
            <w:pPr>
              <w:spacing w:line="440" w:lineRule="exact"/>
              <w:jc w:val="center"/>
              <w:rPr>
                <w:rFonts w:hAnsi="宋体" w:cs="宋体"/>
                <w:b/>
                <w:bCs/>
                <w:szCs w:val="24"/>
                <w:highlight w:val="none"/>
              </w:rPr>
            </w:pPr>
            <w:r>
              <w:rPr>
                <w:rFonts w:hint="eastAsia" w:hAnsi="宋体" w:cs="宋体"/>
                <w:b/>
                <w:bCs/>
                <w:szCs w:val="24"/>
                <w:highlight w:val="none"/>
              </w:rPr>
              <w:t>账户</w:t>
            </w:r>
          </w:p>
          <w:p>
            <w:pPr>
              <w:spacing w:line="440" w:lineRule="exact"/>
              <w:jc w:val="center"/>
              <w:rPr>
                <w:rFonts w:hAnsi="宋体" w:cs="宋体"/>
                <w:b/>
                <w:bCs/>
                <w:szCs w:val="24"/>
                <w:highlight w:val="none"/>
              </w:rPr>
            </w:pPr>
            <w:r>
              <w:rPr>
                <w:rFonts w:hint="eastAsia" w:hAnsi="宋体" w:cs="宋体"/>
                <w:b/>
                <w:bCs/>
                <w:szCs w:val="24"/>
                <w:highlight w:val="none"/>
              </w:rPr>
              <w:t>信息</w:t>
            </w:r>
          </w:p>
        </w:tc>
        <w:tc>
          <w:tcPr>
            <w:tcW w:w="6867" w:type="dxa"/>
            <w:vAlign w:val="center"/>
          </w:tcPr>
          <w:p>
            <w:pPr>
              <w:numPr>
                <w:ilvl w:val="0"/>
                <w:numId w:val="0"/>
              </w:numPr>
              <w:spacing w:line="520" w:lineRule="exact"/>
              <w:rPr>
                <w:rFonts w:hAnsi="宋体" w:cs="宋体"/>
                <w:b/>
                <w:bCs/>
                <w:szCs w:val="24"/>
                <w:highlight w:val="none"/>
              </w:rPr>
            </w:pPr>
            <w:r>
              <w:rPr>
                <w:rFonts w:hint="eastAsia" w:hAnsi="宋体" w:cs="宋体"/>
                <w:b/>
                <w:bCs/>
                <w:szCs w:val="24"/>
                <w:highlight w:val="none"/>
              </w:rPr>
              <w:t>代理服务费账户：</w:t>
            </w:r>
          </w:p>
          <w:p>
            <w:pPr>
              <w:spacing w:line="360" w:lineRule="auto"/>
              <w:ind w:firstLine="482" w:firstLineChars="200"/>
              <w:rPr>
                <w:rFonts w:hint="eastAsia" w:hAnsi="宋体" w:eastAsia="宋体" w:cs="宋体"/>
                <w:b/>
                <w:bCs/>
                <w:szCs w:val="24"/>
                <w:highlight w:val="none"/>
                <w:lang w:eastAsia="zh-CN"/>
              </w:rPr>
            </w:pPr>
            <w:r>
              <w:rPr>
                <w:rFonts w:hint="eastAsia" w:hAnsi="宋体" w:cs="宋体"/>
                <w:b/>
                <w:bCs/>
                <w:szCs w:val="24"/>
                <w:highlight w:val="none"/>
              </w:rPr>
              <w:t>采购代理机构开户名称</w:t>
            </w:r>
            <w:r>
              <w:rPr>
                <w:rFonts w:hint="eastAsia" w:hAnsi="宋体" w:cs="宋体"/>
                <w:b/>
                <w:bCs/>
                <w:szCs w:val="24"/>
                <w:highlight w:val="none"/>
                <w:lang w:eastAsia="zh-CN"/>
              </w:rPr>
              <w:t>：陕西至诚项目管理集团有限公司</w:t>
            </w:r>
          </w:p>
          <w:p>
            <w:pPr>
              <w:spacing w:line="360" w:lineRule="auto"/>
              <w:ind w:firstLine="482" w:firstLineChars="200"/>
              <w:rPr>
                <w:rFonts w:hAnsi="宋体" w:cs="宋体"/>
                <w:b/>
                <w:bCs/>
                <w:szCs w:val="24"/>
                <w:highlight w:val="none"/>
              </w:rPr>
            </w:pPr>
            <w:r>
              <w:rPr>
                <w:rFonts w:hint="eastAsia" w:hAnsi="宋体" w:cs="宋体"/>
                <w:b/>
                <w:bCs/>
                <w:szCs w:val="24"/>
                <w:highlight w:val="none"/>
              </w:rPr>
              <w:t>开户行名称：中国建设银行股份有限公司西安高新技术产业开发区支行</w:t>
            </w:r>
          </w:p>
          <w:p>
            <w:pPr>
              <w:pStyle w:val="2"/>
              <w:ind w:firstLine="482" w:firstLineChars="200"/>
              <w:rPr>
                <w:rFonts w:ascii="宋体" w:hAnsi="宋体" w:cs="宋体"/>
                <w:highlight w:val="none"/>
              </w:rPr>
            </w:pPr>
            <w:r>
              <w:rPr>
                <w:rFonts w:hint="eastAsia" w:ascii="宋体" w:hAnsi="宋体" w:cs="宋体"/>
                <w:b/>
                <w:bCs/>
                <w:sz w:val="24"/>
                <w:szCs w:val="24"/>
                <w:highlight w:val="none"/>
              </w:rPr>
              <w:t>账号：61050192090000002152</w:t>
            </w:r>
          </w:p>
          <w:p>
            <w:pPr>
              <w:spacing w:line="440" w:lineRule="exact"/>
              <w:ind w:firstLine="241" w:firstLineChars="100"/>
              <w:rPr>
                <w:rFonts w:hAnsi="宋体" w:cs="宋体"/>
                <w:szCs w:val="24"/>
                <w:highlight w:val="none"/>
              </w:rPr>
            </w:pPr>
            <w:r>
              <w:rPr>
                <w:rFonts w:hint="eastAsia" w:hAnsi="宋体" w:cs="宋体"/>
                <w:b/>
                <w:bCs/>
                <w:szCs w:val="24"/>
                <w:highlight w:val="none"/>
              </w:rPr>
              <w:t>请各供应商按照要求将服务费汇入以上指定账户，如因自身原因发生错误，产生的不利后果均由供应商自行承担。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17" w:hRule="atLeast"/>
          <w:jc w:val="center"/>
        </w:trPr>
        <w:tc>
          <w:tcPr>
            <w:tcW w:w="590" w:type="dxa"/>
            <w:vAlign w:val="center"/>
          </w:tcPr>
          <w:p>
            <w:pPr>
              <w:jc w:val="center"/>
              <w:rPr>
                <w:rFonts w:hint="default" w:hAnsi="宋体" w:eastAsia="宋体" w:cs="宋体"/>
                <w:szCs w:val="24"/>
                <w:highlight w:val="none"/>
                <w:lang w:val="en-US" w:eastAsia="zh-CN"/>
              </w:rPr>
            </w:pPr>
            <w:r>
              <w:rPr>
                <w:rFonts w:hint="eastAsia" w:hAnsi="宋体" w:cs="宋体"/>
                <w:szCs w:val="24"/>
                <w:highlight w:val="none"/>
                <w:lang w:val="en-US" w:eastAsia="zh-CN"/>
              </w:rPr>
              <w:t>16</w:t>
            </w:r>
          </w:p>
        </w:tc>
        <w:tc>
          <w:tcPr>
            <w:tcW w:w="947" w:type="dxa"/>
            <w:vAlign w:val="center"/>
          </w:tcPr>
          <w:p>
            <w:pPr>
              <w:spacing w:line="360" w:lineRule="auto"/>
              <w:jc w:val="center"/>
              <w:rPr>
                <w:rFonts w:hint="eastAsia" w:hAnsi="宋体" w:cs="宋体"/>
                <w:color w:val="auto"/>
                <w:szCs w:val="24"/>
                <w:highlight w:val="none"/>
              </w:rPr>
            </w:pPr>
            <w:r>
              <w:rPr>
                <w:rFonts w:hint="eastAsia" w:hAnsi="宋体" w:cs="宋体"/>
                <w:color w:val="auto"/>
                <w:szCs w:val="24"/>
                <w:highlight w:val="none"/>
              </w:rPr>
              <w:t>踏勘</w:t>
            </w:r>
          </w:p>
          <w:p>
            <w:pPr>
              <w:spacing w:line="360" w:lineRule="auto"/>
              <w:jc w:val="center"/>
              <w:rPr>
                <w:rFonts w:hint="eastAsia" w:ascii="宋体" w:hAnsi="宋体" w:eastAsia="宋体" w:cs="宋体"/>
                <w:sz w:val="24"/>
                <w:szCs w:val="24"/>
                <w:highlight w:val="none"/>
                <w:lang w:val="en-US" w:eastAsia="zh-CN" w:bidi="ar-SA"/>
              </w:rPr>
            </w:pPr>
            <w:r>
              <w:rPr>
                <w:rFonts w:hint="eastAsia" w:hAnsi="宋体" w:cs="宋体"/>
                <w:color w:val="auto"/>
                <w:szCs w:val="24"/>
                <w:highlight w:val="none"/>
              </w:rPr>
              <w:t>现场</w:t>
            </w:r>
          </w:p>
        </w:tc>
        <w:tc>
          <w:tcPr>
            <w:tcW w:w="6867" w:type="dxa"/>
            <w:vAlign w:val="center"/>
          </w:tcPr>
          <w:p>
            <w:pPr>
              <w:spacing w:line="360" w:lineRule="auto"/>
              <w:rPr>
                <w:rFonts w:hint="eastAsia" w:hAnsi="宋体" w:cs="宋体"/>
                <w:color w:val="auto"/>
                <w:szCs w:val="24"/>
                <w:highlight w:val="none"/>
              </w:rPr>
            </w:pPr>
            <w:r>
              <w:rPr>
                <w:rFonts w:hint="eastAsia" w:hAnsi="宋体" w:cs="宋体"/>
                <w:color w:val="auto"/>
                <w:szCs w:val="24"/>
                <w:highlight w:val="none"/>
              </w:rPr>
              <w:t>1）</w:t>
            </w:r>
            <w:r>
              <w:rPr>
                <w:rFonts w:hint="eastAsia" w:hAnsi="宋体" w:cs="宋体"/>
                <w:color w:val="auto"/>
                <w:szCs w:val="24"/>
                <w:highlight w:val="none"/>
                <w:lang w:val="en-US" w:eastAsia="zh-CN"/>
              </w:rPr>
              <w:t>采购</w:t>
            </w:r>
            <w:r>
              <w:rPr>
                <w:rFonts w:hint="eastAsia" w:hAnsi="宋体" w:cs="宋体"/>
                <w:color w:val="auto"/>
                <w:szCs w:val="24"/>
                <w:highlight w:val="none"/>
              </w:rPr>
              <w:t>代理机构不组织统一踏勘，各</w:t>
            </w:r>
            <w:r>
              <w:rPr>
                <w:rFonts w:hint="eastAsia" w:hAnsi="宋体" w:cs="宋体"/>
                <w:color w:val="auto"/>
                <w:szCs w:val="24"/>
                <w:highlight w:val="none"/>
                <w:lang w:val="en-US" w:eastAsia="zh-CN"/>
              </w:rPr>
              <w:t>供应商</w:t>
            </w:r>
            <w:r>
              <w:rPr>
                <w:rFonts w:hint="eastAsia" w:hAnsi="宋体" w:cs="宋体"/>
                <w:color w:val="auto"/>
                <w:szCs w:val="24"/>
                <w:highlight w:val="none"/>
              </w:rPr>
              <w:t>自行踏勘，相关费用及安全由投标人自行承担，踏勘时遵守相关规定，不得扰民。</w:t>
            </w:r>
          </w:p>
          <w:p>
            <w:pPr>
              <w:spacing w:line="360" w:lineRule="auto"/>
              <w:rPr>
                <w:rFonts w:hint="eastAsia" w:ascii="宋体" w:hAnsi="宋体" w:eastAsia="宋体" w:cs="宋体"/>
                <w:sz w:val="24"/>
                <w:szCs w:val="24"/>
                <w:highlight w:val="none"/>
                <w:lang w:val="en-US" w:eastAsia="zh-CN" w:bidi="ar-SA"/>
              </w:rPr>
            </w:pPr>
            <w:r>
              <w:rPr>
                <w:rFonts w:hint="eastAsia" w:hAnsi="宋体" w:cs="宋体"/>
                <w:color w:val="auto"/>
                <w:szCs w:val="24"/>
                <w:highlight w:val="none"/>
              </w:rPr>
              <w:t>2）踏勘内容包含：完成本次招标所需要的现场情况及周围环境等资料。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8" w:hRule="atLeast"/>
          <w:jc w:val="center"/>
        </w:trPr>
        <w:tc>
          <w:tcPr>
            <w:tcW w:w="590" w:type="dxa"/>
            <w:vAlign w:val="center"/>
          </w:tcPr>
          <w:p>
            <w:pPr>
              <w:spacing w:afterLines="50" w:line="360" w:lineRule="auto"/>
              <w:jc w:val="center"/>
              <w:rPr>
                <w:rFonts w:hint="eastAsia" w:hAnsi="宋体" w:cs="宋体"/>
                <w:szCs w:val="24"/>
                <w:highlight w:val="none"/>
                <w:lang w:val="en-US" w:eastAsia="zh-CN"/>
              </w:rPr>
            </w:pPr>
            <w:r>
              <w:rPr>
                <w:rFonts w:hint="eastAsia" w:hAnsi="宋体" w:cs="宋体"/>
                <w:szCs w:val="24"/>
                <w:highlight w:val="none"/>
                <w:lang w:val="en-US" w:eastAsia="zh-CN"/>
              </w:rPr>
              <w:t>17</w:t>
            </w:r>
          </w:p>
        </w:tc>
        <w:tc>
          <w:tcPr>
            <w:tcW w:w="947" w:type="dxa"/>
            <w:vAlign w:val="center"/>
          </w:tcPr>
          <w:p>
            <w:pPr>
              <w:spacing w:line="440" w:lineRule="exact"/>
              <w:jc w:val="center"/>
              <w:rPr>
                <w:rFonts w:hint="eastAsia" w:ascii="宋体" w:hAnsi="宋体" w:eastAsia="宋体" w:cs="宋体"/>
                <w:b/>
                <w:bCs/>
                <w:szCs w:val="24"/>
                <w:highlight w:val="none"/>
                <w:lang w:eastAsia="zh-CN"/>
              </w:rPr>
            </w:pPr>
            <w:r>
              <w:rPr>
                <w:rFonts w:hint="eastAsia" w:ascii="宋体" w:hAnsi="宋体" w:eastAsia="宋体" w:cs="宋体"/>
                <w:b/>
                <w:bCs/>
                <w:szCs w:val="24"/>
                <w:highlight w:val="none"/>
                <w:lang w:eastAsia="zh-CN"/>
              </w:rPr>
              <w:t>项目</w:t>
            </w:r>
          </w:p>
          <w:p>
            <w:pPr>
              <w:spacing w:line="440" w:lineRule="exact"/>
              <w:jc w:val="center"/>
              <w:rPr>
                <w:rFonts w:hint="eastAsia" w:hAnsi="宋体" w:cs="宋体"/>
                <w:color w:val="auto"/>
                <w:szCs w:val="24"/>
                <w:highlight w:val="none"/>
              </w:rPr>
            </w:pPr>
            <w:r>
              <w:rPr>
                <w:rFonts w:hint="eastAsia" w:ascii="宋体" w:hAnsi="宋体" w:eastAsia="宋体" w:cs="宋体"/>
                <w:b/>
                <w:bCs/>
                <w:szCs w:val="24"/>
                <w:highlight w:val="none"/>
                <w:lang w:eastAsia="zh-CN"/>
              </w:rPr>
              <w:t>性质</w:t>
            </w:r>
          </w:p>
        </w:tc>
        <w:tc>
          <w:tcPr>
            <w:tcW w:w="6867" w:type="dxa"/>
            <w:vAlign w:val="center"/>
          </w:tcPr>
          <w:p>
            <w:pPr>
              <w:spacing w:line="500" w:lineRule="exact"/>
              <w:rPr>
                <w:rFonts w:hint="eastAsia" w:hAnsi="宋体" w:cs="宋体"/>
                <w:color w:val="auto"/>
                <w:szCs w:val="24"/>
                <w:highlight w:val="none"/>
              </w:rPr>
            </w:pPr>
            <w:r>
              <w:rPr>
                <w:rFonts w:hint="eastAsia" w:hAnsi="宋体" w:cs="宋体"/>
                <w:b/>
                <w:bCs/>
                <w:szCs w:val="24"/>
                <w:highlight w:val="none"/>
                <w:lang w:eastAsia="zh-CN"/>
              </w:rPr>
              <w:t>本项目专门面向中小企业；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8" w:hRule="atLeast"/>
          <w:jc w:val="center"/>
        </w:trPr>
        <w:tc>
          <w:tcPr>
            <w:tcW w:w="590" w:type="dxa"/>
            <w:vAlign w:val="center"/>
          </w:tcPr>
          <w:p>
            <w:pPr>
              <w:spacing w:afterLines="50" w:line="360" w:lineRule="auto"/>
              <w:jc w:val="center"/>
              <w:rPr>
                <w:rFonts w:hint="default" w:hAnsi="宋体" w:cs="宋体"/>
                <w:szCs w:val="24"/>
                <w:highlight w:val="none"/>
                <w:lang w:val="en-US" w:eastAsia="zh-CN"/>
              </w:rPr>
            </w:pPr>
            <w:r>
              <w:rPr>
                <w:rFonts w:hint="eastAsia" w:hAnsi="宋体" w:cs="宋体"/>
                <w:szCs w:val="24"/>
                <w:highlight w:val="none"/>
                <w:lang w:val="en-US" w:eastAsia="zh-CN"/>
              </w:rPr>
              <w:t>18</w:t>
            </w:r>
          </w:p>
        </w:tc>
        <w:tc>
          <w:tcPr>
            <w:tcW w:w="947" w:type="dxa"/>
            <w:vAlign w:val="center"/>
          </w:tcPr>
          <w:p>
            <w:pPr>
              <w:keepNext w:val="0"/>
              <w:keepLines w:val="0"/>
              <w:widowControl/>
              <w:suppressLineNumbers w:val="0"/>
              <w:jc w:val="left"/>
              <w:rPr>
                <w:highlight w:val="none"/>
              </w:rPr>
            </w:pPr>
            <w:r>
              <w:rPr>
                <w:rFonts w:hint="eastAsia" w:ascii="宋体" w:hAnsi="宋体" w:eastAsia="宋体" w:cs="宋体"/>
                <w:b/>
                <w:bCs/>
                <w:color w:val="000000"/>
                <w:kern w:val="0"/>
                <w:sz w:val="24"/>
                <w:szCs w:val="24"/>
                <w:highlight w:val="none"/>
                <w:lang w:val="en-US" w:eastAsia="zh-CN" w:bidi="ar"/>
              </w:rPr>
              <w:t xml:space="preserve">本年度 </w:t>
            </w:r>
          </w:p>
          <w:p>
            <w:pPr>
              <w:keepNext w:val="0"/>
              <w:keepLines w:val="0"/>
              <w:widowControl/>
              <w:suppressLineNumbers w:val="0"/>
              <w:jc w:val="left"/>
              <w:rPr>
                <w:highlight w:val="none"/>
              </w:rPr>
            </w:pPr>
            <w:r>
              <w:rPr>
                <w:rFonts w:hint="eastAsia" w:ascii="宋体" w:hAnsi="宋体" w:eastAsia="宋体" w:cs="宋体"/>
                <w:b/>
                <w:bCs/>
                <w:color w:val="000000"/>
                <w:kern w:val="0"/>
                <w:sz w:val="24"/>
                <w:szCs w:val="24"/>
                <w:highlight w:val="none"/>
                <w:lang w:val="en-US" w:eastAsia="zh-CN" w:bidi="ar"/>
              </w:rPr>
              <w:t xml:space="preserve">采购预 </w:t>
            </w:r>
          </w:p>
          <w:p>
            <w:pPr>
              <w:keepNext w:val="0"/>
              <w:keepLines w:val="0"/>
              <w:widowControl/>
              <w:suppressLineNumbers w:val="0"/>
              <w:jc w:val="left"/>
              <w:rPr>
                <w:rFonts w:hint="default"/>
                <w:highlight w:val="none"/>
                <w:lang w:val="en-US"/>
              </w:rPr>
            </w:pPr>
            <w:r>
              <w:rPr>
                <w:rFonts w:hint="eastAsia" w:ascii="宋体" w:hAnsi="宋体" w:eastAsia="宋体" w:cs="宋体"/>
                <w:b/>
                <w:bCs/>
                <w:color w:val="000000"/>
                <w:kern w:val="0"/>
                <w:sz w:val="24"/>
                <w:szCs w:val="24"/>
                <w:highlight w:val="none"/>
                <w:lang w:val="en-US" w:eastAsia="zh-CN" w:bidi="ar"/>
              </w:rPr>
              <w:t>算及最高限价</w:t>
            </w:r>
          </w:p>
          <w:p>
            <w:pPr>
              <w:spacing w:line="440" w:lineRule="exact"/>
              <w:jc w:val="center"/>
              <w:rPr>
                <w:rFonts w:hint="eastAsia" w:ascii="宋体" w:hAnsi="宋体" w:eastAsia="宋体" w:cs="宋体"/>
                <w:b/>
                <w:bCs/>
                <w:szCs w:val="24"/>
                <w:highlight w:val="none"/>
                <w:lang w:eastAsia="zh-CN"/>
              </w:rPr>
            </w:pPr>
          </w:p>
        </w:tc>
        <w:tc>
          <w:tcPr>
            <w:tcW w:w="6867" w:type="dxa"/>
            <w:vAlign w:val="center"/>
          </w:tcPr>
          <w:p>
            <w:pPr>
              <w:spacing w:line="500" w:lineRule="exact"/>
              <w:rPr>
                <w:rFonts w:hint="default" w:hAnsi="宋体" w:cs="宋体"/>
                <w:b/>
                <w:bCs/>
                <w:szCs w:val="24"/>
                <w:highlight w:val="none"/>
                <w:lang w:val="en-US" w:eastAsia="zh-CN"/>
              </w:rPr>
            </w:pPr>
            <w:r>
              <w:rPr>
                <w:rFonts w:hint="eastAsia" w:hAnsi="宋体" w:cs="宋体"/>
                <w:b/>
                <w:bCs/>
                <w:szCs w:val="24"/>
                <w:highlight w:val="none"/>
                <w:lang w:val="en-US" w:eastAsia="zh-CN"/>
              </w:rPr>
              <w:t>19,394,042.26元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0" w:type="dxa"/>
            <w:vAlign w:val="center"/>
          </w:tcPr>
          <w:p>
            <w:pPr>
              <w:spacing w:afterLines="50" w:line="360" w:lineRule="auto"/>
              <w:jc w:val="center"/>
              <w:rPr>
                <w:rFonts w:hint="default" w:hAnsi="宋体" w:cs="宋体"/>
                <w:szCs w:val="24"/>
                <w:highlight w:val="none"/>
                <w:lang w:val="en-US" w:eastAsia="zh-CN"/>
              </w:rPr>
            </w:pPr>
            <w:r>
              <w:rPr>
                <w:rFonts w:hint="eastAsia" w:hAnsi="宋体" w:cs="宋体"/>
                <w:szCs w:val="24"/>
                <w:highlight w:val="none"/>
                <w:lang w:val="en-US" w:eastAsia="zh-CN"/>
              </w:rPr>
              <w:t>19</w:t>
            </w:r>
          </w:p>
        </w:tc>
        <w:tc>
          <w:tcPr>
            <w:tcW w:w="947" w:type="dxa"/>
            <w:vAlign w:val="center"/>
          </w:tcPr>
          <w:p>
            <w:pPr>
              <w:widowControl/>
              <w:spacing w:line="360" w:lineRule="auto"/>
              <w:jc w:val="center"/>
              <w:rPr>
                <w:rFonts w:hint="eastAsia" w:hAnsi="宋体" w:cs="宋体"/>
                <w:color w:val="auto"/>
                <w:szCs w:val="24"/>
                <w:highlight w:val="none"/>
              </w:rPr>
            </w:pPr>
            <w:r>
              <w:rPr>
                <w:rFonts w:hint="eastAsia" w:hAnsi="宋体" w:cs="宋体"/>
                <w:b/>
                <w:bCs/>
                <w:szCs w:val="24"/>
                <w:highlight w:val="none"/>
                <w:lang w:eastAsia="zh-CN"/>
              </w:rPr>
              <w:t>项目所属行业</w:t>
            </w:r>
          </w:p>
        </w:tc>
        <w:tc>
          <w:tcPr>
            <w:tcW w:w="6867" w:type="dxa"/>
            <w:vAlign w:val="center"/>
          </w:tcPr>
          <w:p>
            <w:pPr>
              <w:spacing w:line="500" w:lineRule="exact"/>
              <w:rPr>
                <w:rFonts w:hint="eastAsia" w:hAnsi="宋体" w:cs="宋体"/>
                <w:color w:val="auto"/>
                <w:szCs w:val="24"/>
                <w:highlight w:val="none"/>
              </w:rPr>
            </w:pPr>
            <w:r>
              <w:rPr>
                <w:rFonts w:hint="eastAsia" w:hAnsi="宋体" w:cs="宋体"/>
                <w:b/>
                <w:bCs/>
                <w:szCs w:val="24"/>
                <w:highlight w:val="none"/>
                <w:lang w:eastAsia="zh-CN"/>
              </w:rPr>
              <w:t>其他未列明行业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8" w:hRule="atLeast"/>
          <w:jc w:val="center"/>
        </w:trPr>
        <w:tc>
          <w:tcPr>
            <w:tcW w:w="590" w:type="dxa"/>
            <w:vAlign w:val="center"/>
          </w:tcPr>
          <w:p>
            <w:pPr>
              <w:spacing w:line="360" w:lineRule="auto"/>
              <w:jc w:val="center"/>
              <w:rPr>
                <w:rFonts w:hint="default" w:hAnsi="宋体" w:eastAsia="宋体" w:cs="宋体"/>
                <w:szCs w:val="24"/>
                <w:highlight w:val="none"/>
                <w:lang w:val="en-US" w:eastAsia="zh-CN"/>
              </w:rPr>
            </w:pPr>
            <w:r>
              <w:rPr>
                <w:rFonts w:hint="eastAsia" w:hAnsi="宋体" w:cs="宋体"/>
                <w:szCs w:val="21"/>
                <w:highlight w:val="none"/>
                <w:lang w:val="en-US" w:eastAsia="zh-CN"/>
              </w:rPr>
              <w:t>20</w:t>
            </w:r>
          </w:p>
        </w:tc>
        <w:tc>
          <w:tcPr>
            <w:tcW w:w="947" w:type="dxa"/>
            <w:vAlign w:val="center"/>
          </w:tcPr>
          <w:p>
            <w:pPr>
              <w:spacing w:line="500" w:lineRule="exact"/>
              <w:jc w:val="center"/>
              <w:rPr>
                <w:rFonts w:hAnsi="宋体" w:cs="宋体"/>
                <w:b/>
                <w:bCs/>
                <w:szCs w:val="24"/>
                <w:highlight w:val="none"/>
              </w:rPr>
            </w:pPr>
            <w:r>
              <w:rPr>
                <w:rFonts w:hint="eastAsia" w:hAnsi="宋体" w:cs="宋体"/>
                <w:b/>
                <w:bCs/>
                <w:szCs w:val="24"/>
                <w:highlight w:val="none"/>
              </w:rPr>
              <w:t>供应商注册登记提醒</w:t>
            </w:r>
          </w:p>
          <w:p>
            <w:pPr>
              <w:widowControl/>
              <w:spacing w:line="360" w:lineRule="auto"/>
              <w:jc w:val="center"/>
              <w:rPr>
                <w:rFonts w:hAnsi="宋体" w:cs="宋体"/>
                <w:szCs w:val="24"/>
                <w:highlight w:val="none"/>
              </w:rPr>
            </w:pPr>
          </w:p>
        </w:tc>
        <w:tc>
          <w:tcPr>
            <w:tcW w:w="6867" w:type="dxa"/>
            <w:vAlign w:val="center"/>
          </w:tcPr>
          <w:p>
            <w:pPr>
              <w:spacing w:line="500" w:lineRule="exact"/>
              <w:ind w:firstLine="482" w:firstLineChars="200"/>
              <w:rPr>
                <w:rFonts w:hAnsi="宋体" w:cs="宋体"/>
                <w:b/>
                <w:bCs/>
                <w:szCs w:val="24"/>
                <w:highlight w:val="none"/>
              </w:rPr>
            </w:pPr>
            <w:r>
              <w:rPr>
                <w:rFonts w:hint="eastAsia" w:hAnsi="宋体" w:cs="宋体"/>
                <w:b/>
                <w:bCs/>
                <w:szCs w:val="24"/>
                <w:highlight w:val="none"/>
              </w:rPr>
              <w:t>供应商注册登记提醒：</w:t>
            </w:r>
          </w:p>
          <w:p>
            <w:pPr>
              <w:spacing w:line="500" w:lineRule="exact"/>
              <w:ind w:firstLine="482" w:firstLineChars="200"/>
              <w:rPr>
                <w:highlight w:val="none"/>
              </w:rPr>
            </w:pPr>
            <w:r>
              <w:rPr>
                <w:rFonts w:hint="eastAsia" w:hAnsi="宋体" w:cs="宋体"/>
                <w:b/>
                <w:bCs/>
                <w:szCs w:val="24"/>
                <w:highlight w:val="none"/>
              </w:rPr>
              <w:t>根据陕西省财政厅关于政府采购供应商注册登记有关事项的通知，如所投本项目的供应商未在陕西省政府采购网（</w:t>
            </w:r>
            <w:r>
              <w:rPr>
                <w:highlight w:val="none"/>
              </w:rPr>
              <w:fldChar w:fldCharType="begin"/>
            </w:r>
            <w:r>
              <w:rPr>
                <w:highlight w:val="none"/>
              </w:rPr>
              <w:instrText xml:space="preserve"> HYPERLINK "http://www.ccgp-shaanxi.gov.cn/information/informationDetail.do?informationguid=8a85be3567ed23460167ed36804d0009" </w:instrText>
            </w:r>
            <w:r>
              <w:rPr>
                <w:highlight w:val="none"/>
              </w:rPr>
              <w:fldChar w:fldCharType="separate"/>
            </w:r>
            <w:r>
              <w:rPr>
                <w:rFonts w:hint="eastAsia" w:hAnsi="宋体" w:cs="宋体"/>
                <w:b/>
                <w:bCs/>
                <w:szCs w:val="24"/>
                <w:highlight w:val="none"/>
              </w:rPr>
              <w:t>http://www.ccgp-shaanxi.gov.cn/information/informationDetail.do?informationguid=8a85be3567ed23460167ed36804d0009</w:t>
            </w:r>
            <w:r>
              <w:rPr>
                <w:rFonts w:hint="eastAsia" w:hAnsi="宋体" w:cs="宋体"/>
                <w:b/>
                <w:bCs/>
                <w:szCs w:val="24"/>
                <w:highlight w:val="none"/>
              </w:rPr>
              <w:fldChar w:fldCharType="end"/>
            </w:r>
            <w:r>
              <w:rPr>
                <w:rFonts w:hint="eastAsia" w:hAnsi="宋体" w:cs="宋体"/>
                <w:b/>
                <w:bCs/>
                <w:szCs w:val="24"/>
                <w:highlight w:val="none"/>
              </w:rPr>
              <w:t>）注册登记加入陕西省政府采购供应商库的，应按要求及时办理注册登记，并接受财政部门监督管理。</w:t>
            </w:r>
          </w:p>
        </w:tc>
      </w:tr>
    </w:tbl>
    <w:p>
      <w:pPr>
        <w:spacing w:before="333" w:beforeLines="100"/>
        <w:jc w:val="center"/>
        <w:rPr>
          <w:rFonts w:hAnsi="宋体" w:cs="宋体"/>
          <w:sz w:val="32"/>
          <w:szCs w:val="32"/>
          <w:highlight w:val="none"/>
        </w:rPr>
      </w:pPr>
      <w:r>
        <w:rPr>
          <w:rFonts w:hint="eastAsia" w:hAnsi="宋体" w:cs="宋体"/>
          <w:highlight w:val="none"/>
        </w:rPr>
        <w:br w:type="page"/>
      </w:r>
      <w:bookmarkEnd w:id="9"/>
      <w:bookmarkEnd w:id="10"/>
      <w:bookmarkEnd w:id="11"/>
      <w:bookmarkStart w:id="28" w:name="_Toc363474017"/>
      <w:bookmarkStart w:id="29" w:name="_Toc403077639"/>
      <w:bookmarkStart w:id="30" w:name="_Toc363473972"/>
      <w:r>
        <w:rPr>
          <w:rFonts w:hint="eastAsia" w:hAnsi="宋体" w:cs="宋体"/>
          <w:b/>
          <w:sz w:val="32"/>
          <w:szCs w:val="32"/>
          <w:highlight w:val="none"/>
        </w:rPr>
        <w:t>一.总  则</w:t>
      </w:r>
      <w:bookmarkEnd w:id="28"/>
      <w:bookmarkEnd w:id="29"/>
      <w:bookmarkEnd w:id="30"/>
    </w:p>
    <w:p>
      <w:pPr>
        <w:spacing w:line="500" w:lineRule="exact"/>
        <w:rPr>
          <w:rFonts w:hAnsi="宋体" w:cs="宋体"/>
          <w:b/>
          <w:szCs w:val="24"/>
          <w:highlight w:val="none"/>
        </w:rPr>
      </w:pPr>
      <w:r>
        <w:rPr>
          <w:rFonts w:hint="eastAsia" w:hAnsi="宋体" w:cs="宋体"/>
          <w:b/>
          <w:szCs w:val="24"/>
          <w:highlight w:val="none"/>
        </w:rPr>
        <w:t>1.资金来源</w:t>
      </w:r>
    </w:p>
    <w:p>
      <w:pPr>
        <w:spacing w:line="500" w:lineRule="exact"/>
        <w:ind w:firstLine="480" w:firstLineChars="200"/>
        <w:rPr>
          <w:rFonts w:hAnsi="宋体" w:cs="宋体"/>
          <w:szCs w:val="24"/>
          <w:highlight w:val="none"/>
        </w:rPr>
      </w:pPr>
      <w:r>
        <w:rPr>
          <w:rFonts w:hint="eastAsia" w:hAnsi="宋体" w:cs="宋体"/>
          <w:szCs w:val="24"/>
          <w:highlight w:val="none"/>
        </w:rPr>
        <w:t>1.1本次招标采购所签合同使用财政资金支付，资金已落实到位。</w:t>
      </w:r>
    </w:p>
    <w:p>
      <w:pPr>
        <w:numPr>
          <w:ilvl w:val="0"/>
          <w:numId w:val="1"/>
        </w:numPr>
        <w:spacing w:line="500" w:lineRule="exact"/>
        <w:rPr>
          <w:rFonts w:hAnsi="宋体" w:cs="宋体"/>
          <w:b/>
          <w:szCs w:val="24"/>
          <w:highlight w:val="none"/>
        </w:rPr>
      </w:pPr>
      <w:r>
        <w:rPr>
          <w:rFonts w:hint="eastAsia" w:hAnsi="宋体" w:cs="宋体"/>
          <w:b/>
          <w:szCs w:val="24"/>
          <w:highlight w:val="none"/>
        </w:rPr>
        <w:t>名词解释</w:t>
      </w:r>
    </w:p>
    <w:p>
      <w:pPr>
        <w:tabs>
          <w:tab w:val="left" w:pos="7665"/>
        </w:tabs>
        <w:spacing w:line="500" w:lineRule="exact"/>
        <w:ind w:firstLine="480" w:firstLineChars="200"/>
        <w:rPr>
          <w:rFonts w:hint="eastAsia" w:hAnsi="宋体" w:eastAsia="宋体" w:cs="宋体"/>
          <w:color w:val="000000"/>
          <w:highlight w:val="none"/>
          <w:lang w:eastAsia="zh-CN"/>
        </w:rPr>
      </w:pPr>
      <w:r>
        <w:rPr>
          <w:rFonts w:hint="eastAsia" w:hAnsi="宋体" w:cs="宋体"/>
          <w:color w:val="000000"/>
          <w:highlight w:val="none"/>
        </w:rPr>
        <w:t>2.1采购人：</w:t>
      </w:r>
      <w:r>
        <w:rPr>
          <w:rFonts w:hint="eastAsia" w:hAnsi="宋体"/>
          <w:highlight w:val="none"/>
          <w:lang w:eastAsia="zh-CN"/>
        </w:rPr>
        <w:t>商南县城市管理局</w:t>
      </w:r>
    </w:p>
    <w:p>
      <w:pPr>
        <w:tabs>
          <w:tab w:val="left" w:pos="7665"/>
        </w:tabs>
        <w:spacing w:line="500" w:lineRule="exact"/>
        <w:ind w:firstLine="480" w:firstLineChars="200"/>
        <w:rPr>
          <w:rFonts w:hAnsi="宋体" w:cs="宋体"/>
          <w:color w:val="000000"/>
          <w:highlight w:val="none"/>
        </w:rPr>
      </w:pPr>
      <w:r>
        <w:rPr>
          <w:rFonts w:hint="eastAsia" w:hAnsi="宋体" w:cs="宋体"/>
          <w:color w:val="000000"/>
          <w:highlight w:val="none"/>
        </w:rPr>
        <w:t>2.2监督机构：同级人民政府财政部门</w:t>
      </w:r>
    </w:p>
    <w:p>
      <w:pPr>
        <w:tabs>
          <w:tab w:val="left" w:pos="7665"/>
        </w:tabs>
        <w:spacing w:line="500" w:lineRule="exact"/>
        <w:ind w:firstLine="480" w:firstLineChars="200"/>
        <w:rPr>
          <w:rFonts w:hint="eastAsia" w:hAnsi="宋体" w:eastAsia="宋体" w:cs="宋体"/>
          <w:color w:val="000000"/>
          <w:highlight w:val="none"/>
          <w:lang w:eastAsia="zh-CN"/>
        </w:rPr>
      </w:pPr>
      <w:r>
        <w:rPr>
          <w:rFonts w:hint="eastAsia" w:hAnsi="宋体" w:cs="宋体"/>
          <w:color w:val="000000"/>
          <w:highlight w:val="none"/>
        </w:rPr>
        <w:t>2.3采购代理机构：</w:t>
      </w:r>
      <w:r>
        <w:rPr>
          <w:rFonts w:hint="eastAsia" w:hAnsi="宋体" w:cs="宋体"/>
          <w:color w:val="000000"/>
          <w:highlight w:val="none"/>
          <w:lang w:eastAsia="zh-CN"/>
        </w:rPr>
        <w:t>陕西至诚项目管理集团有限公司</w:t>
      </w:r>
    </w:p>
    <w:p>
      <w:pPr>
        <w:tabs>
          <w:tab w:val="left" w:pos="7665"/>
        </w:tabs>
        <w:spacing w:line="500" w:lineRule="exact"/>
        <w:ind w:firstLine="480" w:firstLineChars="200"/>
        <w:rPr>
          <w:rFonts w:hAnsi="宋体" w:cs="宋体"/>
          <w:color w:val="000000"/>
          <w:highlight w:val="none"/>
        </w:rPr>
      </w:pPr>
      <w:r>
        <w:rPr>
          <w:rFonts w:hint="eastAsia" w:hAnsi="宋体" w:cs="宋体"/>
          <w:color w:val="000000"/>
          <w:highlight w:val="none"/>
        </w:rPr>
        <w:t>2.4投标人：是指响应和符合招标文件规定资格条件且参与投标竞争的法人、</w:t>
      </w:r>
      <w:r>
        <w:rPr>
          <w:rFonts w:hint="eastAsia" w:hAnsi="宋体" w:cs="宋体"/>
          <w:highlight w:val="none"/>
        </w:rPr>
        <w:t>其他组织或者自然人。</w:t>
      </w:r>
    </w:p>
    <w:p>
      <w:pPr>
        <w:adjustRightInd w:val="0"/>
        <w:snapToGrid w:val="0"/>
        <w:spacing w:line="500" w:lineRule="exact"/>
        <w:ind w:firstLine="480" w:firstLineChars="200"/>
        <w:rPr>
          <w:rFonts w:hAnsi="宋体" w:cs="宋体"/>
          <w:color w:val="000000"/>
          <w:highlight w:val="none"/>
        </w:rPr>
      </w:pPr>
      <w:r>
        <w:rPr>
          <w:rFonts w:hint="eastAsia" w:hAnsi="宋体" w:cs="宋体"/>
          <w:color w:val="000000"/>
          <w:highlight w:val="none"/>
        </w:rPr>
        <w:t>2.5产品是指本招标文件中第四章所述所有产品。</w:t>
      </w:r>
    </w:p>
    <w:p>
      <w:pPr>
        <w:adjustRightInd w:val="0"/>
        <w:snapToGrid w:val="0"/>
        <w:spacing w:line="500" w:lineRule="exact"/>
        <w:ind w:firstLine="480" w:firstLineChars="200"/>
        <w:rPr>
          <w:rFonts w:hAnsi="宋体" w:cs="宋体"/>
          <w:color w:val="000000"/>
          <w:highlight w:val="none"/>
        </w:rPr>
      </w:pPr>
      <w:r>
        <w:rPr>
          <w:rFonts w:hint="eastAsia" w:hAnsi="宋体" w:cs="宋体"/>
          <w:color w:val="000000"/>
          <w:highlight w:val="none"/>
        </w:rPr>
        <w:t>2.6服务是指投标人为满足招标文件要求而提供的服务。</w:t>
      </w:r>
    </w:p>
    <w:p>
      <w:pPr>
        <w:adjustRightInd w:val="0"/>
        <w:snapToGrid w:val="0"/>
        <w:spacing w:line="500" w:lineRule="exact"/>
        <w:ind w:firstLine="480" w:firstLineChars="200"/>
        <w:rPr>
          <w:rFonts w:hAnsi="宋体" w:cs="宋体"/>
          <w:color w:val="000000"/>
          <w:highlight w:val="none"/>
        </w:rPr>
      </w:pPr>
      <w:r>
        <w:rPr>
          <w:rFonts w:hint="eastAsia" w:hAnsi="宋体" w:cs="宋体"/>
          <w:color w:val="000000"/>
          <w:highlight w:val="none"/>
        </w:rPr>
        <w:t>2.7节能产品或者环保产品是指财政部发布的《节能产品政府采购清单》或《环境标志产品政府采购清单》的产品。</w:t>
      </w:r>
    </w:p>
    <w:p>
      <w:pPr>
        <w:adjustRightInd w:val="0"/>
        <w:snapToGrid w:val="0"/>
        <w:spacing w:line="500" w:lineRule="exact"/>
        <w:ind w:firstLine="480" w:firstLineChars="200"/>
        <w:rPr>
          <w:rFonts w:hAnsi="宋体" w:cs="宋体"/>
          <w:color w:val="000000"/>
          <w:highlight w:val="none"/>
        </w:rPr>
      </w:pPr>
      <w:r>
        <w:rPr>
          <w:rFonts w:hint="eastAsia" w:hAnsi="宋体" w:cs="宋体"/>
          <w:color w:val="000000"/>
          <w:highlight w:val="none"/>
        </w:rPr>
        <w:t>2.8进口产品是指通过中国海关报关验放进入中国境内且产自关境外的产品，详见《关于政府采购进口产品管理有关问题的通知》(财库[2007]119号)。</w:t>
      </w:r>
    </w:p>
    <w:p>
      <w:pPr>
        <w:adjustRightInd w:val="0"/>
        <w:snapToGrid w:val="0"/>
        <w:spacing w:line="500" w:lineRule="exact"/>
        <w:ind w:firstLine="480" w:firstLineChars="200"/>
        <w:rPr>
          <w:rFonts w:hAnsi="宋体" w:cs="宋体"/>
          <w:color w:val="000000"/>
          <w:highlight w:val="none"/>
        </w:rPr>
      </w:pPr>
      <w:r>
        <w:rPr>
          <w:rFonts w:hint="eastAsia" w:hAnsi="宋体" w:cs="宋体"/>
          <w:color w:val="000000"/>
          <w:highlight w:val="none"/>
        </w:rPr>
        <w:t>2.9中小企业是指符合《工业和信息化部、国家统计局、国家发展和改革委员会、财政部关于印发中小企业划型标准规定的通知》（工信部联企业[2011]300号）规定的对中小企业的划分标准的企业。</w:t>
      </w:r>
    </w:p>
    <w:p>
      <w:pPr>
        <w:adjustRightInd w:val="0"/>
        <w:snapToGrid w:val="0"/>
        <w:spacing w:line="500" w:lineRule="exact"/>
        <w:ind w:firstLine="480" w:firstLineChars="200"/>
        <w:rPr>
          <w:rFonts w:hAnsi="宋体" w:cs="宋体"/>
          <w:color w:val="000000"/>
          <w:highlight w:val="none"/>
        </w:rPr>
      </w:pPr>
      <w:r>
        <w:rPr>
          <w:rFonts w:hint="eastAsia" w:hAnsi="宋体" w:cs="宋体"/>
          <w:color w:val="000000"/>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djustRightInd w:val="0"/>
        <w:snapToGrid w:val="0"/>
        <w:spacing w:line="500" w:lineRule="exact"/>
        <w:ind w:firstLine="480" w:firstLineChars="200"/>
        <w:rPr>
          <w:rFonts w:hAnsi="宋体" w:cs="宋体"/>
          <w:color w:val="000000"/>
          <w:highlight w:val="none"/>
        </w:rPr>
      </w:pPr>
      <w:r>
        <w:rPr>
          <w:rFonts w:hint="eastAsia" w:hAnsi="宋体" w:cs="宋体"/>
          <w:color w:val="000000"/>
          <w:highlight w:val="none"/>
        </w:rPr>
        <w:t>2.11残疾人福利性单位是指符合《三部门联合发布关于促进残疾人就业政府采购政策的通知》财库〔2017〕141号规定的对残疾人福利性单位划分标准的单位。</w:t>
      </w:r>
    </w:p>
    <w:p>
      <w:pPr>
        <w:spacing w:line="500" w:lineRule="exact"/>
        <w:rPr>
          <w:rFonts w:hAnsi="宋体" w:cs="宋体"/>
          <w:b/>
          <w:szCs w:val="24"/>
          <w:highlight w:val="none"/>
        </w:rPr>
      </w:pPr>
      <w:r>
        <w:rPr>
          <w:rFonts w:hint="eastAsia" w:hAnsi="宋体" w:cs="宋体"/>
          <w:b/>
          <w:szCs w:val="24"/>
          <w:highlight w:val="none"/>
        </w:rPr>
        <w:t>3.合格的投标人</w:t>
      </w:r>
    </w:p>
    <w:p>
      <w:pPr>
        <w:tabs>
          <w:tab w:val="left" w:pos="851"/>
        </w:tabs>
        <w:spacing w:line="500" w:lineRule="exact"/>
        <w:ind w:firstLine="480" w:firstLineChars="200"/>
        <w:rPr>
          <w:rFonts w:hAnsi="宋体" w:cs="宋体"/>
          <w:szCs w:val="24"/>
          <w:highlight w:val="none"/>
        </w:rPr>
      </w:pPr>
      <w:r>
        <w:rPr>
          <w:rFonts w:hint="eastAsia" w:hAnsi="宋体" w:cs="宋体"/>
          <w:szCs w:val="24"/>
          <w:highlight w:val="none"/>
        </w:rPr>
        <w:t>3.1《政府采购法》第二十二条第一款规定的投标人基本资格条件:</w:t>
      </w:r>
    </w:p>
    <w:p>
      <w:pPr>
        <w:spacing w:line="500" w:lineRule="exact"/>
        <w:ind w:firstLine="480" w:firstLineChars="200"/>
        <w:rPr>
          <w:rFonts w:hAnsi="宋体" w:cs="宋体"/>
          <w:szCs w:val="24"/>
          <w:highlight w:val="none"/>
        </w:rPr>
      </w:pPr>
      <w:r>
        <w:rPr>
          <w:rFonts w:hint="eastAsia" w:hAnsi="宋体" w:cs="宋体"/>
          <w:szCs w:val="24"/>
          <w:highlight w:val="none"/>
        </w:rPr>
        <w:t xml:space="preserve">   （1）具有独立承担民事责任的能力；</w:t>
      </w:r>
    </w:p>
    <w:p>
      <w:pPr>
        <w:spacing w:line="500" w:lineRule="exact"/>
        <w:ind w:firstLine="480" w:firstLineChars="200"/>
        <w:rPr>
          <w:rFonts w:hAnsi="宋体" w:cs="宋体"/>
          <w:szCs w:val="24"/>
          <w:highlight w:val="none"/>
        </w:rPr>
      </w:pPr>
      <w:r>
        <w:rPr>
          <w:rFonts w:hint="eastAsia" w:hAnsi="宋体" w:cs="宋体"/>
          <w:szCs w:val="24"/>
          <w:highlight w:val="none"/>
        </w:rPr>
        <w:t xml:space="preserve">   （2）具有良好的商业信誉和健全的财务会计制度；</w:t>
      </w:r>
    </w:p>
    <w:p>
      <w:pPr>
        <w:spacing w:line="500" w:lineRule="exact"/>
        <w:ind w:firstLine="480" w:firstLineChars="200"/>
        <w:rPr>
          <w:rFonts w:hAnsi="宋体" w:cs="宋体"/>
          <w:szCs w:val="24"/>
          <w:highlight w:val="none"/>
        </w:rPr>
      </w:pPr>
      <w:r>
        <w:rPr>
          <w:rFonts w:hint="eastAsia" w:hAnsi="宋体" w:cs="宋体"/>
          <w:szCs w:val="24"/>
          <w:highlight w:val="none"/>
        </w:rPr>
        <w:t xml:space="preserve">   （3）具有履行合同所必需的设备和专业技术能力；</w:t>
      </w:r>
    </w:p>
    <w:p>
      <w:pPr>
        <w:spacing w:line="500" w:lineRule="exact"/>
        <w:ind w:firstLine="480" w:firstLineChars="200"/>
        <w:rPr>
          <w:rFonts w:hAnsi="宋体" w:cs="宋体"/>
          <w:szCs w:val="24"/>
          <w:highlight w:val="none"/>
        </w:rPr>
      </w:pPr>
      <w:r>
        <w:rPr>
          <w:rFonts w:hint="eastAsia" w:hAnsi="宋体" w:cs="宋体"/>
          <w:szCs w:val="24"/>
          <w:highlight w:val="none"/>
        </w:rPr>
        <w:t xml:space="preserve">   （4）有依法缴纳税收和社会保障资金的良好记录；</w:t>
      </w:r>
    </w:p>
    <w:p>
      <w:pPr>
        <w:spacing w:line="500" w:lineRule="exact"/>
        <w:ind w:firstLine="480" w:firstLineChars="200"/>
        <w:rPr>
          <w:rFonts w:hAnsi="宋体" w:cs="宋体"/>
          <w:szCs w:val="24"/>
          <w:highlight w:val="none"/>
        </w:rPr>
      </w:pPr>
      <w:r>
        <w:rPr>
          <w:rFonts w:hint="eastAsia" w:hAnsi="宋体" w:cs="宋体"/>
          <w:szCs w:val="24"/>
          <w:highlight w:val="none"/>
        </w:rPr>
        <w:t xml:space="preserve">   （5）参加政府采购活动前三年内，在经营活动中没有重大违法记录；</w:t>
      </w:r>
    </w:p>
    <w:p>
      <w:pPr>
        <w:spacing w:line="500" w:lineRule="exact"/>
        <w:ind w:firstLine="480" w:firstLineChars="200"/>
        <w:rPr>
          <w:rFonts w:hAnsi="宋体" w:cs="宋体"/>
          <w:szCs w:val="24"/>
          <w:highlight w:val="none"/>
        </w:rPr>
      </w:pPr>
      <w:r>
        <w:rPr>
          <w:rFonts w:hint="eastAsia" w:hAnsi="宋体" w:cs="宋体"/>
          <w:szCs w:val="24"/>
          <w:highlight w:val="none"/>
        </w:rPr>
        <w:t xml:space="preserve">   （6）法律、行政法规规定的其他条件。</w:t>
      </w:r>
    </w:p>
    <w:p>
      <w:pPr>
        <w:spacing w:line="500" w:lineRule="exact"/>
        <w:ind w:firstLine="480" w:firstLineChars="200"/>
        <w:rPr>
          <w:rFonts w:hAnsi="宋体" w:cs="宋体"/>
          <w:szCs w:val="24"/>
          <w:highlight w:val="none"/>
        </w:rPr>
      </w:pPr>
      <w:r>
        <w:rPr>
          <w:rFonts w:hint="eastAsia" w:hAnsi="宋体" w:cs="宋体"/>
          <w:szCs w:val="24"/>
          <w:highlight w:val="none"/>
        </w:rPr>
        <w:t>3.2根据本次采购项目的特殊要求，规定的投标人特殊条件（见投标人须知前附表）。</w:t>
      </w:r>
    </w:p>
    <w:p>
      <w:pPr>
        <w:spacing w:line="500" w:lineRule="exact"/>
        <w:ind w:firstLine="480" w:firstLineChars="200"/>
        <w:rPr>
          <w:rFonts w:hAnsi="宋体" w:cs="宋体"/>
          <w:szCs w:val="24"/>
          <w:highlight w:val="none"/>
        </w:rPr>
      </w:pPr>
      <w:r>
        <w:rPr>
          <w:rFonts w:hint="eastAsia" w:hAnsi="宋体" w:cs="宋体"/>
          <w:szCs w:val="24"/>
          <w:highlight w:val="none"/>
        </w:rPr>
        <w:t>3.3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否则均为无效投标。</w:t>
      </w:r>
    </w:p>
    <w:p>
      <w:pPr>
        <w:adjustRightInd w:val="0"/>
        <w:snapToGrid w:val="0"/>
        <w:spacing w:line="360" w:lineRule="auto"/>
        <w:ind w:right="420" w:firstLine="480" w:firstLineChars="200"/>
        <w:jc w:val="left"/>
        <w:rPr>
          <w:rFonts w:hAnsi="宋体" w:cs="宋体"/>
          <w:szCs w:val="24"/>
          <w:highlight w:val="none"/>
        </w:rPr>
      </w:pPr>
      <w:r>
        <w:rPr>
          <w:rFonts w:hint="eastAsia" w:hAnsi="宋体" w:cs="宋体"/>
          <w:szCs w:val="24"/>
          <w:highlight w:val="none"/>
        </w:rPr>
        <w:t>3.4投标人必须在</w:t>
      </w:r>
      <w:r>
        <w:rPr>
          <w:rFonts w:hint="eastAsia" w:hAnsi="宋体" w:cs="宋体"/>
          <w:szCs w:val="24"/>
          <w:highlight w:val="none"/>
          <w:lang w:eastAsia="zh-CN"/>
        </w:rPr>
        <w:t>陕西至诚项目管理集团有限公司</w:t>
      </w:r>
      <w:r>
        <w:rPr>
          <w:rFonts w:hint="eastAsia" w:hAnsi="宋体" w:cs="宋体"/>
          <w:szCs w:val="24"/>
          <w:highlight w:val="none"/>
        </w:rPr>
        <w:t>购买招标文件，方可参加投标。招标文件售后不退。</w:t>
      </w:r>
    </w:p>
    <w:p>
      <w:pPr>
        <w:tabs>
          <w:tab w:val="left" w:pos="747"/>
        </w:tabs>
        <w:snapToGrid w:val="0"/>
        <w:spacing w:line="500" w:lineRule="exact"/>
        <w:rPr>
          <w:rFonts w:hAnsi="宋体" w:cs="宋体"/>
          <w:b/>
          <w:bCs/>
          <w:highlight w:val="none"/>
        </w:rPr>
      </w:pPr>
      <w:r>
        <w:rPr>
          <w:rFonts w:hint="eastAsia" w:hAnsi="宋体" w:cs="宋体"/>
          <w:b/>
          <w:bCs/>
          <w:highlight w:val="none"/>
        </w:rPr>
        <w:t>4.合格的服务</w:t>
      </w:r>
    </w:p>
    <w:p>
      <w:pPr>
        <w:tabs>
          <w:tab w:val="left" w:pos="747"/>
        </w:tabs>
        <w:snapToGrid w:val="0"/>
        <w:spacing w:line="500" w:lineRule="exact"/>
        <w:ind w:firstLine="480" w:firstLineChars="200"/>
        <w:rPr>
          <w:rFonts w:hAnsi="宋体" w:cs="宋体"/>
          <w:highlight w:val="none"/>
        </w:rPr>
      </w:pPr>
      <w:r>
        <w:rPr>
          <w:rFonts w:hint="eastAsia" w:hAnsi="宋体" w:cs="宋体"/>
          <w:highlight w:val="none"/>
        </w:rPr>
        <w:t>4.1投标人提供的所有服务，必须是符合国家有关法律及行业标准要求，并满足招标文件规定的服务内容、服务标准、服务质量、服务期限以及投标人须承担的相关人力、物力、机械、财务和招标文件规定</w:t>
      </w:r>
      <w:r>
        <w:rPr>
          <w:rFonts w:hint="eastAsia" w:hAnsi="宋体" w:cs="宋体"/>
          <w:highlight w:val="none"/>
          <w:lang w:eastAsia="zh-CN"/>
        </w:rPr>
        <w:t>的其他</w:t>
      </w:r>
      <w:r>
        <w:rPr>
          <w:rFonts w:hint="eastAsia" w:hAnsi="宋体" w:cs="宋体"/>
          <w:highlight w:val="none"/>
        </w:rPr>
        <w:t>伴随服务等要求。</w:t>
      </w:r>
    </w:p>
    <w:p>
      <w:pPr>
        <w:tabs>
          <w:tab w:val="left" w:pos="747"/>
        </w:tabs>
        <w:snapToGrid w:val="0"/>
        <w:spacing w:line="500" w:lineRule="exact"/>
        <w:ind w:firstLine="480" w:firstLineChars="200"/>
        <w:rPr>
          <w:rFonts w:hAnsi="宋体" w:cs="宋体"/>
          <w:szCs w:val="24"/>
          <w:highlight w:val="none"/>
        </w:rPr>
      </w:pPr>
      <w:r>
        <w:rPr>
          <w:rFonts w:hint="eastAsia" w:hAnsi="宋体" w:cs="宋体"/>
          <w:highlight w:val="none"/>
        </w:rPr>
        <w:t>4.2采购人有权拒绝接受任何不满足要求的服务，由此产生的费用及相关后果均由投标人自行承担。</w:t>
      </w:r>
    </w:p>
    <w:p>
      <w:pPr>
        <w:spacing w:line="500" w:lineRule="exact"/>
        <w:rPr>
          <w:rFonts w:hAnsi="宋体" w:cs="宋体"/>
          <w:b/>
          <w:szCs w:val="24"/>
          <w:highlight w:val="none"/>
        </w:rPr>
      </w:pPr>
      <w:r>
        <w:rPr>
          <w:rFonts w:hint="eastAsia" w:hAnsi="宋体" w:cs="宋体"/>
          <w:b/>
          <w:szCs w:val="24"/>
          <w:highlight w:val="none"/>
        </w:rPr>
        <w:t>5.投标文件内容的真实性</w:t>
      </w:r>
    </w:p>
    <w:p>
      <w:pPr>
        <w:spacing w:line="500" w:lineRule="exact"/>
        <w:ind w:firstLine="480" w:firstLineChars="200"/>
        <w:rPr>
          <w:rFonts w:hAnsi="宋体" w:cs="宋体"/>
          <w:szCs w:val="24"/>
          <w:highlight w:val="none"/>
        </w:rPr>
      </w:pPr>
      <w:r>
        <w:rPr>
          <w:rFonts w:hint="eastAsia" w:hAnsi="宋体" w:cs="宋体"/>
          <w:szCs w:val="24"/>
          <w:highlight w:val="none"/>
        </w:rPr>
        <w:t>5.1投标人应保证其投标文件中所提供的所有投标资料、信息是真实的，并且来源于合法的渠道。因投标文件中所提供的投标资料、信息不真实或者其来源不合法而导致的所有法律责任，由投标人自行承担。</w:t>
      </w:r>
    </w:p>
    <w:p>
      <w:pPr>
        <w:spacing w:before="333" w:beforeLines="100"/>
        <w:jc w:val="center"/>
        <w:rPr>
          <w:rFonts w:hAnsi="宋体" w:cs="宋体"/>
          <w:b/>
          <w:sz w:val="32"/>
          <w:szCs w:val="32"/>
          <w:highlight w:val="none"/>
        </w:rPr>
      </w:pPr>
      <w:r>
        <w:rPr>
          <w:rFonts w:hint="eastAsia" w:hAnsi="宋体" w:cs="宋体"/>
          <w:b/>
          <w:sz w:val="32"/>
          <w:szCs w:val="32"/>
          <w:highlight w:val="none"/>
        </w:rPr>
        <w:t>二、招标文件</w:t>
      </w:r>
    </w:p>
    <w:p>
      <w:pPr>
        <w:spacing w:line="500" w:lineRule="exact"/>
        <w:rPr>
          <w:rFonts w:hAnsi="宋体" w:cs="宋体"/>
          <w:b/>
          <w:szCs w:val="24"/>
          <w:highlight w:val="none"/>
        </w:rPr>
      </w:pPr>
      <w:r>
        <w:rPr>
          <w:rFonts w:hint="eastAsia" w:hAnsi="宋体" w:cs="宋体"/>
          <w:b/>
          <w:szCs w:val="24"/>
          <w:highlight w:val="none"/>
        </w:rPr>
        <w:t>6.招标文件构成</w:t>
      </w:r>
    </w:p>
    <w:p>
      <w:pPr>
        <w:spacing w:line="500" w:lineRule="exact"/>
        <w:ind w:firstLine="480" w:firstLineChars="200"/>
        <w:rPr>
          <w:rFonts w:hAnsi="宋体" w:cs="宋体"/>
          <w:szCs w:val="24"/>
          <w:highlight w:val="none"/>
        </w:rPr>
      </w:pPr>
      <w:r>
        <w:rPr>
          <w:rFonts w:hint="eastAsia" w:hAnsi="宋体" w:cs="宋体"/>
          <w:szCs w:val="24"/>
          <w:highlight w:val="none"/>
        </w:rPr>
        <w:t>6.1 招标文件要求提供的服务，招标程序和合同条件在招标文件中均有说明。招标文件共六章，内容如下：</w:t>
      </w:r>
    </w:p>
    <w:p>
      <w:pPr>
        <w:spacing w:line="500" w:lineRule="exact"/>
        <w:ind w:firstLine="480" w:firstLineChars="200"/>
        <w:rPr>
          <w:rFonts w:hAnsi="宋体" w:cs="宋体"/>
          <w:szCs w:val="24"/>
          <w:highlight w:val="none"/>
        </w:rPr>
      </w:pPr>
      <w:r>
        <w:rPr>
          <w:rFonts w:hint="eastAsia" w:hAnsi="宋体" w:cs="宋体"/>
          <w:szCs w:val="24"/>
          <w:highlight w:val="none"/>
        </w:rPr>
        <w:t>第一章 招标公告</w:t>
      </w:r>
    </w:p>
    <w:p>
      <w:pPr>
        <w:spacing w:line="500" w:lineRule="exact"/>
        <w:ind w:firstLine="480" w:firstLineChars="200"/>
        <w:rPr>
          <w:rFonts w:hAnsi="宋体" w:cs="宋体"/>
          <w:szCs w:val="24"/>
          <w:highlight w:val="none"/>
        </w:rPr>
      </w:pPr>
      <w:r>
        <w:rPr>
          <w:rFonts w:hint="eastAsia" w:hAnsi="宋体" w:cs="宋体"/>
          <w:szCs w:val="24"/>
          <w:highlight w:val="none"/>
        </w:rPr>
        <w:t>第二章 投标人须知</w:t>
      </w:r>
    </w:p>
    <w:p>
      <w:pPr>
        <w:spacing w:line="500" w:lineRule="exact"/>
        <w:ind w:firstLine="480" w:firstLineChars="200"/>
        <w:rPr>
          <w:rFonts w:hAnsi="宋体" w:cs="宋体"/>
          <w:szCs w:val="24"/>
          <w:highlight w:val="none"/>
        </w:rPr>
      </w:pPr>
      <w:r>
        <w:rPr>
          <w:rFonts w:hint="eastAsia" w:hAnsi="宋体" w:cs="宋体"/>
          <w:szCs w:val="24"/>
          <w:highlight w:val="none"/>
        </w:rPr>
        <w:t xml:space="preserve">   投标人须知前附表</w:t>
      </w:r>
    </w:p>
    <w:p>
      <w:pPr>
        <w:spacing w:line="500" w:lineRule="exact"/>
        <w:ind w:firstLine="480" w:firstLineChars="200"/>
        <w:rPr>
          <w:rFonts w:hAnsi="宋体" w:cs="宋体"/>
          <w:szCs w:val="24"/>
          <w:highlight w:val="none"/>
        </w:rPr>
      </w:pPr>
      <w:r>
        <w:rPr>
          <w:rFonts w:hint="eastAsia" w:hAnsi="宋体" w:cs="宋体"/>
          <w:szCs w:val="24"/>
          <w:highlight w:val="none"/>
        </w:rPr>
        <w:t>第三章 合同条款及格式</w:t>
      </w:r>
    </w:p>
    <w:p>
      <w:pPr>
        <w:spacing w:line="500" w:lineRule="exact"/>
        <w:ind w:firstLine="840" w:firstLineChars="350"/>
        <w:rPr>
          <w:rFonts w:hAnsi="宋体" w:cs="宋体"/>
          <w:szCs w:val="24"/>
          <w:highlight w:val="none"/>
        </w:rPr>
      </w:pPr>
      <w:r>
        <w:rPr>
          <w:rFonts w:hint="eastAsia" w:hAnsi="宋体" w:cs="宋体"/>
          <w:szCs w:val="24"/>
          <w:highlight w:val="none"/>
        </w:rPr>
        <w:t>合同条款及格式前附表</w:t>
      </w:r>
    </w:p>
    <w:p>
      <w:pPr>
        <w:spacing w:line="500" w:lineRule="exact"/>
        <w:ind w:firstLine="480" w:firstLineChars="200"/>
        <w:rPr>
          <w:rFonts w:hAnsi="宋体" w:cs="宋体"/>
          <w:szCs w:val="24"/>
          <w:highlight w:val="none"/>
        </w:rPr>
      </w:pPr>
      <w:r>
        <w:rPr>
          <w:rFonts w:hint="eastAsia" w:hAnsi="宋体" w:cs="宋体"/>
          <w:szCs w:val="24"/>
          <w:highlight w:val="none"/>
        </w:rPr>
        <w:t>第四章 采购内容及技术要求</w:t>
      </w:r>
    </w:p>
    <w:p>
      <w:pPr>
        <w:spacing w:line="500" w:lineRule="exact"/>
        <w:ind w:firstLine="480" w:firstLineChars="200"/>
        <w:rPr>
          <w:rFonts w:hAnsi="宋体" w:cs="宋体"/>
          <w:szCs w:val="24"/>
          <w:highlight w:val="none"/>
        </w:rPr>
      </w:pPr>
      <w:r>
        <w:rPr>
          <w:rFonts w:hint="eastAsia" w:hAnsi="宋体" w:cs="宋体"/>
          <w:szCs w:val="24"/>
          <w:highlight w:val="none"/>
        </w:rPr>
        <w:t>第五章 评标方法</w:t>
      </w:r>
    </w:p>
    <w:p>
      <w:pPr>
        <w:spacing w:line="500" w:lineRule="exact"/>
        <w:ind w:firstLine="480" w:firstLineChars="200"/>
        <w:rPr>
          <w:rFonts w:hAnsi="宋体" w:cs="宋体"/>
          <w:szCs w:val="24"/>
          <w:highlight w:val="none"/>
        </w:rPr>
      </w:pPr>
      <w:r>
        <w:rPr>
          <w:rFonts w:hint="eastAsia" w:hAnsi="宋体" w:cs="宋体"/>
          <w:szCs w:val="24"/>
          <w:highlight w:val="none"/>
        </w:rPr>
        <w:t xml:space="preserve">第六章 投标文件构成及格式  </w:t>
      </w:r>
    </w:p>
    <w:p>
      <w:pPr>
        <w:spacing w:line="500" w:lineRule="exact"/>
        <w:ind w:firstLine="480" w:firstLineChars="200"/>
        <w:rPr>
          <w:rFonts w:hAnsi="宋体" w:cs="宋体"/>
          <w:szCs w:val="24"/>
          <w:highlight w:val="none"/>
        </w:rPr>
      </w:pPr>
      <w:r>
        <w:rPr>
          <w:rFonts w:hint="eastAsia" w:hAnsi="宋体" w:cs="宋体"/>
          <w:szCs w:val="24"/>
          <w:highlight w:val="none"/>
        </w:rPr>
        <w:t>6.2投标人应认真阅读招标文件中所有的事项、格式、条款和规范等要求。如果投标人没有按照招标文件要求提交全部资料，或者投标文件没有对招标文件在各方面都做出实质性响应，由此带来不利于投标人的评标结果，其风险由投标人承担。</w:t>
      </w:r>
    </w:p>
    <w:p>
      <w:pPr>
        <w:spacing w:line="500" w:lineRule="exact"/>
        <w:ind w:firstLine="480" w:firstLineChars="200"/>
        <w:rPr>
          <w:rFonts w:hAnsi="宋体" w:cs="宋体"/>
          <w:szCs w:val="24"/>
          <w:highlight w:val="none"/>
        </w:rPr>
      </w:pPr>
      <w:r>
        <w:rPr>
          <w:rFonts w:hint="eastAsia" w:hAnsi="宋体" w:cs="宋体"/>
          <w:szCs w:val="24"/>
          <w:highlight w:val="none"/>
        </w:rPr>
        <w:t>6.3本招标文件的解释权归</w:t>
      </w:r>
      <w:r>
        <w:rPr>
          <w:rFonts w:hint="eastAsia" w:hAnsi="宋体" w:cs="宋体"/>
          <w:szCs w:val="24"/>
          <w:highlight w:val="none"/>
          <w:lang w:eastAsia="zh-CN"/>
        </w:rPr>
        <w:t>陕西至诚项目管理集团有限公司</w:t>
      </w:r>
      <w:r>
        <w:rPr>
          <w:rFonts w:hint="eastAsia" w:hAnsi="宋体" w:cs="宋体"/>
          <w:szCs w:val="24"/>
          <w:highlight w:val="none"/>
        </w:rPr>
        <w:t>，如发现招标文件内容与现行法律法规不相符的情况，以现行法律法规为准。</w:t>
      </w:r>
    </w:p>
    <w:p>
      <w:pPr>
        <w:spacing w:line="500" w:lineRule="exact"/>
        <w:rPr>
          <w:rFonts w:hAnsi="宋体" w:cs="宋体"/>
          <w:b/>
          <w:szCs w:val="24"/>
          <w:highlight w:val="none"/>
        </w:rPr>
      </w:pPr>
      <w:r>
        <w:rPr>
          <w:rFonts w:hint="eastAsia" w:hAnsi="宋体" w:cs="宋体"/>
          <w:b/>
          <w:szCs w:val="24"/>
          <w:highlight w:val="none"/>
        </w:rPr>
        <w:t>7.招标文件的修改和澄清</w:t>
      </w:r>
    </w:p>
    <w:p>
      <w:pPr>
        <w:tabs>
          <w:tab w:val="left" w:pos="720"/>
        </w:tabs>
        <w:spacing w:line="500" w:lineRule="exact"/>
        <w:ind w:firstLine="480" w:firstLineChars="200"/>
        <w:rPr>
          <w:rFonts w:hAnsi="宋体" w:cs="宋体"/>
          <w:highlight w:val="none"/>
        </w:rPr>
      </w:pPr>
      <w:r>
        <w:rPr>
          <w:rFonts w:hint="eastAsia" w:hAnsi="宋体" w:cs="宋体"/>
          <w:highlight w:val="none"/>
        </w:rPr>
        <w:t>7.1 在投标截止时间前，采购代理机构无论出于何种原因，可以对已发出招标文件进行必要的澄清或者修改，但不得修改采购标的和资格条件。</w:t>
      </w:r>
    </w:p>
    <w:p>
      <w:pPr>
        <w:spacing w:line="500" w:lineRule="exact"/>
        <w:ind w:firstLine="480" w:firstLineChars="200"/>
        <w:rPr>
          <w:rFonts w:hAnsi="宋体" w:cs="宋体"/>
          <w:highlight w:val="none"/>
        </w:rPr>
      </w:pPr>
      <w:r>
        <w:rPr>
          <w:rFonts w:hint="eastAsia" w:hAnsi="宋体" w:cs="宋体"/>
          <w:highlight w:val="none"/>
        </w:rPr>
        <w:t>7.2 澄清或者修改的内容可能影响投标文件编制的，采购代理机构应当在投标文件截止时间</w:t>
      </w:r>
      <w:r>
        <w:rPr>
          <w:rFonts w:hint="eastAsia" w:hAnsi="宋体" w:cs="宋体"/>
          <w:bCs/>
          <w:highlight w:val="none"/>
        </w:rPr>
        <w:t>15日前，以书面形式将澄清或者修改的内容通知所有获取招标文件的潜在投标人，同时在原信息发布媒体上发布变更公告。该澄清或者修改的内容为招标文件的组成部分。如果澄清或者修改发出的时间距规定的投标截止时间不足15日，将相应</w:t>
      </w:r>
      <w:r>
        <w:rPr>
          <w:rFonts w:hint="eastAsia" w:hAnsi="宋体" w:cs="宋体"/>
          <w:highlight w:val="none"/>
        </w:rPr>
        <w:t>顺延投标截止时间。</w:t>
      </w:r>
    </w:p>
    <w:p>
      <w:pPr>
        <w:pStyle w:val="2"/>
        <w:spacing w:line="500" w:lineRule="exact"/>
        <w:ind w:firstLine="480" w:firstLineChars="200"/>
        <w:rPr>
          <w:rFonts w:ascii="宋体" w:hAnsi="宋体" w:cs="宋体"/>
          <w:kern w:val="0"/>
          <w:sz w:val="24"/>
          <w:szCs w:val="22"/>
          <w:highlight w:val="none"/>
        </w:rPr>
      </w:pPr>
      <w:r>
        <w:rPr>
          <w:rFonts w:hint="eastAsia" w:ascii="宋体" w:hAnsi="宋体" w:cs="宋体"/>
          <w:kern w:val="0"/>
          <w:sz w:val="24"/>
          <w:szCs w:val="22"/>
          <w:highlight w:val="none"/>
        </w:rPr>
        <w:t>7.3在投标文件递交截止时间前，采购代理机构可以视采购具体情况，延长投标截止时间和开标时间并在财政部门指定的媒体上发布变更公告，同时将变更时间书面通知获取招标文件的潜在投标人。</w:t>
      </w:r>
    </w:p>
    <w:p>
      <w:pPr>
        <w:spacing w:line="500" w:lineRule="exact"/>
        <w:ind w:firstLine="480" w:firstLineChars="200"/>
        <w:rPr>
          <w:rFonts w:hAnsi="宋体" w:cs="宋体"/>
          <w:szCs w:val="24"/>
          <w:highlight w:val="none"/>
        </w:rPr>
      </w:pPr>
      <w:r>
        <w:rPr>
          <w:rFonts w:hint="eastAsia" w:hAnsi="宋体" w:cs="宋体"/>
          <w:szCs w:val="24"/>
          <w:highlight w:val="none"/>
        </w:rPr>
        <w:t>7.4已经购买招标文件的投标人对招标文件有疑问的，均应在购买招标文件后7个工作日内以书面形式向采购代理机构提出。采购代理机构视情况采用适当方式予以澄清或以书面形式予以答复，涉及变更的内容在财政部门指定的媒体上发布变更公告，并以书面形式通知所有购买招标文件的潜在投标人，且作为招标文件的组成部分。</w:t>
      </w:r>
    </w:p>
    <w:p>
      <w:pPr>
        <w:spacing w:line="500" w:lineRule="exact"/>
        <w:ind w:firstLine="480" w:firstLineChars="200"/>
        <w:rPr>
          <w:rFonts w:hAnsi="宋体" w:cs="宋体"/>
          <w:highlight w:val="none"/>
        </w:rPr>
      </w:pPr>
      <w:r>
        <w:rPr>
          <w:rFonts w:hint="eastAsia" w:hAnsi="宋体" w:cs="宋体"/>
          <w:szCs w:val="24"/>
          <w:highlight w:val="none"/>
        </w:rPr>
        <w:t>7.5</w:t>
      </w:r>
      <w:r>
        <w:rPr>
          <w:rFonts w:hint="eastAsia" w:hAnsi="宋体" w:cs="宋体"/>
          <w:highlight w:val="none"/>
        </w:rPr>
        <w:t>投标人在收到上述通知后，应立即向采购代理机构回函确认。</w:t>
      </w:r>
    </w:p>
    <w:p>
      <w:pPr>
        <w:spacing w:line="500" w:lineRule="exact"/>
        <w:rPr>
          <w:rFonts w:hAnsi="宋体" w:cs="宋体"/>
          <w:highlight w:val="none"/>
        </w:rPr>
      </w:pPr>
    </w:p>
    <w:p>
      <w:pPr>
        <w:spacing w:line="500" w:lineRule="exact"/>
        <w:jc w:val="center"/>
        <w:rPr>
          <w:rFonts w:hAnsi="宋体" w:cs="宋体"/>
          <w:b/>
          <w:sz w:val="32"/>
          <w:szCs w:val="32"/>
          <w:highlight w:val="none"/>
        </w:rPr>
      </w:pPr>
      <w:bookmarkStart w:id="31" w:name="_Toc363473974"/>
      <w:bookmarkStart w:id="32" w:name="_Toc403077641"/>
      <w:bookmarkStart w:id="33" w:name="_Toc363474019"/>
      <w:r>
        <w:rPr>
          <w:rFonts w:hint="eastAsia" w:hAnsi="宋体" w:cs="宋体"/>
          <w:b/>
          <w:sz w:val="32"/>
          <w:szCs w:val="32"/>
          <w:highlight w:val="none"/>
        </w:rPr>
        <w:t>三.投标文件的编制</w:t>
      </w:r>
      <w:bookmarkEnd w:id="31"/>
      <w:bookmarkEnd w:id="32"/>
      <w:bookmarkEnd w:id="33"/>
    </w:p>
    <w:p>
      <w:pPr>
        <w:spacing w:line="500" w:lineRule="exact"/>
        <w:rPr>
          <w:rFonts w:hAnsi="宋体" w:cs="宋体"/>
          <w:b/>
          <w:szCs w:val="24"/>
          <w:highlight w:val="none"/>
        </w:rPr>
      </w:pPr>
      <w:r>
        <w:rPr>
          <w:rFonts w:hint="eastAsia" w:hAnsi="宋体" w:cs="宋体"/>
          <w:b/>
          <w:szCs w:val="24"/>
          <w:highlight w:val="none"/>
        </w:rPr>
        <w:t>8.投标语言和投标货币</w:t>
      </w:r>
    </w:p>
    <w:p>
      <w:pPr>
        <w:spacing w:line="500" w:lineRule="exact"/>
        <w:ind w:firstLine="480" w:firstLineChars="200"/>
        <w:rPr>
          <w:rFonts w:hAnsi="宋体" w:cs="宋体"/>
          <w:b/>
          <w:szCs w:val="24"/>
          <w:highlight w:val="none"/>
        </w:rPr>
      </w:pPr>
      <w:r>
        <w:rPr>
          <w:rFonts w:hint="eastAsia" w:hAnsi="宋体" w:cs="宋体"/>
          <w:szCs w:val="24"/>
          <w:highlight w:val="none"/>
        </w:rPr>
        <w:t>8.1投标人提交的投标文件以及投标人与采购代理机构就有关投标的所有来往函电均应使用中文。</w:t>
      </w:r>
    </w:p>
    <w:p>
      <w:pPr>
        <w:spacing w:line="500" w:lineRule="exact"/>
        <w:ind w:firstLine="480" w:firstLineChars="200"/>
        <w:rPr>
          <w:rFonts w:hAnsi="宋体" w:cs="宋体"/>
          <w:szCs w:val="24"/>
          <w:highlight w:val="none"/>
        </w:rPr>
      </w:pPr>
      <w:r>
        <w:rPr>
          <w:rFonts w:hint="eastAsia" w:hAnsi="宋体" w:cs="宋体"/>
          <w:szCs w:val="24"/>
          <w:highlight w:val="none"/>
        </w:rPr>
        <w:t>8.2投标应以人民币报价。任何包含非人民币报价的投标将按无效投标处理。</w:t>
      </w:r>
    </w:p>
    <w:p>
      <w:pPr>
        <w:spacing w:line="500" w:lineRule="exact"/>
        <w:rPr>
          <w:rFonts w:hAnsi="宋体" w:cs="宋体"/>
          <w:b/>
          <w:szCs w:val="24"/>
          <w:highlight w:val="none"/>
        </w:rPr>
      </w:pPr>
      <w:r>
        <w:rPr>
          <w:rFonts w:hint="eastAsia" w:hAnsi="宋体" w:cs="宋体"/>
          <w:b/>
          <w:szCs w:val="24"/>
          <w:highlight w:val="none"/>
        </w:rPr>
        <w:t>9.投标文件的构成</w:t>
      </w:r>
    </w:p>
    <w:p>
      <w:pPr>
        <w:spacing w:line="500" w:lineRule="exact"/>
        <w:ind w:firstLine="480" w:firstLineChars="200"/>
        <w:rPr>
          <w:rFonts w:hAnsi="宋体" w:cs="宋体"/>
          <w:szCs w:val="24"/>
          <w:highlight w:val="none"/>
        </w:rPr>
      </w:pPr>
      <w:r>
        <w:rPr>
          <w:rFonts w:hint="eastAsia" w:hAnsi="宋体" w:cs="宋体"/>
          <w:szCs w:val="24"/>
          <w:highlight w:val="none"/>
        </w:rPr>
        <w:t>9.1 投标人提交的投标文件应包括下列部分的内容：</w:t>
      </w:r>
    </w:p>
    <w:p>
      <w:pPr>
        <w:spacing w:line="500" w:lineRule="exact"/>
        <w:ind w:firstLine="480" w:firstLineChars="200"/>
        <w:rPr>
          <w:rFonts w:hAnsi="宋体" w:cs="宋体"/>
          <w:szCs w:val="24"/>
          <w:highlight w:val="none"/>
        </w:rPr>
      </w:pPr>
      <w:r>
        <w:rPr>
          <w:rFonts w:hint="eastAsia" w:hAnsi="宋体" w:cs="宋体"/>
          <w:szCs w:val="24"/>
          <w:highlight w:val="none"/>
        </w:rPr>
        <w:t>（1）按照投标人须知的要求和招标文件规定的格式填写的投标函、投标报价表、法定代表人授权书。</w:t>
      </w:r>
    </w:p>
    <w:p>
      <w:pPr>
        <w:spacing w:line="500" w:lineRule="exact"/>
        <w:ind w:firstLine="480" w:firstLineChars="200"/>
        <w:rPr>
          <w:rFonts w:hAnsi="宋体" w:cs="宋体"/>
          <w:szCs w:val="24"/>
          <w:highlight w:val="none"/>
        </w:rPr>
      </w:pPr>
      <w:r>
        <w:rPr>
          <w:rFonts w:hint="eastAsia" w:hAnsi="宋体" w:cs="宋体"/>
          <w:szCs w:val="24"/>
          <w:highlight w:val="none"/>
        </w:rPr>
        <w:t>（2）按照招标文件的要求编制的投标方案说明书。</w:t>
      </w:r>
    </w:p>
    <w:p>
      <w:pPr>
        <w:spacing w:line="500" w:lineRule="exact"/>
        <w:ind w:firstLine="480" w:firstLineChars="200"/>
        <w:rPr>
          <w:rFonts w:hAnsi="宋体" w:cs="宋体"/>
          <w:szCs w:val="24"/>
          <w:highlight w:val="none"/>
        </w:rPr>
      </w:pPr>
      <w:r>
        <w:rPr>
          <w:rFonts w:hint="eastAsia" w:hAnsi="宋体" w:cs="宋体"/>
          <w:szCs w:val="24"/>
          <w:highlight w:val="none"/>
        </w:rPr>
        <w:t xml:space="preserve">（3）按照招标文件投标人须知前附表的要求提交的资格证明文件；  </w:t>
      </w:r>
    </w:p>
    <w:p>
      <w:pPr>
        <w:spacing w:line="500" w:lineRule="exact"/>
        <w:ind w:firstLine="480" w:firstLineChars="200"/>
        <w:rPr>
          <w:rFonts w:hAnsi="宋体" w:cs="宋体"/>
          <w:szCs w:val="24"/>
          <w:highlight w:val="none"/>
        </w:rPr>
      </w:pPr>
      <w:r>
        <w:rPr>
          <w:rFonts w:hint="eastAsia" w:hAnsi="宋体" w:cs="宋体"/>
          <w:szCs w:val="24"/>
          <w:highlight w:val="none"/>
        </w:rPr>
        <w:t>（4）按照本须知第14条要求提交的投标保证金；</w:t>
      </w:r>
    </w:p>
    <w:p>
      <w:pPr>
        <w:spacing w:line="500" w:lineRule="exact"/>
        <w:ind w:firstLine="480" w:firstLineChars="200"/>
        <w:rPr>
          <w:rFonts w:hAnsi="宋体" w:cs="宋体"/>
          <w:szCs w:val="24"/>
          <w:highlight w:val="none"/>
        </w:rPr>
      </w:pPr>
      <w:r>
        <w:rPr>
          <w:rFonts w:hint="eastAsia" w:hAnsi="宋体" w:cs="宋体"/>
          <w:szCs w:val="24"/>
          <w:highlight w:val="none"/>
        </w:rPr>
        <w:t>（5）招标文件中要求的其他证明文件。</w:t>
      </w:r>
    </w:p>
    <w:p>
      <w:pPr>
        <w:spacing w:line="500" w:lineRule="exact"/>
        <w:ind w:firstLine="480" w:firstLineChars="200"/>
        <w:rPr>
          <w:rFonts w:hAnsi="宋体" w:cs="宋体"/>
          <w:szCs w:val="24"/>
          <w:highlight w:val="none"/>
        </w:rPr>
      </w:pPr>
      <w:r>
        <w:rPr>
          <w:rFonts w:hint="eastAsia" w:hAnsi="宋体" w:cs="宋体"/>
          <w:szCs w:val="24"/>
          <w:highlight w:val="none"/>
        </w:rPr>
        <w:t>9.2 如果在招标文件中没有允许提供备选方案，则每个投标人只允许提交一个投标方案，否则，其投标将按照无效投标处理。</w:t>
      </w:r>
    </w:p>
    <w:p>
      <w:pPr>
        <w:spacing w:line="500" w:lineRule="exact"/>
        <w:ind w:firstLine="480" w:firstLineChars="200"/>
        <w:rPr>
          <w:rFonts w:hAnsi="宋体" w:cs="宋体"/>
          <w:color w:val="FF0000"/>
          <w:szCs w:val="24"/>
          <w:highlight w:val="none"/>
        </w:rPr>
      </w:pPr>
      <w:r>
        <w:rPr>
          <w:rFonts w:hint="eastAsia" w:hAnsi="宋体" w:cs="宋体"/>
          <w:szCs w:val="24"/>
          <w:highlight w:val="none"/>
        </w:rPr>
        <w:t>9.3 本次投标的最小单元为“项目”，投标人可根据自身的资质情况和经营范围进行投标，但不得将其子目自行分解或针对品目进行不完全投标，任何不完全的投标将按无效投标处理。</w:t>
      </w:r>
    </w:p>
    <w:p>
      <w:pPr>
        <w:spacing w:line="500" w:lineRule="exact"/>
        <w:rPr>
          <w:rFonts w:hAnsi="宋体" w:cs="宋体"/>
          <w:b/>
          <w:szCs w:val="24"/>
          <w:highlight w:val="none"/>
        </w:rPr>
      </w:pPr>
      <w:r>
        <w:rPr>
          <w:rFonts w:hint="eastAsia" w:hAnsi="宋体" w:cs="宋体"/>
          <w:b/>
          <w:szCs w:val="24"/>
          <w:highlight w:val="none"/>
        </w:rPr>
        <w:t>10.投标文件格式</w:t>
      </w:r>
    </w:p>
    <w:p>
      <w:pPr>
        <w:spacing w:line="500" w:lineRule="exact"/>
        <w:ind w:firstLine="480" w:firstLineChars="200"/>
        <w:rPr>
          <w:rFonts w:hAnsi="宋体" w:cs="宋体"/>
          <w:szCs w:val="24"/>
          <w:highlight w:val="none"/>
        </w:rPr>
      </w:pPr>
      <w:r>
        <w:rPr>
          <w:rFonts w:hint="eastAsia" w:hAnsi="宋体" w:cs="宋体"/>
          <w:szCs w:val="24"/>
          <w:highlight w:val="none"/>
        </w:rPr>
        <w:t>10.1 投标人应按照招标文件中第六章所提供的格式和要求制作投标文件，明确表达投标意愿，详细说明投标方案、承诺及价格。</w:t>
      </w:r>
    </w:p>
    <w:p>
      <w:pPr>
        <w:spacing w:line="500" w:lineRule="exact"/>
        <w:ind w:firstLine="480" w:firstLineChars="200"/>
        <w:rPr>
          <w:rFonts w:hAnsi="宋体" w:cs="宋体"/>
          <w:szCs w:val="24"/>
          <w:highlight w:val="none"/>
        </w:rPr>
      </w:pPr>
      <w:r>
        <w:rPr>
          <w:rFonts w:hint="eastAsia" w:hAnsi="宋体" w:cs="宋体"/>
          <w:szCs w:val="24"/>
          <w:highlight w:val="none"/>
        </w:rPr>
        <w:t>10.2按招标文件第9条的内容及要求和第六章提供的格式和要求编写其投标文件，投标人不得缺少或留空任何招标文件要求填写的表格或提交的资料。</w:t>
      </w:r>
    </w:p>
    <w:p>
      <w:pPr>
        <w:spacing w:line="500" w:lineRule="exact"/>
        <w:rPr>
          <w:rFonts w:hAnsi="宋体" w:cs="宋体"/>
          <w:b/>
          <w:szCs w:val="24"/>
          <w:highlight w:val="none"/>
        </w:rPr>
      </w:pPr>
      <w:r>
        <w:rPr>
          <w:rFonts w:hint="eastAsia" w:hAnsi="宋体" w:cs="宋体"/>
          <w:b/>
          <w:szCs w:val="24"/>
          <w:highlight w:val="none"/>
        </w:rPr>
        <w:t>11.投标报价</w:t>
      </w:r>
    </w:p>
    <w:p>
      <w:pPr>
        <w:spacing w:line="500" w:lineRule="exact"/>
        <w:ind w:firstLine="480" w:firstLineChars="200"/>
        <w:rPr>
          <w:rFonts w:hAnsi="宋体" w:cs="宋体"/>
          <w:szCs w:val="24"/>
          <w:highlight w:val="none"/>
        </w:rPr>
      </w:pPr>
      <w:r>
        <w:rPr>
          <w:rFonts w:hint="eastAsia" w:hAnsi="宋体" w:cs="宋体"/>
          <w:szCs w:val="24"/>
          <w:highlight w:val="none"/>
        </w:rPr>
        <w:t>11.1投标报价：投标人应在投标报价表中标明完成本次招标所要求的服务且验收合格的所有费用，包括人工费、保洁装备费、机械费、油料费、维修保养费、保险费、应急费、税金等其他一切相关费用。任何有选择的报价将不予接受，否则按无效投标处理。</w:t>
      </w:r>
    </w:p>
    <w:p>
      <w:pPr>
        <w:spacing w:line="500" w:lineRule="exact"/>
        <w:ind w:firstLine="480" w:firstLineChars="200"/>
        <w:rPr>
          <w:rFonts w:hAnsi="宋体" w:cs="宋体"/>
          <w:szCs w:val="24"/>
          <w:highlight w:val="none"/>
        </w:rPr>
      </w:pPr>
      <w:r>
        <w:rPr>
          <w:rFonts w:hint="eastAsia" w:hAnsi="宋体" w:cs="宋体"/>
          <w:szCs w:val="24"/>
          <w:highlight w:val="none"/>
        </w:rPr>
        <w:t>11.2投标报价表中标明的价格应为履行合同的固定价格，不得以任何理由予以变更。以可调整的价格提交的投标文件将按无效投标处理。</w:t>
      </w:r>
    </w:p>
    <w:p>
      <w:pPr>
        <w:spacing w:line="500" w:lineRule="exact"/>
        <w:ind w:right="617" w:rightChars="257" w:firstLine="480" w:firstLineChars="200"/>
        <w:rPr>
          <w:rFonts w:hAnsi="宋体" w:cs="宋体"/>
          <w:szCs w:val="24"/>
          <w:highlight w:val="none"/>
        </w:rPr>
      </w:pPr>
      <w:r>
        <w:rPr>
          <w:rFonts w:hint="eastAsia" w:hAnsi="宋体" w:cs="宋体"/>
          <w:szCs w:val="24"/>
          <w:highlight w:val="none"/>
        </w:rPr>
        <w:t>11.3投标报价：总价报价总承包（精确到小数点后二位）。</w:t>
      </w:r>
    </w:p>
    <w:p>
      <w:pPr>
        <w:spacing w:line="500" w:lineRule="exact"/>
        <w:rPr>
          <w:rFonts w:hAnsi="宋体" w:cs="宋体"/>
          <w:b/>
          <w:szCs w:val="24"/>
          <w:highlight w:val="none"/>
        </w:rPr>
      </w:pPr>
      <w:r>
        <w:rPr>
          <w:rFonts w:hint="eastAsia" w:hAnsi="宋体" w:cs="宋体"/>
          <w:b/>
          <w:szCs w:val="24"/>
          <w:highlight w:val="none"/>
        </w:rPr>
        <w:t>12.证明投标人合格和资格的文件</w:t>
      </w:r>
    </w:p>
    <w:p>
      <w:pPr>
        <w:spacing w:line="500" w:lineRule="exact"/>
        <w:ind w:firstLine="480" w:firstLineChars="200"/>
        <w:rPr>
          <w:rFonts w:hAnsi="宋体" w:cs="宋体"/>
          <w:szCs w:val="24"/>
          <w:highlight w:val="none"/>
        </w:rPr>
      </w:pPr>
      <w:r>
        <w:rPr>
          <w:rFonts w:hint="eastAsia" w:hAnsi="宋体" w:cs="宋体"/>
          <w:szCs w:val="24"/>
          <w:highlight w:val="none"/>
        </w:rPr>
        <w:t>12.1投标人应按照招标文件“投标人须知前附表”的要求，在投标文件中提交合格的资格证明文件。如果资格证明文件不齐全或不合格的，其投标将按无效投标处理。</w:t>
      </w:r>
    </w:p>
    <w:p>
      <w:pPr>
        <w:spacing w:line="500" w:lineRule="exact"/>
        <w:rPr>
          <w:rFonts w:hAnsi="宋体" w:cs="宋体"/>
          <w:highlight w:val="none"/>
        </w:rPr>
      </w:pPr>
      <w:r>
        <w:rPr>
          <w:rFonts w:hint="eastAsia" w:hAnsi="宋体" w:cs="宋体"/>
          <w:b/>
          <w:szCs w:val="24"/>
          <w:highlight w:val="none"/>
        </w:rPr>
        <w:t>13.证明所提供服务符合招标文件规定的文件</w:t>
      </w:r>
    </w:p>
    <w:p>
      <w:pPr>
        <w:spacing w:line="500" w:lineRule="exact"/>
        <w:ind w:firstLine="480" w:firstLineChars="200"/>
        <w:rPr>
          <w:rFonts w:hAnsi="宋体" w:cs="宋体"/>
          <w:szCs w:val="24"/>
          <w:highlight w:val="none"/>
        </w:rPr>
      </w:pPr>
      <w:r>
        <w:rPr>
          <w:rFonts w:hint="eastAsia" w:hAnsi="宋体" w:cs="宋体"/>
          <w:szCs w:val="24"/>
          <w:highlight w:val="none"/>
        </w:rPr>
        <w:t>13.1投标人应在投标文件中提交的服务方案应满足招标文件要求并符合国家法律法规、行业管理部门要求的其他强制性标准的证明文件。缺少证明文件或证明文件不合格的投标，与招标文件要求有重大偏离的投标，不符合国家法律法规、行业管理部门要求的其他强制性标准的投标将按无效投标处理。</w:t>
      </w:r>
    </w:p>
    <w:p>
      <w:pPr>
        <w:spacing w:line="500" w:lineRule="exact"/>
        <w:ind w:firstLine="480" w:firstLineChars="200"/>
        <w:rPr>
          <w:rFonts w:hAnsi="宋体" w:cs="宋体"/>
          <w:szCs w:val="24"/>
          <w:highlight w:val="none"/>
        </w:rPr>
      </w:pPr>
      <w:r>
        <w:rPr>
          <w:rFonts w:hint="eastAsia" w:hAnsi="宋体" w:cs="宋体"/>
          <w:szCs w:val="24"/>
          <w:highlight w:val="none"/>
        </w:rPr>
        <w:t>13.2上述证明文件可以是文字资料、图纸、图片、数据等（所有证明文件表达意思必须统一），主要包括以下内容：</w:t>
      </w:r>
    </w:p>
    <w:p>
      <w:pPr>
        <w:spacing w:line="500" w:lineRule="exact"/>
        <w:ind w:firstLine="480" w:firstLineChars="200"/>
        <w:rPr>
          <w:rFonts w:hAnsi="宋体" w:cs="宋体"/>
          <w:szCs w:val="24"/>
          <w:highlight w:val="none"/>
        </w:rPr>
      </w:pPr>
      <w:r>
        <w:rPr>
          <w:rFonts w:hint="eastAsia" w:hAnsi="宋体" w:cs="宋体"/>
          <w:szCs w:val="24"/>
          <w:highlight w:val="none"/>
        </w:rPr>
        <w:t>（1）本次采购所包含的所有服务内容及计划安排；</w:t>
      </w:r>
    </w:p>
    <w:p>
      <w:pPr>
        <w:spacing w:line="500" w:lineRule="exact"/>
        <w:ind w:firstLine="480" w:firstLineChars="200"/>
        <w:rPr>
          <w:rFonts w:hAnsi="宋体" w:cs="宋体"/>
          <w:szCs w:val="24"/>
          <w:highlight w:val="none"/>
        </w:rPr>
      </w:pPr>
      <w:r>
        <w:rPr>
          <w:rFonts w:hint="eastAsia" w:hAnsi="宋体" w:cs="宋体"/>
          <w:szCs w:val="24"/>
          <w:highlight w:val="none"/>
        </w:rPr>
        <w:t>（2）针对本项目服务的实施方案、人员组织、机械配备和服务保障措施等。</w:t>
      </w:r>
    </w:p>
    <w:p>
      <w:pPr>
        <w:spacing w:line="500" w:lineRule="exact"/>
        <w:ind w:firstLine="480" w:firstLineChars="200"/>
        <w:rPr>
          <w:rFonts w:hAnsi="宋体" w:cs="宋体"/>
          <w:szCs w:val="24"/>
          <w:highlight w:val="none"/>
        </w:rPr>
      </w:pPr>
      <w:r>
        <w:rPr>
          <w:rFonts w:hint="eastAsia" w:hAnsi="宋体" w:cs="宋体"/>
          <w:szCs w:val="24"/>
          <w:highlight w:val="none"/>
        </w:rPr>
        <w:t>（3)逐条对招标文件提出的技术要求和商务要求进行应答，说明所提供的服务对招标的技术和商务要求是否做出了实质性响应并提供支持文件；</w:t>
      </w:r>
    </w:p>
    <w:p>
      <w:pPr>
        <w:spacing w:line="500" w:lineRule="exact"/>
        <w:ind w:firstLine="480" w:firstLineChars="200"/>
        <w:rPr>
          <w:rFonts w:hAnsi="宋体" w:cs="宋体"/>
          <w:szCs w:val="24"/>
          <w:highlight w:val="none"/>
        </w:rPr>
      </w:pPr>
      <w:r>
        <w:rPr>
          <w:rFonts w:hint="eastAsia" w:hAnsi="宋体" w:cs="宋体"/>
          <w:szCs w:val="24"/>
          <w:highlight w:val="none"/>
        </w:rPr>
        <w:t>（4）服务目标、服务效果等展示说明。</w:t>
      </w:r>
    </w:p>
    <w:p>
      <w:pPr>
        <w:spacing w:line="360" w:lineRule="auto"/>
        <w:rPr>
          <w:rFonts w:hAnsi="宋体" w:cs="宋体"/>
          <w:b/>
          <w:szCs w:val="24"/>
          <w:highlight w:val="none"/>
        </w:rPr>
      </w:pPr>
      <w:r>
        <w:rPr>
          <w:rFonts w:hint="eastAsia" w:hAnsi="宋体" w:cs="宋体"/>
          <w:b/>
          <w:szCs w:val="24"/>
          <w:highlight w:val="none"/>
        </w:rPr>
        <w:t>14.投标保证金</w:t>
      </w:r>
      <w:r>
        <w:rPr>
          <w:rFonts w:hint="eastAsia" w:hAnsi="宋体" w:cs="宋体"/>
          <w:b/>
          <w:szCs w:val="24"/>
          <w:highlight w:val="none"/>
          <w:lang w:eastAsia="zh-CN"/>
        </w:rPr>
        <w:t>（</w:t>
      </w:r>
      <w:r>
        <w:rPr>
          <w:rFonts w:hint="eastAsia" w:hAnsi="宋体" w:cs="宋体"/>
          <w:b/>
          <w:bCs/>
          <w:color w:val="auto"/>
          <w:szCs w:val="24"/>
          <w:highlight w:val="none"/>
          <w:lang w:val="en-US" w:eastAsia="zh-CN"/>
        </w:rPr>
        <w:t>本项目不缴纳投标保证金</w:t>
      </w:r>
      <w:r>
        <w:rPr>
          <w:rFonts w:hint="eastAsia" w:hAnsi="宋体" w:cs="宋体"/>
          <w:b/>
          <w:szCs w:val="24"/>
          <w:highlight w:val="none"/>
          <w:lang w:eastAsia="zh-CN"/>
        </w:rPr>
        <w:t>）</w:t>
      </w:r>
    </w:p>
    <w:p>
      <w:pPr>
        <w:spacing w:line="500" w:lineRule="exact"/>
        <w:ind w:firstLine="480" w:firstLineChars="200"/>
        <w:rPr>
          <w:rFonts w:hAnsi="宋体" w:cs="宋体"/>
          <w:szCs w:val="24"/>
          <w:highlight w:val="none"/>
        </w:rPr>
      </w:pPr>
      <w:r>
        <w:rPr>
          <w:rFonts w:hint="eastAsia" w:hAnsi="宋体" w:cs="宋体"/>
          <w:szCs w:val="24"/>
          <w:highlight w:val="none"/>
        </w:rPr>
        <w:t>14.1投标人在投标时应向</w:t>
      </w:r>
      <w:r>
        <w:rPr>
          <w:rFonts w:hint="eastAsia" w:hAnsi="宋体" w:cs="宋体"/>
          <w:szCs w:val="24"/>
          <w:highlight w:val="none"/>
          <w:lang w:eastAsia="zh-CN"/>
        </w:rPr>
        <w:t>陕西至诚项目管理集团有限公司</w:t>
      </w:r>
      <w:r>
        <w:rPr>
          <w:rFonts w:hint="eastAsia" w:hAnsi="宋体" w:cs="宋体"/>
          <w:szCs w:val="24"/>
          <w:highlight w:val="none"/>
        </w:rPr>
        <w:t>提交“投标人须知前附表”规定数额的投标保证金,并作为其投标的一部分。</w:t>
      </w:r>
    </w:p>
    <w:p>
      <w:pPr>
        <w:spacing w:line="500" w:lineRule="exact"/>
        <w:ind w:firstLine="480" w:firstLineChars="200"/>
        <w:rPr>
          <w:rFonts w:hAnsi="宋体" w:cs="宋体"/>
          <w:szCs w:val="24"/>
          <w:highlight w:val="none"/>
        </w:rPr>
      </w:pPr>
      <w:r>
        <w:rPr>
          <w:rFonts w:hint="eastAsia" w:hAnsi="宋体" w:cs="宋体"/>
          <w:szCs w:val="24"/>
          <w:highlight w:val="none"/>
        </w:rPr>
        <w:t>14.2投标保证金是为了保护采购人和采购代理机构免遭因投标人的行为而蒙受损失。招标采购单位在因投标人的行为受到损害时可根据14.8条的规定没收投标人的投标保证金。</w:t>
      </w:r>
    </w:p>
    <w:p>
      <w:pPr>
        <w:spacing w:line="500" w:lineRule="exact"/>
        <w:ind w:firstLine="480" w:firstLineChars="200"/>
        <w:rPr>
          <w:rFonts w:hAnsi="宋体" w:cs="宋体"/>
          <w:szCs w:val="24"/>
          <w:highlight w:val="none"/>
        </w:rPr>
      </w:pPr>
      <w:r>
        <w:rPr>
          <w:rFonts w:hint="eastAsia" w:hAnsi="宋体" w:cs="宋体"/>
          <w:szCs w:val="24"/>
          <w:highlight w:val="none"/>
        </w:rPr>
        <w:t>14.3投标保证金可采取“投标人须知前附表”规定的任何一种形式；</w:t>
      </w:r>
    </w:p>
    <w:p>
      <w:pPr>
        <w:spacing w:line="500" w:lineRule="exact"/>
        <w:ind w:firstLine="480" w:firstLineChars="200"/>
        <w:rPr>
          <w:rFonts w:hAnsi="宋体" w:cs="宋体"/>
          <w:szCs w:val="24"/>
          <w:highlight w:val="none"/>
        </w:rPr>
      </w:pPr>
      <w:r>
        <w:rPr>
          <w:rFonts w:hint="eastAsia" w:hAnsi="宋体" w:cs="宋体"/>
          <w:szCs w:val="24"/>
          <w:highlight w:val="none"/>
        </w:rPr>
        <w:t>14.4投标保证金必须按照招标文件 “投标人须知前附表”中规定的缴纳金额及方式办理。</w:t>
      </w:r>
    </w:p>
    <w:p>
      <w:pPr>
        <w:spacing w:line="500" w:lineRule="exact"/>
        <w:ind w:firstLine="480" w:firstLineChars="200"/>
        <w:rPr>
          <w:rFonts w:hAnsi="宋体" w:cs="宋体"/>
          <w:szCs w:val="24"/>
          <w:highlight w:val="none"/>
        </w:rPr>
      </w:pPr>
      <w:r>
        <w:rPr>
          <w:rFonts w:hint="eastAsia" w:hAnsi="宋体" w:cs="宋体"/>
          <w:szCs w:val="24"/>
          <w:highlight w:val="none"/>
        </w:rPr>
        <w:t>14.5开标后经审查，未提交投标保证金、未按时间提交投标保证金、投标保证金金额不足、未将保函正本原件在规定时间内到采购代理机构备案、投标保证金缴纳凭证复印件或担保机构出具的保函正本复印件未附在投标文件内的投标将按无效投标处理。</w:t>
      </w:r>
    </w:p>
    <w:p>
      <w:pPr>
        <w:spacing w:line="500" w:lineRule="exact"/>
        <w:ind w:firstLine="480" w:firstLineChars="200"/>
        <w:rPr>
          <w:rFonts w:hAnsi="宋体" w:cs="宋体"/>
          <w:szCs w:val="24"/>
          <w:highlight w:val="none"/>
        </w:rPr>
      </w:pPr>
      <w:r>
        <w:rPr>
          <w:rFonts w:hint="eastAsia" w:hAnsi="宋体" w:cs="宋体"/>
          <w:szCs w:val="24"/>
          <w:highlight w:val="none"/>
        </w:rPr>
        <w:t>14.6未中标人的投标保证金，将在中标通知书发出后五个工作日内按原账户退还；中标人的投标保证金，在采购合同签订并按规定</w:t>
      </w:r>
      <w:r>
        <w:rPr>
          <w:rFonts w:hint="eastAsia" w:hAnsi="宋体" w:cs="宋体"/>
          <w:szCs w:val="24"/>
          <w:highlight w:val="none"/>
          <w:lang w:val="en-US" w:eastAsia="zh-CN"/>
        </w:rPr>
        <w:t>缴纳</w:t>
      </w:r>
      <w:r>
        <w:rPr>
          <w:rFonts w:hint="eastAsia" w:hAnsi="宋体" w:cs="宋体"/>
          <w:szCs w:val="24"/>
          <w:highlight w:val="none"/>
        </w:rPr>
        <w:t>招标代理服务费后五个工作日内退还</w:t>
      </w:r>
      <w:r>
        <w:rPr>
          <w:rFonts w:hint="eastAsia" w:hAnsi="宋体" w:cs="宋体"/>
          <w:b/>
          <w:bCs/>
          <w:szCs w:val="24"/>
          <w:highlight w:val="none"/>
        </w:rPr>
        <w:t>（退还时，须向采购代理机构提供采购合同原件壹份及保证金缴纳凭证复印件）。</w:t>
      </w:r>
    </w:p>
    <w:p>
      <w:pPr>
        <w:spacing w:line="500" w:lineRule="exact"/>
        <w:ind w:firstLine="480" w:firstLineChars="200"/>
        <w:rPr>
          <w:rFonts w:hAnsi="宋体" w:cs="宋体"/>
          <w:szCs w:val="24"/>
          <w:highlight w:val="none"/>
        </w:rPr>
      </w:pPr>
      <w:r>
        <w:rPr>
          <w:rFonts w:hint="eastAsia" w:hAnsi="宋体" w:cs="宋体"/>
          <w:szCs w:val="24"/>
          <w:highlight w:val="none"/>
        </w:rPr>
        <w:t>14.7投标人以担保机构保函形式缴纳投标保证金的，招标结束之后将担保机构保函正本（原件）退回（退还时间参照14.6条款）。投标人领取担保机构保函正本原件时需携带法定代表人授权书原件。</w:t>
      </w:r>
    </w:p>
    <w:p>
      <w:pPr>
        <w:spacing w:line="500" w:lineRule="exact"/>
        <w:ind w:firstLine="480" w:firstLineChars="200"/>
        <w:rPr>
          <w:rFonts w:hAnsi="宋体" w:cs="宋体"/>
          <w:szCs w:val="24"/>
          <w:highlight w:val="none"/>
        </w:rPr>
      </w:pPr>
      <w:r>
        <w:rPr>
          <w:rFonts w:hint="eastAsia" w:hAnsi="宋体" w:cs="宋体"/>
          <w:szCs w:val="24"/>
          <w:highlight w:val="none"/>
        </w:rPr>
        <w:t>14.8下列任何情况发生时，视为投标人违约，其投标保证金将被没收：</w:t>
      </w:r>
    </w:p>
    <w:p>
      <w:pPr>
        <w:spacing w:line="500" w:lineRule="exact"/>
        <w:ind w:firstLine="840" w:firstLineChars="350"/>
        <w:rPr>
          <w:rFonts w:hAnsi="宋体" w:cs="宋体"/>
          <w:szCs w:val="24"/>
          <w:highlight w:val="none"/>
        </w:rPr>
      </w:pPr>
      <w:r>
        <w:rPr>
          <w:rFonts w:hint="eastAsia" w:hAnsi="宋体" w:cs="宋体"/>
          <w:szCs w:val="24"/>
          <w:highlight w:val="none"/>
        </w:rPr>
        <w:t>1)投标人在递交投标文件截止时间后，撤回投标文件的或者擅自退出招标投标活动的。</w:t>
      </w:r>
    </w:p>
    <w:p>
      <w:pPr>
        <w:spacing w:line="500" w:lineRule="exact"/>
        <w:ind w:firstLine="840" w:firstLineChars="350"/>
        <w:rPr>
          <w:rFonts w:hAnsi="宋体" w:cs="宋体"/>
          <w:szCs w:val="24"/>
          <w:highlight w:val="none"/>
        </w:rPr>
      </w:pPr>
      <w:r>
        <w:rPr>
          <w:rFonts w:hint="eastAsia" w:hAnsi="宋体" w:cs="宋体"/>
          <w:szCs w:val="24"/>
          <w:highlight w:val="none"/>
        </w:rPr>
        <w:t>2)投标人中标后放弃中标或未能按规定签订合同、无正当理由不与采购人签订合同的或未能按规定</w:t>
      </w:r>
      <w:r>
        <w:rPr>
          <w:rFonts w:hint="eastAsia" w:hAnsi="宋体" w:cs="宋体"/>
          <w:szCs w:val="24"/>
          <w:highlight w:val="none"/>
          <w:lang w:val="en-US" w:eastAsia="zh-CN"/>
        </w:rPr>
        <w:t>缴纳</w:t>
      </w:r>
      <w:r>
        <w:rPr>
          <w:rFonts w:hint="eastAsia" w:hAnsi="宋体" w:cs="宋体"/>
          <w:szCs w:val="24"/>
          <w:highlight w:val="none"/>
        </w:rPr>
        <w:t>招标代理服务费</w:t>
      </w:r>
      <w:r>
        <w:rPr>
          <w:rFonts w:hint="eastAsia" w:hAnsi="宋体" w:cs="宋体"/>
          <w:highlight w:val="none"/>
        </w:rPr>
        <w:t>或由于投标人的原因导致中标无效的。</w:t>
      </w:r>
    </w:p>
    <w:p>
      <w:pPr>
        <w:spacing w:line="500" w:lineRule="exact"/>
        <w:ind w:firstLine="840" w:firstLineChars="350"/>
        <w:rPr>
          <w:rFonts w:hAnsi="宋体" w:cs="宋体"/>
          <w:szCs w:val="24"/>
          <w:highlight w:val="none"/>
        </w:rPr>
      </w:pPr>
      <w:r>
        <w:rPr>
          <w:rFonts w:hint="eastAsia" w:hAnsi="宋体" w:cs="宋体"/>
          <w:szCs w:val="24"/>
          <w:highlight w:val="none"/>
        </w:rPr>
        <w:t>3）将中标项目转让给他人，或者在投标文件中未说明，且未经采购机构同意，将中标项目分给他人的。</w:t>
      </w:r>
    </w:p>
    <w:p>
      <w:pPr>
        <w:spacing w:line="500" w:lineRule="exact"/>
        <w:ind w:firstLine="840" w:firstLineChars="350"/>
        <w:rPr>
          <w:rFonts w:hAnsi="宋体" w:cs="宋体"/>
          <w:szCs w:val="24"/>
          <w:highlight w:val="none"/>
        </w:rPr>
      </w:pPr>
      <w:r>
        <w:rPr>
          <w:rFonts w:hint="eastAsia" w:hAnsi="宋体" w:cs="宋体"/>
          <w:szCs w:val="24"/>
          <w:highlight w:val="none"/>
        </w:rPr>
        <w:t>4）投标人在投标文件中提供伪造、套改、虚假资料参加招标投标的。</w:t>
      </w:r>
    </w:p>
    <w:p>
      <w:pPr>
        <w:spacing w:line="500" w:lineRule="exact"/>
        <w:ind w:firstLine="840" w:firstLineChars="350"/>
        <w:rPr>
          <w:rFonts w:hAnsi="宋体" w:cs="宋体"/>
          <w:szCs w:val="24"/>
          <w:highlight w:val="none"/>
        </w:rPr>
      </w:pPr>
      <w:r>
        <w:rPr>
          <w:rFonts w:hint="eastAsia" w:hAnsi="宋体" w:cs="宋体"/>
          <w:szCs w:val="24"/>
          <w:highlight w:val="none"/>
        </w:rPr>
        <w:t>5）投标人不按法定程序进行质疑和投诉,捏造事实，查无实据，造成恶劣影响，导致采购活动无法正常进行的。</w:t>
      </w:r>
    </w:p>
    <w:p>
      <w:pPr>
        <w:spacing w:line="500" w:lineRule="exact"/>
        <w:ind w:firstLine="840" w:firstLineChars="350"/>
        <w:rPr>
          <w:rFonts w:hint="eastAsia" w:hAnsi="宋体" w:cs="宋体"/>
          <w:highlight w:val="none"/>
        </w:rPr>
      </w:pPr>
      <w:r>
        <w:rPr>
          <w:rFonts w:hint="eastAsia" w:hAnsi="宋体" w:cs="宋体"/>
          <w:highlight w:val="none"/>
        </w:rPr>
        <w:t>6）投标人与采购人、</w:t>
      </w:r>
      <w:r>
        <w:rPr>
          <w:rFonts w:hint="eastAsia" w:hAnsi="宋体" w:cs="宋体"/>
          <w:highlight w:val="none"/>
          <w:lang w:eastAsia="zh-CN"/>
        </w:rPr>
        <w:t>其他</w:t>
      </w:r>
      <w:r>
        <w:rPr>
          <w:rFonts w:hint="eastAsia" w:hAnsi="宋体" w:cs="宋体"/>
          <w:highlight w:val="none"/>
        </w:rPr>
        <w:t>投标人或者采购代理机构恶意串通的。</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14.9采购信用担保及信用融资政策</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陕西省信用担保及信用融资政策</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号）等有关规定，按照市场主导、财政引导、银企自愿、风险自担的原则，中标（成交）供应商可根据自身资金需求，登录陕西省政府采购信用融资平台(http://www.ccgp-shaanxi.gov.cn/zcdservice/zcd/</w:t>
      </w:r>
    </w:p>
    <w:p>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shan xi/）在线申请，依法参加政府采购信用融资活动。</w:t>
      </w:r>
    </w:p>
    <w:p>
      <w:pPr>
        <w:pStyle w:val="22"/>
        <w:ind w:left="0" w:leftChars="0" w:firstLine="480" w:firstLineChars="20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目前的合作银行有∶北京银行、中国建设银行、中信银行、中国平安银行、中国光大银行、浦发银行、兴业银行、中国工商银行、秦农银行、浙商银行、中国银行、西安银行、中国农业银行、中国邮政储蓄银行（排名不分先后）。</w:t>
      </w:r>
    </w:p>
    <w:p>
      <w:pPr>
        <w:spacing w:line="500" w:lineRule="exact"/>
        <w:rPr>
          <w:rFonts w:hAnsi="宋体" w:cs="宋体"/>
          <w:b/>
          <w:szCs w:val="24"/>
          <w:highlight w:val="none"/>
        </w:rPr>
      </w:pPr>
      <w:r>
        <w:rPr>
          <w:rFonts w:hint="eastAsia" w:hAnsi="宋体" w:cs="宋体"/>
          <w:b/>
          <w:szCs w:val="24"/>
          <w:highlight w:val="none"/>
        </w:rPr>
        <w:t>15.投标有效期</w:t>
      </w:r>
    </w:p>
    <w:p>
      <w:pPr>
        <w:spacing w:line="500" w:lineRule="exact"/>
        <w:ind w:firstLine="480" w:firstLineChars="200"/>
        <w:rPr>
          <w:rFonts w:hAnsi="宋体" w:cs="宋体"/>
          <w:szCs w:val="24"/>
          <w:highlight w:val="none"/>
        </w:rPr>
      </w:pPr>
      <w:r>
        <w:rPr>
          <w:rFonts w:hint="eastAsia" w:hAnsi="宋体" w:cs="宋体"/>
          <w:szCs w:val="24"/>
          <w:highlight w:val="none"/>
        </w:rPr>
        <w:t>15.1投标有效期从递交投标文件的截止之日起90天。投标文件应在投标有效期内保持有效。投标有效期不满足规定有效期的投标文件将被视为无效投标而拒绝。</w:t>
      </w:r>
    </w:p>
    <w:p>
      <w:pPr>
        <w:spacing w:line="500" w:lineRule="exact"/>
        <w:ind w:firstLine="480" w:firstLineChars="200"/>
        <w:rPr>
          <w:rFonts w:hAnsi="宋体" w:cs="宋体"/>
          <w:szCs w:val="24"/>
          <w:highlight w:val="none"/>
        </w:rPr>
      </w:pPr>
      <w:r>
        <w:rPr>
          <w:rFonts w:hint="eastAsia" w:hAnsi="宋体" w:cs="宋体"/>
          <w:szCs w:val="24"/>
          <w:highlight w:val="none"/>
        </w:rPr>
        <w:t>15.2特殊情况下，在原投标有效期期满之前，采购代理机构可向投标人提出延长投标有效期的要求。这种要求与答复均应以书面的形式。投标人可以拒绝采购代理机构的这种要求,其投标保证金也不被没收。同意延长的投标人既不能要求也不允许修改其投标文件，但要相应延长其投标保证金的有效期。在这种情况下，本章第14条有关投标保证金的退还和没收的规定将在</w:t>
      </w:r>
      <w:r>
        <w:rPr>
          <w:rFonts w:hint="eastAsia" w:hAnsi="宋体" w:cs="宋体"/>
          <w:szCs w:val="24"/>
          <w:highlight w:val="none"/>
          <w:lang w:eastAsia="zh-CN"/>
        </w:rPr>
        <w:t>延长</w:t>
      </w:r>
      <w:r>
        <w:rPr>
          <w:rFonts w:hint="eastAsia" w:hAnsi="宋体" w:cs="宋体"/>
          <w:szCs w:val="24"/>
          <w:highlight w:val="none"/>
        </w:rPr>
        <w:t>的有效期内</w:t>
      </w:r>
      <w:r>
        <w:rPr>
          <w:rFonts w:hint="eastAsia" w:hAnsi="宋体" w:cs="宋体"/>
          <w:highlight w:val="none"/>
        </w:rPr>
        <w:t>继续有效。</w:t>
      </w:r>
    </w:p>
    <w:p>
      <w:pPr>
        <w:numPr>
          <w:ilvl w:val="0"/>
          <w:numId w:val="2"/>
        </w:numPr>
        <w:spacing w:line="500" w:lineRule="exact"/>
        <w:rPr>
          <w:rFonts w:hAnsi="宋体" w:cs="宋体"/>
          <w:b/>
          <w:szCs w:val="24"/>
          <w:highlight w:val="none"/>
        </w:rPr>
      </w:pPr>
      <w:r>
        <w:rPr>
          <w:rFonts w:hint="eastAsia" w:hAnsi="宋体" w:cs="宋体"/>
          <w:b/>
          <w:szCs w:val="24"/>
          <w:highlight w:val="none"/>
        </w:rPr>
        <w:t>投标文件的式样和签署</w:t>
      </w:r>
    </w:p>
    <w:p>
      <w:pPr>
        <w:spacing w:line="500" w:lineRule="exact"/>
        <w:ind w:firstLine="480" w:firstLineChars="200"/>
        <w:rPr>
          <w:rFonts w:hAnsi="宋体" w:cs="宋体"/>
          <w:b/>
          <w:bCs/>
          <w:spacing w:val="-2"/>
          <w:highlight w:val="none"/>
        </w:rPr>
      </w:pPr>
      <w:r>
        <w:rPr>
          <w:rFonts w:hint="eastAsia" w:hAnsi="宋体" w:cs="宋体"/>
          <w:szCs w:val="24"/>
          <w:highlight w:val="none"/>
        </w:rPr>
        <w:t>16.1投标人应按照本章投标人须知的要求, 提交壹份投标文件正本和“投标人须知前附表”中规定数量的副本，每套投标文件封面须清楚地标明“正本”或“副本”。</w:t>
      </w:r>
      <w:r>
        <w:rPr>
          <w:rFonts w:hint="eastAsia" w:hAnsi="宋体" w:cs="宋体"/>
          <w:spacing w:val="4"/>
          <w:highlight w:val="none"/>
        </w:rPr>
        <w:t>同时提供与投标文件正本内容一致的电子版（U盘）</w:t>
      </w:r>
      <w:r>
        <w:rPr>
          <w:rFonts w:hint="eastAsia" w:hAnsi="宋体" w:cs="宋体"/>
          <w:spacing w:val="4"/>
          <w:highlight w:val="none"/>
          <w:lang w:val="en-US" w:eastAsia="zh-CN"/>
        </w:rPr>
        <w:t>壹</w:t>
      </w:r>
      <w:r>
        <w:rPr>
          <w:rFonts w:hint="eastAsia" w:hAnsi="宋体" w:cs="宋体"/>
          <w:spacing w:val="4"/>
          <w:highlight w:val="none"/>
        </w:rPr>
        <w:t>份及开标一览表一份，并标注投标人全称、项目名称、项目编号，与投标文件同时递交。</w:t>
      </w:r>
    </w:p>
    <w:p>
      <w:pPr>
        <w:spacing w:line="500" w:lineRule="exact"/>
        <w:ind w:firstLine="480" w:firstLineChars="200"/>
        <w:rPr>
          <w:rFonts w:hAnsi="宋体" w:cs="宋体"/>
          <w:szCs w:val="24"/>
          <w:highlight w:val="none"/>
        </w:rPr>
      </w:pPr>
      <w:r>
        <w:rPr>
          <w:rFonts w:hint="eastAsia" w:hAnsi="宋体" w:cs="宋体"/>
          <w:szCs w:val="24"/>
          <w:highlight w:val="none"/>
        </w:rPr>
        <w:t>16.2</w:t>
      </w:r>
      <w:r>
        <w:rPr>
          <w:rFonts w:hint="eastAsia" w:ascii="宋体" w:hAnsi="宋体" w:eastAsia="宋体" w:cs="宋体"/>
          <w:szCs w:val="24"/>
          <w:highlight w:val="none"/>
          <w:lang w:eastAsia="zh-CN"/>
        </w:rPr>
        <w:t>投标文件</w:t>
      </w:r>
      <w:r>
        <w:rPr>
          <w:rFonts w:hint="eastAsia" w:ascii="宋体" w:hAnsi="宋体" w:eastAsia="宋体" w:cs="宋体"/>
          <w:szCs w:val="24"/>
          <w:highlight w:val="none"/>
        </w:rPr>
        <w:t>正本需打印或用不褪色的蓝(黑)色墨水(汁)书写,并由</w:t>
      </w:r>
      <w:r>
        <w:rPr>
          <w:rFonts w:hint="eastAsia" w:ascii="宋体" w:hAnsi="宋体" w:eastAsia="宋体" w:cs="宋体"/>
          <w:szCs w:val="24"/>
          <w:highlight w:val="none"/>
          <w:lang w:eastAsia="zh-CN"/>
        </w:rPr>
        <w:t>投标人</w:t>
      </w:r>
      <w:r>
        <w:rPr>
          <w:rFonts w:hint="eastAsia" w:ascii="宋体" w:hAnsi="宋体" w:eastAsia="宋体" w:cs="宋体"/>
          <w:szCs w:val="24"/>
          <w:highlight w:val="none"/>
        </w:rPr>
        <w:t>法定代表人或经法定代表人正式授权的代表签字【</w:t>
      </w:r>
      <w:r>
        <w:rPr>
          <w:rFonts w:hint="eastAsia" w:hAnsi="宋体" w:cs="宋体"/>
          <w:szCs w:val="24"/>
          <w:highlight w:val="none"/>
          <w:lang w:val="en-US" w:eastAsia="zh-CN"/>
        </w:rPr>
        <w:t>招标</w:t>
      </w:r>
      <w:r>
        <w:rPr>
          <w:rFonts w:hint="eastAsia" w:ascii="宋体" w:hAnsi="宋体" w:eastAsia="宋体" w:cs="宋体"/>
          <w:szCs w:val="24"/>
          <w:highlight w:val="none"/>
        </w:rPr>
        <w:t>文件要求</w:t>
      </w:r>
      <w:r>
        <w:rPr>
          <w:rFonts w:hint="eastAsia" w:ascii="宋体" w:hAnsi="宋体" w:eastAsia="宋体" w:cs="宋体"/>
          <w:szCs w:val="24"/>
          <w:highlight w:val="none"/>
          <w:lang w:eastAsia="zh-CN"/>
        </w:rPr>
        <w:t>投标文件</w:t>
      </w:r>
      <w:r>
        <w:rPr>
          <w:rFonts w:hint="eastAsia" w:ascii="宋体" w:hAnsi="宋体" w:eastAsia="宋体" w:cs="宋体"/>
          <w:szCs w:val="24"/>
          <w:highlight w:val="none"/>
        </w:rPr>
        <w:t>中法定代表人签字处由法定代表人签署，要求授权代表签字处由授权代表签署】，若由授权代表签署，须按</w:t>
      </w:r>
      <w:r>
        <w:rPr>
          <w:rFonts w:hint="eastAsia" w:hAnsi="宋体" w:cs="宋体"/>
          <w:szCs w:val="24"/>
          <w:highlight w:val="none"/>
          <w:lang w:val="en-US" w:eastAsia="zh-CN"/>
        </w:rPr>
        <w:t>投标</w:t>
      </w:r>
      <w:r>
        <w:rPr>
          <w:rFonts w:hint="eastAsia" w:ascii="宋体" w:hAnsi="宋体" w:eastAsia="宋体" w:cs="宋体"/>
          <w:szCs w:val="24"/>
          <w:highlight w:val="none"/>
        </w:rPr>
        <w:t>文件规定的格式出具的“法定代表人授权书”附在</w:t>
      </w:r>
      <w:r>
        <w:rPr>
          <w:rFonts w:hint="eastAsia" w:ascii="宋体" w:hAnsi="宋体" w:eastAsia="宋体" w:cs="宋体"/>
          <w:szCs w:val="24"/>
          <w:highlight w:val="none"/>
          <w:lang w:eastAsia="zh-CN"/>
        </w:rPr>
        <w:t>投标文件</w:t>
      </w:r>
      <w:r>
        <w:rPr>
          <w:rFonts w:hint="eastAsia" w:ascii="宋体" w:hAnsi="宋体" w:eastAsia="宋体" w:cs="宋体"/>
          <w:szCs w:val="24"/>
          <w:highlight w:val="none"/>
        </w:rPr>
        <w:t>中，所有要求签字（名）处，均须由签字（名）者本人用不褪色的蓝(黑)色墨水(汁)书写，不得用任何形式的图章代替。</w:t>
      </w:r>
      <w:r>
        <w:rPr>
          <w:rFonts w:hint="eastAsia" w:ascii="宋体" w:hAnsi="宋体" w:eastAsia="宋体" w:cs="宋体"/>
          <w:b/>
          <w:bCs/>
          <w:szCs w:val="24"/>
          <w:highlight w:val="none"/>
        </w:rPr>
        <w:t>所有</w:t>
      </w:r>
      <w:r>
        <w:rPr>
          <w:rFonts w:hint="eastAsia" w:ascii="宋体" w:hAnsi="宋体" w:eastAsia="宋体" w:cs="宋体"/>
          <w:b/>
          <w:bCs/>
          <w:szCs w:val="24"/>
          <w:highlight w:val="none"/>
          <w:lang w:eastAsia="zh-CN"/>
        </w:rPr>
        <w:t>投标文件</w:t>
      </w:r>
      <w:r>
        <w:rPr>
          <w:rFonts w:hint="eastAsia" w:ascii="宋体" w:hAnsi="宋体" w:eastAsia="宋体" w:cs="宋体"/>
          <w:b/>
          <w:bCs/>
          <w:szCs w:val="24"/>
          <w:highlight w:val="none"/>
        </w:rPr>
        <w:t>正本和副本须按第六章规定的顺序编排、并应编制目录、逐页标注连续页码，并</w:t>
      </w:r>
      <w:r>
        <w:rPr>
          <w:rFonts w:hint="eastAsia" w:ascii="宋体" w:hAnsi="宋体" w:eastAsia="宋体" w:cs="宋体"/>
          <w:b/>
          <w:bCs/>
          <w:highlight w:val="none"/>
        </w:rPr>
        <w:t>分别胶装成册。</w:t>
      </w:r>
      <w:r>
        <w:rPr>
          <w:rFonts w:hint="eastAsia" w:hAnsi="宋体" w:cs="宋体"/>
          <w:b/>
          <w:bCs/>
          <w:highlight w:val="none"/>
          <w:lang w:val="en-US" w:eastAsia="zh-CN"/>
        </w:rPr>
        <w:t>为响应国家节约资源的政策要求，建议投标人进行双面打印</w:t>
      </w:r>
      <w:r>
        <w:rPr>
          <w:rFonts w:hint="eastAsia" w:hAnsi="宋体" w:cs="宋体"/>
          <w:szCs w:val="24"/>
          <w:highlight w:val="none"/>
        </w:rPr>
        <w:t>。</w:t>
      </w:r>
    </w:p>
    <w:p>
      <w:pPr>
        <w:spacing w:line="500" w:lineRule="exact"/>
        <w:ind w:firstLine="480" w:firstLineChars="200"/>
        <w:rPr>
          <w:rFonts w:hAnsi="宋体" w:cs="宋体"/>
          <w:szCs w:val="24"/>
          <w:highlight w:val="none"/>
        </w:rPr>
      </w:pPr>
      <w:r>
        <w:rPr>
          <w:rFonts w:hint="eastAsia" w:hAnsi="宋体" w:cs="宋体"/>
          <w:szCs w:val="24"/>
          <w:highlight w:val="none"/>
        </w:rPr>
        <w:t>16.3任何行间插字、涂改和增删，必须由投标人的法定代表人或其授权代表在旁边签字方有效。</w:t>
      </w:r>
    </w:p>
    <w:p>
      <w:pPr>
        <w:spacing w:line="500" w:lineRule="exact"/>
        <w:ind w:firstLine="482" w:firstLineChars="200"/>
        <w:rPr>
          <w:rFonts w:hAnsi="宋体" w:cs="宋体"/>
          <w:b/>
          <w:bCs/>
          <w:highlight w:val="none"/>
        </w:rPr>
      </w:pPr>
      <w:r>
        <w:rPr>
          <w:rFonts w:hint="eastAsia" w:hAnsi="宋体" w:cs="宋体"/>
          <w:b/>
          <w:bCs/>
          <w:highlight w:val="none"/>
        </w:rPr>
        <w:t>16.4</w:t>
      </w:r>
      <w:r>
        <w:rPr>
          <w:rFonts w:hint="eastAsia" w:ascii="宋体" w:hAnsi="宋体" w:eastAsia="宋体" w:cs="宋体"/>
          <w:b/>
          <w:bCs/>
          <w:szCs w:val="24"/>
          <w:highlight w:val="none"/>
          <w:lang w:val="en-US" w:eastAsia="zh-CN"/>
        </w:rPr>
        <w:t>投标人</w:t>
      </w:r>
      <w:r>
        <w:rPr>
          <w:rFonts w:hint="eastAsia" w:ascii="宋体" w:hAnsi="宋体" w:eastAsia="宋体" w:cs="宋体"/>
          <w:b/>
          <w:bCs/>
          <w:szCs w:val="24"/>
          <w:highlight w:val="none"/>
        </w:rPr>
        <w:t>名称应填写全称</w:t>
      </w:r>
      <w:r>
        <w:rPr>
          <w:rFonts w:hint="eastAsia" w:ascii="宋体" w:hAnsi="宋体" w:eastAsia="宋体" w:cs="宋体"/>
          <w:b/>
          <w:bCs/>
          <w:szCs w:val="24"/>
          <w:highlight w:val="none"/>
          <w:lang w:eastAsia="zh-CN"/>
        </w:rPr>
        <w:t>，</w:t>
      </w:r>
      <w:r>
        <w:rPr>
          <w:rFonts w:hint="eastAsia" w:ascii="宋体" w:hAnsi="宋体" w:eastAsia="宋体" w:cs="宋体"/>
          <w:b/>
          <w:bCs/>
          <w:szCs w:val="24"/>
          <w:highlight w:val="none"/>
          <w:lang w:val="en-US" w:eastAsia="zh-CN"/>
        </w:rPr>
        <w:t>投标文件</w:t>
      </w:r>
      <w:r>
        <w:rPr>
          <w:rFonts w:hint="eastAsia" w:ascii="宋体" w:hAnsi="宋体" w:eastAsia="宋体" w:cs="宋体"/>
          <w:b/>
          <w:bCs/>
          <w:szCs w:val="24"/>
          <w:highlight w:val="none"/>
        </w:rPr>
        <w:t>正本必须逐页加盖</w:t>
      </w:r>
      <w:r>
        <w:rPr>
          <w:rFonts w:hint="eastAsia" w:ascii="宋体" w:hAnsi="宋体" w:eastAsia="宋体" w:cs="宋体"/>
          <w:b/>
          <w:bCs/>
          <w:szCs w:val="24"/>
          <w:highlight w:val="none"/>
          <w:lang w:val="en-US" w:eastAsia="zh-CN"/>
        </w:rPr>
        <w:t>投标人</w:t>
      </w:r>
      <w:r>
        <w:rPr>
          <w:rFonts w:hint="eastAsia" w:ascii="宋体" w:hAnsi="宋体" w:eastAsia="宋体" w:cs="宋体"/>
          <w:b/>
          <w:bCs/>
          <w:szCs w:val="24"/>
          <w:highlight w:val="none"/>
        </w:rPr>
        <w:t>公章（鲜章）。</w:t>
      </w:r>
    </w:p>
    <w:p>
      <w:pPr>
        <w:spacing w:line="500" w:lineRule="exact"/>
        <w:ind w:firstLine="480" w:firstLineChars="200"/>
        <w:rPr>
          <w:rFonts w:hAnsi="宋体" w:cs="宋体"/>
          <w:szCs w:val="24"/>
          <w:highlight w:val="none"/>
        </w:rPr>
      </w:pPr>
      <w:r>
        <w:rPr>
          <w:rFonts w:hint="eastAsia" w:hAnsi="宋体" w:cs="宋体"/>
          <w:szCs w:val="24"/>
          <w:highlight w:val="none"/>
        </w:rPr>
        <w:t>16.</w:t>
      </w:r>
      <w:r>
        <w:rPr>
          <w:rFonts w:hint="eastAsia" w:hAnsi="宋体" w:cs="宋体"/>
          <w:szCs w:val="24"/>
          <w:highlight w:val="none"/>
          <w:lang w:val="en-US" w:eastAsia="zh-CN"/>
        </w:rPr>
        <w:t>5</w:t>
      </w:r>
      <w:r>
        <w:rPr>
          <w:rFonts w:hint="eastAsia" w:hAnsi="宋体" w:cs="宋体"/>
          <w:szCs w:val="24"/>
          <w:highlight w:val="none"/>
        </w:rPr>
        <w:t>因字迹潦草、表述不清或不按招标文件格式编制的投标文件，所引起的对投标人不利的后果，由投标人自行负责。</w:t>
      </w:r>
    </w:p>
    <w:p>
      <w:pPr>
        <w:tabs>
          <w:tab w:val="left" w:pos="1080"/>
        </w:tabs>
        <w:spacing w:line="500" w:lineRule="exact"/>
        <w:ind w:firstLine="460" w:firstLineChars="192"/>
        <w:rPr>
          <w:rFonts w:hAnsi="宋体" w:cs="宋体"/>
          <w:color w:val="000000"/>
          <w:highlight w:val="none"/>
        </w:rPr>
      </w:pPr>
      <w:r>
        <w:rPr>
          <w:rFonts w:hint="eastAsia" w:hAnsi="宋体" w:cs="宋体"/>
          <w:szCs w:val="24"/>
          <w:highlight w:val="none"/>
        </w:rPr>
        <w:t>16.</w:t>
      </w:r>
      <w:r>
        <w:rPr>
          <w:rFonts w:hint="eastAsia" w:hAnsi="宋体" w:cs="宋体"/>
          <w:szCs w:val="24"/>
          <w:highlight w:val="none"/>
          <w:lang w:val="en-US" w:eastAsia="zh-CN"/>
        </w:rPr>
        <w:t>6</w:t>
      </w:r>
      <w:r>
        <w:rPr>
          <w:rFonts w:hint="eastAsia" w:hAnsi="宋体" w:cs="宋体"/>
          <w:szCs w:val="24"/>
          <w:highlight w:val="none"/>
        </w:rPr>
        <w:t>投标文件的副本、电子版须和正本保持一致。</w:t>
      </w:r>
      <w:r>
        <w:rPr>
          <w:rFonts w:hint="eastAsia" w:hAnsi="宋体" w:cs="宋体"/>
          <w:color w:val="000000"/>
          <w:highlight w:val="none"/>
        </w:rPr>
        <w:t>若正本、副本和电子版有不一致的内容，以正本为准。</w:t>
      </w:r>
    </w:p>
    <w:p>
      <w:pPr>
        <w:spacing w:before="333" w:beforeLines="100" w:after="333" w:afterLines="100" w:line="500" w:lineRule="exact"/>
        <w:jc w:val="center"/>
        <w:rPr>
          <w:rFonts w:hAnsi="宋体" w:cs="宋体"/>
          <w:b/>
          <w:sz w:val="32"/>
          <w:szCs w:val="32"/>
          <w:highlight w:val="none"/>
        </w:rPr>
      </w:pPr>
      <w:bookmarkStart w:id="34" w:name="_Toc363473975"/>
      <w:bookmarkStart w:id="35" w:name="_Toc363474020"/>
      <w:bookmarkStart w:id="36" w:name="_Toc403077642"/>
      <w:r>
        <w:rPr>
          <w:rFonts w:hint="eastAsia" w:hAnsi="宋体" w:cs="宋体"/>
          <w:b/>
          <w:sz w:val="32"/>
          <w:szCs w:val="32"/>
          <w:highlight w:val="none"/>
        </w:rPr>
        <w:t>四.投标文件的递交</w:t>
      </w:r>
      <w:bookmarkEnd w:id="34"/>
      <w:bookmarkEnd w:id="35"/>
      <w:bookmarkEnd w:id="36"/>
    </w:p>
    <w:p>
      <w:pPr>
        <w:spacing w:line="500" w:lineRule="exact"/>
        <w:rPr>
          <w:rFonts w:hAnsi="宋体" w:cs="宋体"/>
          <w:b/>
          <w:szCs w:val="24"/>
          <w:highlight w:val="none"/>
        </w:rPr>
      </w:pPr>
      <w:r>
        <w:rPr>
          <w:rFonts w:hint="eastAsia" w:hAnsi="宋体" w:cs="宋体"/>
          <w:b/>
          <w:szCs w:val="24"/>
          <w:highlight w:val="none"/>
        </w:rPr>
        <w:t>17.投标文件的密封和标记</w:t>
      </w:r>
    </w:p>
    <w:p>
      <w:pPr>
        <w:spacing w:line="500" w:lineRule="exact"/>
        <w:ind w:firstLine="480" w:firstLineChars="200"/>
        <w:rPr>
          <w:rFonts w:hAnsi="宋体" w:cs="宋体"/>
          <w:szCs w:val="24"/>
          <w:highlight w:val="none"/>
        </w:rPr>
      </w:pPr>
      <w:r>
        <w:rPr>
          <w:rFonts w:hint="eastAsia" w:hAnsi="宋体" w:cs="宋体"/>
          <w:szCs w:val="24"/>
          <w:highlight w:val="none"/>
        </w:rPr>
        <w:t>17.1</w:t>
      </w:r>
      <w:r>
        <w:rPr>
          <w:rFonts w:hint="eastAsia" w:hAnsi="宋体" w:cs="宋体"/>
          <w:highlight w:val="none"/>
        </w:rPr>
        <w:t>开标一览表除投标文件内装订外，再制作一份密封在封袋中。封线处加贴封条并加盖投标人公章，封袋正面要粘贴标识，单独递交（该单独密封开标一览表的投标报价必须与投标文件正本中的开标一览表（报价表）的投</w:t>
      </w:r>
      <w:r>
        <w:rPr>
          <w:rFonts w:hint="eastAsia" w:hAnsi="宋体" w:cs="宋体"/>
          <w:szCs w:val="24"/>
          <w:highlight w:val="none"/>
        </w:rPr>
        <w:t>标报价一致，若不一致，则按单独密封的开标一览表为准。）</w:t>
      </w:r>
    </w:p>
    <w:p>
      <w:pPr>
        <w:spacing w:line="500" w:lineRule="exact"/>
        <w:ind w:firstLine="480" w:firstLineChars="200"/>
        <w:rPr>
          <w:rFonts w:hAnsi="宋体" w:cs="宋体"/>
          <w:szCs w:val="24"/>
          <w:highlight w:val="none"/>
        </w:rPr>
      </w:pPr>
      <w:r>
        <w:rPr>
          <w:rFonts w:hint="eastAsia" w:hAnsi="宋体" w:cs="宋体"/>
          <w:szCs w:val="24"/>
          <w:highlight w:val="none"/>
        </w:rPr>
        <w:t>17.2</w:t>
      </w:r>
      <w:r>
        <w:rPr>
          <w:rFonts w:hint="eastAsia" w:hAnsi="宋体" w:cs="宋体"/>
          <w:szCs w:val="24"/>
          <w:highlight w:val="none"/>
          <w:lang w:val="en-US" w:eastAsia="zh-CN"/>
        </w:rPr>
        <w:t>投标</w:t>
      </w:r>
      <w:r>
        <w:rPr>
          <w:rFonts w:hint="eastAsia" w:hAnsi="宋体" w:cs="宋体"/>
          <w:szCs w:val="24"/>
          <w:highlight w:val="none"/>
        </w:rPr>
        <w:t>文件正本、电子版本、报价一览表密封装在单独的封袋中（封袋不得有破损），所有的副本密封装在单独的封袋中（封袋不得有破损）且在封袋正面标明“正本”“副本”“电子版本”“报价一览表”字样。封袋应加贴封条，并在封线处加盖供应商公章，封袋正面要粘贴供应商全称、项目名称、编号等标识。</w:t>
      </w:r>
    </w:p>
    <w:p>
      <w:pPr>
        <w:spacing w:line="500" w:lineRule="exact"/>
        <w:ind w:firstLine="480" w:firstLineChars="200"/>
        <w:rPr>
          <w:rFonts w:hAnsi="宋体" w:cs="宋体"/>
          <w:szCs w:val="24"/>
          <w:highlight w:val="none"/>
        </w:rPr>
      </w:pPr>
      <w:r>
        <w:rPr>
          <w:rFonts w:hint="eastAsia" w:hAnsi="宋体" w:cs="宋体"/>
          <w:szCs w:val="24"/>
          <w:highlight w:val="none"/>
        </w:rPr>
        <w:t>17.3外层包装请按以下要求标记：</w:t>
      </w:r>
    </w:p>
    <w:p>
      <w:pPr>
        <w:spacing w:line="500" w:lineRule="exact"/>
        <w:ind w:firstLine="480" w:firstLineChars="200"/>
        <w:rPr>
          <w:rFonts w:hAnsi="宋体" w:cs="宋体"/>
          <w:szCs w:val="24"/>
          <w:highlight w:val="none"/>
        </w:rPr>
      </w:pPr>
      <w:r>
        <w:rPr>
          <w:rFonts w:hint="eastAsia" w:hAnsi="宋体" w:cs="宋体"/>
          <w:szCs w:val="24"/>
          <w:highlight w:val="none"/>
        </w:rPr>
        <w:t xml:space="preserve">   （1) 投标人的全称；</w:t>
      </w:r>
    </w:p>
    <w:p>
      <w:pPr>
        <w:spacing w:line="500" w:lineRule="exact"/>
        <w:ind w:firstLine="480" w:firstLineChars="200"/>
        <w:rPr>
          <w:rFonts w:hAnsi="宋体" w:cs="宋体"/>
          <w:szCs w:val="24"/>
          <w:highlight w:val="none"/>
        </w:rPr>
      </w:pPr>
      <w:r>
        <w:rPr>
          <w:rFonts w:hint="eastAsia" w:hAnsi="宋体" w:cs="宋体"/>
          <w:szCs w:val="24"/>
          <w:highlight w:val="none"/>
        </w:rPr>
        <w:t xml:space="preserve">   （2) 投标项目名称、项目编号；</w:t>
      </w:r>
    </w:p>
    <w:p>
      <w:pPr>
        <w:spacing w:line="500" w:lineRule="exact"/>
        <w:ind w:firstLine="480" w:firstLineChars="200"/>
        <w:rPr>
          <w:rFonts w:hAnsi="宋体" w:cs="宋体"/>
          <w:szCs w:val="24"/>
          <w:highlight w:val="none"/>
        </w:rPr>
      </w:pPr>
      <w:r>
        <w:rPr>
          <w:rFonts w:hint="eastAsia" w:hAnsi="宋体" w:cs="宋体"/>
          <w:szCs w:val="24"/>
          <w:highlight w:val="none"/>
        </w:rPr>
        <w:t xml:space="preserve">   （3）正本或副本、电子版本、开标一览表“请勿在＿＿＿＿(开标时间)之前启封”。</w:t>
      </w:r>
    </w:p>
    <w:p>
      <w:pPr>
        <w:spacing w:line="500" w:lineRule="exact"/>
        <w:ind w:firstLine="480" w:firstLineChars="200"/>
        <w:rPr>
          <w:rFonts w:hAnsi="宋体" w:cs="宋体"/>
          <w:szCs w:val="24"/>
          <w:highlight w:val="none"/>
        </w:rPr>
      </w:pPr>
      <w:r>
        <w:rPr>
          <w:rFonts w:hint="eastAsia" w:hAnsi="宋体" w:cs="宋体"/>
          <w:szCs w:val="24"/>
          <w:highlight w:val="none"/>
        </w:rPr>
        <w:t>17.4如果投标人未对投标文件按上述要求进行完好密封，由此产生的不利后果由投标人自行承担。</w:t>
      </w:r>
    </w:p>
    <w:p>
      <w:pPr>
        <w:spacing w:line="500" w:lineRule="exact"/>
        <w:rPr>
          <w:rFonts w:hAnsi="宋体" w:cs="宋体"/>
          <w:b/>
          <w:szCs w:val="24"/>
          <w:highlight w:val="none"/>
        </w:rPr>
      </w:pPr>
      <w:r>
        <w:rPr>
          <w:rFonts w:hint="eastAsia" w:hAnsi="宋体" w:cs="宋体"/>
          <w:b/>
          <w:szCs w:val="24"/>
          <w:highlight w:val="none"/>
        </w:rPr>
        <w:t>18．投标文件的递交</w:t>
      </w:r>
    </w:p>
    <w:p>
      <w:pPr>
        <w:spacing w:line="500" w:lineRule="exact"/>
        <w:ind w:firstLine="480" w:firstLineChars="200"/>
        <w:rPr>
          <w:rFonts w:hAnsi="宋体" w:cs="宋体"/>
          <w:szCs w:val="24"/>
          <w:highlight w:val="none"/>
        </w:rPr>
      </w:pPr>
      <w:r>
        <w:rPr>
          <w:rFonts w:hint="eastAsia" w:hAnsi="宋体" w:cs="宋体"/>
          <w:szCs w:val="24"/>
          <w:highlight w:val="none"/>
        </w:rPr>
        <w:t>18.1投标人应按照招标公告中规定的时间、地点，在规定的投标文件递交截止时间前将全部投标文件和投标资料递交至采购代理机构投标文件接收人。</w:t>
      </w:r>
    </w:p>
    <w:p>
      <w:pPr>
        <w:spacing w:line="500" w:lineRule="exact"/>
        <w:ind w:firstLine="480" w:firstLineChars="200"/>
        <w:rPr>
          <w:rFonts w:hAnsi="宋体" w:cs="宋体"/>
          <w:szCs w:val="24"/>
          <w:highlight w:val="none"/>
        </w:rPr>
      </w:pPr>
      <w:r>
        <w:rPr>
          <w:rFonts w:hint="eastAsia" w:hAnsi="宋体" w:cs="宋体"/>
          <w:szCs w:val="24"/>
          <w:highlight w:val="none"/>
        </w:rPr>
        <w:t>18.2采购代理机构在招标文件规定的投标文件递交截止时间前，只负责投标文件的接收、清点、造册登记工作，并请递交人签字确认，对其有效性不负任何责任；</w:t>
      </w:r>
    </w:p>
    <w:p>
      <w:pPr>
        <w:spacing w:line="500" w:lineRule="exact"/>
        <w:ind w:firstLine="480" w:firstLineChars="200"/>
        <w:rPr>
          <w:rFonts w:hAnsi="宋体" w:cs="宋体"/>
          <w:spacing w:val="-2"/>
          <w:highlight w:val="none"/>
        </w:rPr>
      </w:pPr>
      <w:r>
        <w:rPr>
          <w:rFonts w:hint="eastAsia" w:hAnsi="宋体" w:cs="宋体"/>
          <w:szCs w:val="24"/>
          <w:highlight w:val="none"/>
        </w:rPr>
        <w:t>18.</w:t>
      </w:r>
      <w:r>
        <w:rPr>
          <w:rFonts w:hint="eastAsia" w:hAnsi="宋体" w:cs="宋体"/>
          <w:szCs w:val="24"/>
          <w:highlight w:val="none"/>
          <w:lang w:val="en-US" w:eastAsia="zh-CN"/>
        </w:rPr>
        <w:t>3</w:t>
      </w:r>
      <w:r>
        <w:rPr>
          <w:rFonts w:hint="eastAsia" w:hAnsi="宋体" w:cs="宋体"/>
          <w:szCs w:val="24"/>
          <w:highlight w:val="none"/>
        </w:rPr>
        <w:t>无论投标人中标与否，其投标文件</w:t>
      </w:r>
      <w:r>
        <w:rPr>
          <w:rFonts w:hint="eastAsia" w:hAnsi="宋体" w:cs="宋体"/>
          <w:highlight w:val="none"/>
        </w:rPr>
        <w:t>恕不退还。</w:t>
      </w:r>
    </w:p>
    <w:p>
      <w:pPr>
        <w:spacing w:line="360" w:lineRule="auto"/>
        <w:rPr>
          <w:rFonts w:hint="eastAsia" w:ascii="宋体" w:hAnsi="宋体" w:eastAsia="宋体" w:cs="宋体"/>
          <w:b/>
          <w:szCs w:val="24"/>
          <w:highlight w:val="none"/>
        </w:rPr>
      </w:pPr>
      <w:r>
        <w:rPr>
          <w:rFonts w:hint="eastAsia" w:hAnsi="宋体" w:cs="宋体"/>
          <w:b/>
          <w:szCs w:val="24"/>
          <w:highlight w:val="none"/>
        </w:rPr>
        <w:t>19．</w:t>
      </w:r>
      <w:r>
        <w:rPr>
          <w:rFonts w:hint="eastAsia" w:ascii="宋体" w:hAnsi="宋体" w:eastAsia="宋体" w:cs="宋体"/>
          <w:b/>
          <w:szCs w:val="24"/>
          <w:highlight w:val="none"/>
        </w:rPr>
        <w:t>递交的</w:t>
      </w:r>
      <w:r>
        <w:rPr>
          <w:rFonts w:hint="eastAsia" w:ascii="宋体" w:hAnsi="宋体" w:eastAsia="宋体" w:cs="宋体"/>
          <w:b/>
          <w:szCs w:val="24"/>
          <w:highlight w:val="none"/>
          <w:lang w:val="en-US" w:eastAsia="zh-CN"/>
        </w:rPr>
        <w:t>投标</w:t>
      </w:r>
      <w:r>
        <w:rPr>
          <w:rFonts w:hint="eastAsia" w:ascii="宋体" w:hAnsi="宋体" w:eastAsia="宋体" w:cs="宋体"/>
          <w:b/>
          <w:szCs w:val="24"/>
          <w:highlight w:val="none"/>
        </w:rPr>
        <w:t>文件</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19.1按照</w:t>
      </w:r>
      <w:r>
        <w:rPr>
          <w:rFonts w:hint="eastAsia" w:ascii="宋体" w:hAnsi="宋体" w:eastAsia="宋体" w:cs="宋体"/>
          <w:szCs w:val="24"/>
          <w:highlight w:val="none"/>
          <w:lang w:val="en-US" w:eastAsia="zh-CN"/>
        </w:rPr>
        <w:t>投标人</w:t>
      </w:r>
      <w:r>
        <w:rPr>
          <w:rFonts w:hint="eastAsia" w:ascii="宋体" w:hAnsi="宋体" w:eastAsia="宋体" w:cs="宋体"/>
          <w:szCs w:val="24"/>
          <w:highlight w:val="none"/>
        </w:rPr>
        <w:t>须知的规定，</w:t>
      </w:r>
      <w:r>
        <w:rPr>
          <w:rFonts w:hint="eastAsia" w:ascii="宋体" w:hAnsi="宋体" w:eastAsia="宋体" w:cs="宋体"/>
          <w:szCs w:val="24"/>
          <w:highlight w:val="none"/>
          <w:lang w:val="en-US" w:eastAsia="zh-CN"/>
        </w:rPr>
        <w:t>招标</w:t>
      </w:r>
      <w:r>
        <w:rPr>
          <w:rFonts w:hint="eastAsia" w:ascii="宋体" w:hAnsi="宋体" w:eastAsia="宋体" w:cs="宋体"/>
          <w:szCs w:val="24"/>
          <w:highlight w:val="none"/>
        </w:rPr>
        <w:t>代理机构将拒绝接受在规定的</w:t>
      </w:r>
      <w:r>
        <w:rPr>
          <w:rFonts w:hint="eastAsia" w:ascii="宋体" w:hAnsi="宋体" w:eastAsia="宋体" w:cs="宋体"/>
          <w:szCs w:val="24"/>
          <w:highlight w:val="none"/>
          <w:lang w:val="en-US" w:eastAsia="zh-CN"/>
        </w:rPr>
        <w:t>投标</w:t>
      </w:r>
      <w:r>
        <w:rPr>
          <w:rFonts w:hint="eastAsia" w:ascii="宋体" w:hAnsi="宋体" w:eastAsia="宋体" w:cs="宋体"/>
          <w:szCs w:val="24"/>
          <w:highlight w:val="none"/>
        </w:rPr>
        <w:t>截止时间后递交的任何</w:t>
      </w:r>
      <w:r>
        <w:rPr>
          <w:rFonts w:hint="eastAsia" w:ascii="宋体" w:hAnsi="宋体" w:eastAsia="宋体" w:cs="宋体"/>
          <w:szCs w:val="24"/>
          <w:highlight w:val="none"/>
          <w:lang w:val="en-US" w:eastAsia="zh-CN"/>
        </w:rPr>
        <w:t>投标</w:t>
      </w:r>
      <w:r>
        <w:rPr>
          <w:rFonts w:hint="eastAsia" w:ascii="宋体" w:hAnsi="宋体" w:eastAsia="宋体" w:cs="宋体"/>
          <w:szCs w:val="24"/>
          <w:highlight w:val="none"/>
        </w:rPr>
        <w:t>文件。</w:t>
      </w:r>
    </w:p>
    <w:p>
      <w:pPr>
        <w:spacing w:line="500" w:lineRule="exact"/>
        <w:rPr>
          <w:rFonts w:hAnsi="宋体" w:cs="宋体"/>
          <w:b/>
          <w:szCs w:val="24"/>
          <w:highlight w:val="none"/>
        </w:rPr>
      </w:pPr>
      <w:r>
        <w:rPr>
          <w:rFonts w:hint="eastAsia" w:hAnsi="宋体" w:cs="宋体"/>
          <w:b/>
          <w:szCs w:val="24"/>
          <w:highlight w:val="none"/>
        </w:rPr>
        <w:t>20．投标的修改与撤回</w:t>
      </w:r>
    </w:p>
    <w:p>
      <w:pPr>
        <w:spacing w:line="500" w:lineRule="exact"/>
        <w:ind w:firstLine="480" w:firstLineChars="200"/>
        <w:rPr>
          <w:rFonts w:hAnsi="宋体" w:cs="宋体"/>
          <w:szCs w:val="24"/>
          <w:highlight w:val="none"/>
        </w:rPr>
      </w:pPr>
      <w:r>
        <w:rPr>
          <w:rFonts w:hint="eastAsia" w:hAnsi="宋体" w:cs="宋体"/>
          <w:szCs w:val="24"/>
          <w:highlight w:val="none"/>
        </w:rPr>
        <w:t>20.1 投标人在递交投标文件后，可以修改或撤回其投标文件，也可以提出价格变动声明，但投标人必须在规定的投标文件递交截止时间之前将修改或撤回或变动价格的书面通知文件递交到采购代理机构。</w:t>
      </w:r>
    </w:p>
    <w:p>
      <w:pPr>
        <w:spacing w:line="500" w:lineRule="exact"/>
        <w:ind w:firstLine="480" w:firstLineChars="200"/>
        <w:rPr>
          <w:rFonts w:hAnsi="宋体" w:cs="宋体"/>
          <w:szCs w:val="24"/>
          <w:highlight w:val="none"/>
        </w:rPr>
      </w:pPr>
      <w:r>
        <w:rPr>
          <w:rFonts w:hint="eastAsia" w:hAnsi="宋体" w:cs="宋体"/>
          <w:szCs w:val="24"/>
          <w:highlight w:val="none"/>
        </w:rPr>
        <w:t>20.2 投标人的修改或撤回或变动价格的通知应按本须知第17条的规定编制、密封、标记和递交。</w:t>
      </w:r>
    </w:p>
    <w:p>
      <w:pPr>
        <w:spacing w:line="500" w:lineRule="exact"/>
        <w:ind w:firstLine="480" w:firstLineChars="200"/>
        <w:rPr>
          <w:rFonts w:hAnsi="宋体" w:cs="宋体"/>
          <w:szCs w:val="24"/>
          <w:highlight w:val="none"/>
        </w:rPr>
      </w:pPr>
      <w:r>
        <w:rPr>
          <w:rFonts w:hint="eastAsia" w:hAnsi="宋体" w:cs="宋体"/>
          <w:szCs w:val="24"/>
          <w:highlight w:val="none"/>
        </w:rPr>
        <w:t>20.3 在投标文件递交截止时间之后，投标人不得对其投标做任何修改或撤回。</w:t>
      </w:r>
    </w:p>
    <w:p>
      <w:pPr>
        <w:spacing w:line="500" w:lineRule="exact"/>
        <w:rPr>
          <w:rFonts w:hAnsi="宋体" w:cs="宋体"/>
          <w:highlight w:val="none"/>
        </w:rPr>
      </w:pPr>
    </w:p>
    <w:p>
      <w:pPr>
        <w:spacing w:line="500" w:lineRule="exact"/>
        <w:jc w:val="center"/>
        <w:rPr>
          <w:rFonts w:hAnsi="宋体" w:cs="宋体"/>
          <w:b/>
          <w:sz w:val="32"/>
          <w:szCs w:val="32"/>
          <w:highlight w:val="none"/>
        </w:rPr>
      </w:pPr>
      <w:bookmarkStart w:id="37" w:name="_Toc363473976"/>
      <w:bookmarkStart w:id="38" w:name="_Toc403077643"/>
      <w:bookmarkStart w:id="39" w:name="_Toc363474021"/>
      <w:r>
        <w:rPr>
          <w:rFonts w:hint="eastAsia" w:hAnsi="宋体" w:cs="宋体"/>
          <w:b/>
          <w:sz w:val="32"/>
          <w:szCs w:val="32"/>
          <w:highlight w:val="none"/>
        </w:rPr>
        <w:t>五.开标与评标</w:t>
      </w:r>
      <w:bookmarkEnd w:id="37"/>
      <w:bookmarkEnd w:id="38"/>
      <w:bookmarkEnd w:id="39"/>
    </w:p>
    <w:p>
      <w:pPr>
        <w:spacing w:line="500" w:lineRule="exact"/>
        <w:rPr>
          <w:rFonts w:hAnsi="宋体" w:cs="宋体"/>
          <w:b/>
          <w:szCs w:val="24"/>
          <w:highlight w:val="none"/>
        </w:rPr>
      </w:pPr>
      <w:r>
        <w:rPr>
          <w:rFonts w:hint="eastAsia" w:hAnsi="宋体" w:cs="宋体"/>
          <w:b/>
          <w:szCs w:val="24"/>
          <w:highlight w:val="none"/>
        </w:rPr>
        <w:t>21.开标</w:t>
      </w:r>
    </w:p>
    <w:p>
      <w:pPr>
        <w:spacing w:line="500" w:lineRule="exact"/>
        <w:ind w:firstLine="480" w:firstLineChars="200"/>
        <w:rPr>
          <w:rFonts w:hAnsi="宋体" w:cs="宋体"/>
          <w:szCs w:val="24"/>
          <w:highlight w:val="none"/>
        </w:rPr>
      </w:pPr>
      <w:r>
        <w:rPr>
          <w:rFonts w:hint="eastAsia" w:hAnsi="宋体" w:cs="宋体"/>
          <w:szCs w:val="24"/>
          <w:highlight w:val="none"/>
        </w:rPr>
        <w:t>21.1 采购代理机构在规定的时间和地点组织公开开标。开标时所有投标人代表自愿参加，参加开标的代表应签名报到以证明其出席。</w:t>
      </w:r>
    </w:p>
    <w:p>
      <w:pPr>
        <w:spacing w:line="500" w:lineRule="exact"/>
        <w:ind w:firstLine="480" w:firstLineChars="200"/>
        <w:rPr>
          <w:rFonts w:hAnsi="宋体" w:cs="宋体"/>
          <w:szCs w:val="24"/>
          <w:highlight w:val="none"/>
        </w:rPr>
      </w:pPr>
      <w:r>
        <w:rPr>
          <w:rFonts w:hint="eastAsia" w:hAnsi="宋体" w:cs="宋体"/>
          <w:szCs w:val="24"/>
          <w:highlight w:val="none"/>
        </w:rPr>
        <w:t>21.2 开标时，由监标人和投标人或者其推选的代表检查投标文件的密封情况。检查完毕后，采购代理机构当众宣读投标人名称、投标价格、价格折扣、修改或撤回或变动价格的书面通知（如果有），以及采购代理机构认为合适的其他内容。未在开标时宣读的投标价格和价格折扣，评标时不予承认。以邮寄方式递交投标文件的为无效投标，不予启封。</w:t>
      </w:r>
    </w:p>
    <w:p>
      <w:pPr>
        <w:spacing w:line="500" w:lineRule="exact"/>
        <w:ind w:firstLine="480" w:firstLineChars="200"/>
        <w:rPr>
          <w:rFonts w:hAnsi="宋体" w:cs="宋体"/>
          <w:szCs w:val="24"/>
          <w:highlight w:val="none"/>
        </w:rPr>
      </w:pPr>
      <w:r>
        <w:rPr>
          <w:rFonts w:hint="eastAsia" w:hAnsi="宋体" w:cs="宋体"/>
          <w:szCs w:val="24"/>
          <w:highlight w:val="none"/>
        </w:rPr>
        <w:t>21.3只有在开标时唱出的价格和价格变动声明，评标时才能考虑。</w:t>
      </w:r>
    </w:p>
    <w:p>
      <w:pPr>
        <w:spacing w:line="500" w:lineRule="exact"/>
        <w:ind w:firstLine="480" w:firstLineChars="200"/>
        <w:rPr>
          <w:rFonts w:hAnsi="宋体" w:cs="宋体"/>
          <w:szCs w:val="24"/>
          <w:highlight w:val="none"/>
        </w:rPr>
      </w:pPr>
      <w:r>
        <w:rPr>
          <w:rFonts w:hint="eastAsia" w:hAnsi="宋体" w:cs="宋体"/>
          <w:szCs w:val="24"/>
          <w:highlight w:val="none"/>
        </w:rPr>
        <w:t>21.4在开标时没有启封和宣读的投标文件将原封退回给投标人。</w:t>
      </w:r>
    </w:p>
    <w:p>
      <w:pPr>
        <w:spacing w:line="500" w:lineRule="exact"/>
        <w:ind w:firstLine="480" w:firstLineChars="200"/>
        <w:rPr>
          <w:rFonts w:hAnsi="宋体" w:cs="宋体"/>
          <w:szCs w:val="24"/>
          <w:highlight w:val="none"/>
        </w:rPr>
      </w:pPr>
      <w:r>
        <w:rPr>
          <w:rFonts w:hint="eastAsia" w:hAnsi="宋体" w:cs="宋体"/>
          <w:szCs w:val="24"/>
          <w:highlight w:val="none"/>
        </w:rPr>
        <w:t>21.5 采购代理机构将做开标记录，存档备查。</w:t>
      </w:r>
    </w:p>
    <w:p>
      <w:pPr>
        <w:spacing w:line="500" w:lineRule="exact"/>
        <w:ind w:firstLine="480" w:firstLineChars="200"/>
        <w:rPr>
          <w:rFonts w:hAnsi="宋体" w:cs="宋体"/>
          <w:szCs w:val="24"/>
          <w:highlight w:val="none"/>
        </w:rPr>
      </w:pPr>
      <w:r>
        <w:rPr>
          <w:rFonts w:hint="eastAsia" w:hAnsi="宋体" w:cs="宋体"/>
          <w:szCs w:val="24"/>
          <w:highlight w:val="none"/>
        </w:rPr>
        <w:t>21.6 投标人未参加开标的，视同认可开标结果。</w:t>
      </w:r>
    </w:p>
    <w:p>
      <w:pPr>
        <w:spacing w:line="500" w:lineRule="exact"/>
        <w:rPr>
          <w:rFonts w:hAnsi="宋体" w:cs="宋体"/>
          <w:b/>
          <w:szCs w:val="24"/>
          <w:highlight w:val="none"/>
        </w:rPr>
      </w:pPr>
      <w:r>
        <w:rPr>
          <w:rFonts w:hint="eastAsia" w:hAnsi="宋体" w:cs="宋体"/>
          <w:b/>
          <w:szCs w:val="24"/>
          <w:highlight w:val="none"/>
        </w:rPr>
        <w:t>22．评标组织及评标原则</w:t>
      </w:r>
    </w:p>
    <w:p>
      <w:pPr>
        <w:spacing w:line="500" w:lineRule="exact"/>
        <w:ind w:firstLine="480" w:firstLineChars="200"/>
        <w:rPr>
          <w:rFonts w:hint="eastAsia" w:hAnsi="宋体" w:cs="宋体"/>
          <w:szCs w:val="24"/>
          <w:highlight w:val="none"/>
        </w:rPr>
      </w:pPr>
      <w:r>
        <w:rPr>
          <w:rFonts w:hint="eastAsia" w:hAnsi="宋体" w:cs="宋体"/>
          <w:szCs w:val="24"/>
          <w:highlight w:val="none"/>
        </w:rPr>
        <w:t>22.1按照《中华人民共和国政府采购法》及实施条例和中华人民共和国财政部令第87号--《政府采购货物和服务招标投标管理办法》的规定，依法组建评标委员会。评标委员会由采购人代表和评审专家组成，成员人数为</w:t>
      </w:r>
      <w:r>
        <w:rPr>
          <w:rFonts w:hint="eastAsia" w:hAnsi="宋体" w:cs="宋体"/>
          <w:szCs w:val="24"/>
          <w:highlight w:val="none"/>
          <w:lang w:val="en-US" w:eastAsia="zh-CN"/>
        </w:rPr>
        <w:t>7</w:t>
      </w:r>
      <w:r>
        <w:rPr>
          <w:rFonts w:hint="eastAsia" w:hAnsi="宋体" w:cs="宋体"/>
          <w:szCs w:val="24"/>
          <w:highlight w:val="none"/>
        </w:rPr>
        <w:t>人</w:t>
      </w:r>
      <w:r>
        <w:rPr>
          <w:rFonts w:hint="eastAsia" w:hAnsi="宋体" w:cs="宋体"/>
          <w:szCs w:val="24"/>
          <w:highlight w:val="none"/>
          <w:lang w:eastAsia="zh-CN"/>
        </w:rPr>
        <w:t>或</w:t>
      </w:r>
      <w:r>
        <w:rPr>
          <w:rFonts w:hint="eastAsia" w:hAnsi="宋体" w:cs="宋体"/>
          <w:szCs w:val="24"/>
          <w:highlight w:val="none"/>
          <w:lang w:val="en-US" w:eastAsia="zh-CN"/>
        </w:rPr>
        <w:t>7人</w:t>
      </w:r>
      <w:r>
        <w:rPr>
          <w:rFonts w:hint="eastAsia" w:hAnsi="宋体" w:cs="宋体"/>
          <w:szCs w:val="24"/>
          <w:highlight w:val="none"/>
        </w:rPr>
        <w:t>以上单数，采购人代表须持有授权书。专家人选在省级财政部门设立的政府采购评审专家库中随机抽取，评标委员会按照招标文件规定的评标方法独立进行评标工作。</w:t>
      </w:r>
    </w:p>
    <w:p>
      <w:pPr>
        <w:spacing w:line="500" w:lineRule="exact"/>
        <w:ind w:firstLine="480" w:firstLineChars="200"/>
        <w:rPr>
          <w:rFonts w:hAnsi="宋体" w:cs="宋体"/>
          <w:szCs w:val="24"/>
          <w:highlight w:val="none"/>
        </w:rPr>
      </w:pPr>
      <w:r>
        <w:rPr>
          <w:rFonts w:hint="eastAsia" w:hAnsi="宋体" w:cs="宋体"/>
          <w:szCs w:val="24"/>
          <w:highlight w:val="none"/>
        </w:rPr>
        <w:t>22.2 评标委员会负责具体评标事务，并独立履行下列职责：</w:t>
      </w:r>
    </w:p>
    <w:p>
      <w:pPr>
        <w:spacing w:line="500" w:lineRule="exact"/>
        <w:ind w:firstLine="480" w:firstLineChars="200"/>
        <w:rPr>
          <w:rFonts w:hAnsi="宋体" w:cs="宋体"/>
          <w:szCs w:val="24"/>
          <w:highlight w:val="none"/>
        </w:rPr>
      </w:pPr>
      <w:r>
        <w:rPr>
          <w:rFonts w:hint="eastAsia" w:hAnsi="宋体" w:cs="宋体"/>
          <w:szCs w:val="24"/>
          <w:highlight w:val="none"/>
        </w:rPr>
        <w:t>（1）审查、评价投标文件是否符合招标文件的商务、技术、服务等实质性要求；</w:t>
      </w:r>
    </w:p>
    <w:p>
      <w:pPr>
        <w:spacing w:line="500" w:lineRule="exact"/>
        <w:ind w:firstLine="480" w:firstLineChars="200"/>
        <w:rPr>
          <w:rFonts w:hAnsi="宋体" w:cs="宋体"/>
          <w:szCs w:val="24"/>
          <w:highlight w:val="none"/>
        </w:rPr>
      </w:pPr>
      <w:r>
        <w:rPr>
          <w:rFonts w:hint="eastAsia" w:hAnsi="宋体" w:cs="宋体"/>
          <w:szCs w:val="24"/>
          <w:highlight w:val="none"/>
        </w:rPr>
        <w:t>（2）要求投标人对投标文件有关事项作出澄清或者说明；</w:t>
      </w:r>
    </w:p>
    <w:p>
      <w:pPr>
        <w:spacing w:line="500" w:lineRule="exact"/>
        <w:ind w:firstLine="480" w:firstLineChars="200"/>
        <w:rPr>
          <w:rFonts w:hAnsi="宋体" w:cs="宋体"/>
          <w:szCs w:val="24"/>
          <w:highlight w:val="none"/>
        </w:rPr>
      </w:pPr>
      <w:r>
        <w:rPr>
          <w:rFonts w:hint="eastAsia" w:hAnsi="宋体" w:cs="宋体"/>
          <w:szCs w:val="24"/>
          <w:highlight w:val="none"/>
        </w:rPr>
        <w:t>（3）对投标文件进行比较和评价；</w:t>
      </w:r>
    </w:p>
    <w:p>
      <w:pPr>
        <w:spacing w:line="500" w:lineRule="exact"/>
        <w:ind w:firstLine="480" w:firstLineChars="200"/>
        <w:rPr>
          <w:rFonts w:hAnsi="宋体" w:cs="宋体"/>
          <w:szCs w:val="24"/>
          <w:highlight w:val="none"/>
        </w:rPr>
      </w:pPr>
      <w:r>
        <w:rPr>
          <w:rFonts w:hint="eastAsia" w:hAnsi="宋体" w:cs="宋体"/>
          <w:szCs w:val="24"/>
          <w:highlight w:val="none"/>
        </w:rPr>
        <w:t>（4）确定中标候选人名单，以及根据采购人委托直接确定中标人；</w:t>
      </w:r>
    </w:p>
    <w:p>
      <w:pPr>
        <w:spacing w:line="500" w:lineRule="exact"/>
        <w:ind w:firstLine="480" w:firstLineChars="200"/>
        <w:rPr>
          <w:rFonts w:hAnsi="宋体" w:cs="宋体"/>
          <w:szCs w:val="24"/>
          <w:highlight w:val="none"/>
        </w:rPr>
      </w:pPr>
      <w:r>
        <w:rPr>
          <w:rFonts w:hint="eastAsia" w:hAnsi="宋体" w:cs="宋体"/>
          <w:szCs w:val="24"/>
          <w:highlight w:val="none"/>
        </w:rPr>
        <w:t>（5）向采购人、采购代理机构或者有关部门报告评标中发现的违法行为。</w:t>
      </w:r>
    </w:p>
    <w:p>
      <w:pPr>
        <w:spacing w:line="500" w:lineRule="exact"/>
        <w:ind w:firstLine="480" w:firstLineChars="200"/>
        <w:rPr>
          <w:rFonts w:hAnsi="宋体" w:cs="宋体"/>
          <w:szCs w:val="24"/>
          <w:highlight w:val="none"/>
        </w:rPr>
      </w:pPr>
      <w:r>
        <w:rPr>
          <w:rFonts w:hint="eastAsia" w:hAnsi="宋体" w:cs="宋体"/>
          <w:szCs w:val="24"/>
          <w:highlight w:val="none"/>
        </w:rPr>
        <w:t>22.3 采购代理机构负责组织评标工作并履行下列职责：</w:t>
      </w:r>
    </w:p>
    <w:p>
      <w:pPr>
        <w:spacing w:line="500" w:lineRule="exact"/>
        <w:ind w:firstLine="480" w:firstLineChars="200"/>
        <w:rPr>
          <w:rFonts w:hAnsi="宋体" w:cs="宋体"/>
          <w:szCs w:val="24"/>
          <w:highlight w:val="none"/>
        </w:rPr>
      </w:pPr>
      <w:r>
        <w:rPr>
          <w:rFonts w:hint="eastAsia" w:hAnsi="宋体" w:cs="宋体"/>
          <w:szCs w:val="24"/>
          <w:highlight w:val="none"/>
        </w:rPr>
        <w:t>（1）核对评审专家身份和采购人代表授权函，对评审专家在政府采购活动中的职责履行情况予以记录，并及时将有关违法违规行为向财政部门报告；</w:t>
      </w:r>
    </w:p>
    <w:p>
      <w:pPr>
        <w:spacing w:line="500" w:lineRule="exact"/>
        <w:ind w:firstLine="480" w:firstLineChars="200"/>
        <w:rPr>
          <w:rFonts w:hAnsi="宋体" w:cs="宋体"/>
          <w:szCs w:val="24"/>
          <w:highlight w:val="none"/>
        </w:rPr>
      </w:pPr>
      <w:r>
        <w:rPr>
          <w:rFonts w:hint="eastAsia" w:hAnsi="宋体" w:cs="宋体"/>
          <w:szCs w:val="24"/>
          <w:highlight w:val="none"/>
        </w:rPr>
        <w:t>（2）宣布评标纪律；</w:t>
      </w:r>
    </w:p>
    <w:p>
      <w:pPr>
        <w:spacing w:line="500" w:lineRule="exact"/>
        <w:ind w:firstLine="480" w:firstLineChars="200"/>
        <w:rPr>
          <w:rFonts w:hAnsi="宋体" w:cs="宋体"/>
          <w:szCs w:val="24"/>
          <w:highlight w:val="none"/>
        </w:rPr>
      </w:pPr>
      <w:r>
        <w:rPr>
          <w:rFonts w:hint="eastAsia" w:hAnsi="宋体" w:cs="宋体"/>
          <w:szCs w:val="24"/>
          <w:highlight w:val="none"/>
        </w:rPr>
        <w:t>（3）公布投标人名单，告知评标专家应当回避的情形；</w:t>
      </w:r>
    </w:p>
    <w:p>
      <w:pPr>
        <w:spacing w:line="500" w:lineRule="exact"/>
        <w:ind w:firstLine="480" w:firstLineChars="200"/>
        <w:rPr>
          <w:rFonts w:hAnsi="宋体" w:cs="宋体"/>
          <w:szCs w:val="24"/>
          <w:highlight w:val="none"/>
        </w:rPr>
      </w:pPr>
      <w:r>
        <w:rPr>
          <w:rFonts w:hint="eastAsia" w:hAnsi="宋体" w:cs="宋体"/>
          <w:szCs w:val="24"/>
          <w:highlight w:val="none"/>
        </w:rPr>
        <w:t>（4）组织评标委员会推选评标组长，采购人代表不得担任组长；</w:t>
      </w:r>
    </w:p>
    <w:p>
      <w:pPr>
        <w:spacing w:line="500" w:lineRule="exact"/>
        <w:ind w:firstLine="480" w:firstLineChars="200"/>
        <w:rPr>
          <w:rFonts w:hAnsi="宋体" w:cs="宋体"/>
          <w:szCs w:val="24"/>
          <w:highlight w:val="none"/>
        </w:rPr>
      </w:pPr>
      <w:r>
        <w:rPr>
          <w:rFonts w:hint="eastAsia" w:hAnsi="宋体" w:cs="宋体"/>
          <w:szCs w:val="24"/>
          <w:highlight w:val="none"/>
        </w:rPr>
        <w:t>（5）在评标期间采取必要的通讯管理措施，保证评标活动不受外界干扰；</w:t>
      </w:r>
    </w:p>
    <w:p>
      <w:pPr>
        <w:spacing w:line="500" w:lineRule="exact"/>
        <w:ind w:firstLine="480" w:firstLineChars="200"/>
        <w:rPr>
          <w:rFonts w:hAnsi="宋体" w:cs="宋体"/>
          <w:szCs w:val="24"/>
          <w:highlight w:val="none"/>
        </w:rPr>
      </w:pPr>
      <w:r>
        <w:rPr>
          <w:rFonts w:hint="eastAsia" w:hAnsi="宋体" w:cs="宋体"/>
          <w:szCs w:val="24"/>
          <w:highlight w:val="none"/>
        </w:rPr>
        <w:t>（6）根据评标委员会的要求介绍政府采购相关政策法规、招标文件；</w:t>
      </w:r>
    </w:p>
    <w:p>
      <w:pPr>
        <w:spacing w:line="500" w:lineRule="exact"/>
        <w:ind w:firstLine="480" w:firstLineChars="200"/>
        <w:rPr>
          <w:rFonts w:hAnsi="宋体" w:cs="宋体"/>
          <w:szCs w:val="24"/>
          <w:highlight w:val="none"/>
        </w:rPr>
      </w:pPr>
      <w:r>
        <w:rPr>
          <w:rFonts w:hint="eastAsia" w:hAnsi="宋体" w:cs="宋体"/>
          <w:szCs w:val="24"/>
          <w:highlight w:val="none"/>
        </w:rPr>
        <w:t xml:space="preserve">（7）维护评标秩序，监督评标委员会依照评标文件规定的评审程序、方法和标准进行独立评审，及时制止和纠正采购人代表、评审专家的倾向性言论或违法违规行为； </w:t>
      </w:r>
    </w:p>
    <w:p>
      <w:pPr>
        <w:spacing w:line="500" w:lineRule="exact"/>
        <w:ind w:firstLine="480" w:firstLineChars="200"/>
        <w:rPr>
          <w:rFonts w:hAnsi="宋体" w:cs="宋体"/>
          <w:szCs w:val="24"/>
          <w:highlight w:val="none"/>
        </w:rPr>
      </w:pPr>
      <w:r>
        <w:rPr>
          <w:rFonts w:hint="eastAsia" w:hAnsi="宋体" w:cs="宋体"/>
          <w:szCs w:val="24"/>
          <w:highlight w:val="none"/>
        </w:rPr>
        <w:t>（8）核对评标结果，有《政府采购货物和服务招标投标管理办法》第六十四条规定情形的，要求评标委员会复核或书面说明理由，评标委员会拒绝的，应予记录并向本级财政部门报告；</w:t>
      </w:r>
    </w:p>
    <w:p>
      <w:pPr>
        <w:spacing w:line="500" w:lineRule="exact"/>
        <w:ind w:firstLine="480" w:firstLineChars="200"/>
        <w:rPr>
          <w:rFonts w:hAnsi="宋体" w:cs="宋体"/>
          <w:szCs w:val="24"/>
          <w:highlight w:val="none"/>
        </w:rPr>
      </w:pPr>
      <w:r>
        <w:rPr>
          <w:rFonts w:hint="eastAsia" w:hAnsi="宋体" w:cs="宋体"/>
          <w:szCs w:val="24"/>
          <w:highlight w:val="none"/>
        </w:rPr>
        <w:t>（9）评审工作完成后，按照规定向评审专家支付劳务报酬和异地评审差旅费；</w:t>
      </w:r>
    </w:p>
    <w:p>
      <w:pPr>
        <w:spacing w:line="500" w:lineRule="exact"/>
        <w:ind w:firstLine="480" w:firstLineChars="200"/>
        <w:rPr>
          <w:rFonts w:hAnsi="宋体" w:cs="宋体"/>
          <w:szCs w:val="24"/>
          <w:highlight w:val="none"/>
        </w:rPr>
      </w:pPr>
      <w:r>
        <w:rPr>
          <w:rFonts w:hint="eastAsia" w:hAnsi="宋体" w:cs="宋体"/>
          <w:szCs w:val="24"/>
          <w:highlight w:val="none"/>
        </w:rPr>
        <w:t>（10）处理与评标有关的其他事项。</w:t>
      </w:r>
    </w:p>
    <w:p>
      <w:pPr>
        <w:spacing w:line="500" w:lineRule="exact"/>
        <w:ind w:firstLine="480" w:firstLineChars="200"/>
        <w:rPr>
          <w:rFonts w:hAnsi="宋体" w:cs="宋体"/>
          <w:szCs w:val="24"/>
          <w:highlight w:val="none"/>
        </w:rPr>
      </w:pPr>
      <w:r>
        <w:rPr>
          <w:rFonts w:hint="eastAsia" w:hAnsi="宋体" w:cs="宋体"/>
          <w:szCs w:val="24"/>
          <w:highlight w:val="none"/>
        </w:rPr>
        <w:t>22.4招标文件和投标文件是评标的依据。在评标中，不得改变招标文件中规定的评标标准、方法和中标条件。投标人不得在开标后使用任何方式对投标文件的实质性内容做任何更改。</w:t>
      </w:r>
    </w:p>
    <w:p>
      <w:pPr>
        <w:spacing w:line="500" w:lineRule="exact"/>
        <w:ind w:firstLine="480" w:firstLineChars="200"/>
        <w:rPr>
          <w:rFonts w:hAnsi="宋体" w:cs="宋体"/>
          <w:szCs w:val="24"/>
          <w:highlight w:val="none"/>
        </w:rPr>
      </w:pPr>
      <w:r>
        <w:rPr>
          <w:rFonts w:hint="eastAsia" w:hAnsi="宋体" w:cs="宋体"/>
          <w:szCs w:val="24"/>
          <w:highlight w:val="none"/>
        </w:rPr>
        <w:t>22.5在评标期间，对投标文件中含义不明确、同类问题表述不一致或者有明显文字和计算错误的内容，评标委员会可以书面形式</w:t>
      </w:r>
      <w:r>
        <w:rPr>
          <w:rFonts w:hint="eastAsia" w:hAnsi="宋体" w:cs="宋体"/>
          <w:highlight w:val="none"/>
        </w:rPr>
        <w:t>（由评标委员会专家签字）</w:t>
      </w:r>
      <w:r>
        <w:rPr>
          <w:rFonts w:hint="eastAsia" w:hAnsi="宋体" w:cs="宋体"/>
          <w:szCs w:val="24"/>
          <w:highlight w:val="none"/>
        </w:rPr>
        <w:t>要求投标人作出必要的澄清、说明或者纠正。投标人的澄清、说明或者补正应当采用书面形式，由其授权的代表签字，并不得超出投标文件的范围或者改变投标文件的实质性内容。</w:t>
      </w:r>
    </w:p>
    <w:p>
      <w:pPr>
        <w:spacing w:line="500" w:lineRule="exact"/>
        <w:ind w:firstLine="480" w:firstLineChars="200"/>
        <w:rPr>
          <w:rFonts w:hAnsi="宋体" w:cs="宋体"/>
          <w:szCs w:val="24"/>
          <w:highlight w:val="none"/>
        </w:rPr>
      </w:pPr>
      <w:r>
        <w:rPr>
          <w:rFonts w:hint="eastAsia" w:hAnsi="宋体" w:cs="宋体"/>
          <w:szCs w:val="24"/>
          <w:highlight w:val="none"/>
        </w:rPr>
        <w:t>22.6如果投标人在澄清规定期限内，未能答复或拒绝答复评委会提出的澄清要求，将由评委会根据其投标文件按最大风险进行评标。</w:t>
      </w:r>
    </w:p>
    <w:p>
      <w:pPr>
        <w:spacing w:line="500" w:lineRule="exact"/>
        <w:ind w:firstLine="480" w:firstLineChars="200"/>
        <w:rPr>
          <w:rFonts w:hAnsi="宋体" w:cs="宋体"/>
          <w:szCs w:val="24"/>
          <w:highlight w:val="none"/>
        </w:rPr>
      </w:pPr>
      <w:r>
        <w:rPr>
          <w:rFonts w:hint="eastAsia" w:hAnsi="宋体" w:cs="宋体"/>
          <w:szCs w:val="24"/>
          <w:highlight w:val="none"/>
        </w:rPr>
        <w:t>22.7投标文件的初审（含资格性、符合性审查）</w:t>
      </w:r>
    </w:p>
    <w:p>
      <w:pPr>
        <w:spacing w:line="500" w:lineRule="exact"/>
        <w:ind w:firstLine="480" w:firstLineChars="200"/>
        <w:rPr>
          <w:rFonts w:hAnsi="宋体" w:cs="宋体"/>
          <w:szCs w:val="24"/>
          <w:highlight w:val="none"/>
        </w:rPr>
      </w:pPr>
      <w:r>
        <w:rPr>
          <w:rFonts w:hint="eastAsia" w:hAnsi="宋体" w:cs="宋体"/>
          <w:szCs w:val="24"/>
          <w:highlight w:val="none"/>
        </w:rPr>
        <w:t>22.7.1采购人或者代理机构将依法对投标人的资格和投标保证金缴纳情况进行审查，评标委员会审查投标文件的有效性、完整性、响应性。</w:t>
      </w:r>
    </w:p>
    <w:p>
      <w:pPr>
        <w:spacing w:line="500" w:lineRule="exact"/>
        <w:ind w:firstLine="480" w:firstLineChars="200"/>
        <w:rPr>
          <w:rFonts w:hAnsi="宋体" w:cs="宋体"/>
          <w:szCs w:val="24"/>
          <w:highlight w:val="none"/>
        </w:rPr>
      </w:pPr>
      <w:r>
        <w:rPr>
          <w:rFonts w:hint="eastAsia" w:hAnsi="宋体" w:cs="宋体"/>
          <w:szCs w:val="24"/>
          <w:highlight w:val="none"/>
        </w:rPr>
        <w:t>22.7.2投标文件报价出现前后不一致的，按照下列规定修正：</w:t>
      </w:r>
    </w:p>
    <w:p>
      <w:pPr>
        <w:numPr>
          <w:ilvl w:val="0"/>
          <w:numId w:val="3"/>
        </w:numPr>
        <w:spacing w:line="500" w:lineRule="exact"/>
        <w:ind w:firstLine="480" w:firstLineChars="200"/>
        <w:rPr>
          <w:rFonts w:hAnsi="宋体" w:cs="宋体"/>
          <w:szCs w:val="24"/>
          <w:highlight w:val="none"/>
        </w:rPr>
      </w:pPr>
      <w:r>
        <w:rPr>
          <w:rFonts w:hint="eastAsia" w:hAnsi="宋体" w:cs="宋体"/>
          <w:szCs w:val="24"/>
          <w:highlight w:val="none"/>
        </w:rPr>
        <w:t>投标文件中开标一览表(报价表)内容与投标文件中相应内容不一致的，以开标一览表(报价表)为准；如果单独密封的开标一览表(报价表)与投标文件正本的开标一览表(报价表)不一致，以单独密封的开标一览表(报价表)为准。</w:t>
      </w:r>
    </w:p>
    <w:p>
      <w:pPr>
        <w:numPr>
          <w:ilvl w:val="0"/>
          <w:numId w:val="3"/>
        </w:numPr>
        <w:spacing w:line="500" w:lineRule="exact"/>
        <w:ind w:firstLine="480" w:firstLineChars="200"/>
        <w:rPr>
          <w:rFonts w:hAnsi="宋体" w:cs="宋体"/>
          <w:szCs w:val="24"/>
          <w:highlight w:val="none"/>
        </w:rPr>
      </w:pPr>
      <w:r>
        <w:rPr>
          <w:rFonts w:hint="eastAsia" w:hAnsi="宋体" w:cs="宋体"/>
          <w:szCs w:val="24"/>
          <w:highlight w:val="none"/>
        </w:rPr>
        <w:t>投标文件的大写金额和小写金额不一致的，以大写金额为准；</w:t>
      </w:r>
    </w:p>
    <w:p>
      <w:pPr>
        <w:numPr>
          <w:ilvl w:val="0"/>
          <w:numId w:val="3"/>
        </w:numPr>
        <w:spacing w:line="500" w:lineRule="exact"/>
        <w:ind w:firstLine="480" w:firstLineChars="200"/>
        <w:rPr>
          <w:rFonts w:hAnsi="宋体" w:cs="宋体"/>
          <w:szCs w:val="24"/>
          <w:highlight w:val="none"/>
        </w:rPr>
      </w:pPr>
      <w:r>
        <w:rPr>
          <w:rFonts w:hint="eastAsia" w:hAnsi="宋体" w:cs="宋体"/>
          <w:szCs w:val="24"/>
          <w:highlight w:val="none"/>
        </w:rPr>
        <w:t>单价金额小数点或者百分比有明显错位的，以单独密封的开标一览表的总价为准，并修改单价；</w:t>
      </w:r>
    </w:p>
    <w:p>
      <w:pPr>
        <w:numPr>
          <w:ilvl w:val="0"/>
          <w:numId w:val="3"/>
        </w:numPr>
        <w:spacing w:line="500" w:lineRule="exact"/>
        <w:ind w:firstLine="480" w:firstLineChars="200"/>
        <w:rPr>
          <w:rFonts w:hAnsi="宋体" w:cs="宋体"/>
          <w:szCs w:val="24"/>
          <w:highlight w:val="none"/>
        </w:rPr>
      </w:pPr>
      <w:r>
        <w:rPr>
          <w:rFonts w:hint="eastAsia" w:hAnsi="宋体" w:cs="宋体"/>
          <w:szCs w:val="24"/>
          <w:highlight w:val="none"/>
        </w:rPr>
        <w:t>总价金额与按单价汇总金额不一致的，以单价金额计算结果为准。</w:t>
      </w:r>
    </w:p>
    <w:p>
      <w:pPr>
        <w:widowControl/>
        <w:autoSpaceDE w:val="0"/>
        <w:autoSpaceDN w:val="0"/>
        <w:spacing w:line="500" w:lineRule="exact"/>
        <w:ind w:right="51" w:firstLine="482" w:firstLineChars="200"/>
        <w:textAlignment w:val="bottom"/>
        <w:rPr>
          <w:rFonts w:hAnsi="宋体" w:cs="宋体"/>
          <w:szCs w:val="24"/>
          <w:highlight w:val="none"/>
        </w:rPr>
      </w:pPr>
      <w:r>
        <w:rPr>
          <w:rFonts w:hint="eastAsia" w:hAnsi="宋体" w:cs="宋体"/>
          <w:b/>
          <w:color w:val="000000"/>
          <w:highlight w:val="none"/>
        </w:rPr>
        <w:t>按上述修正的顺序和方法调整的投标报价应对投标人具有约束力。如果投标人不接受修正后的价格，其投标将按无效投标处理。</w:t>
      </w:r>
    </w:p>
    <w:p>
      <w:pPr>
        <w:spacing w:line="500" w:lineRule="exact"/>
        <w:ind w:firstLine="480" w:firstLineChars="200"/>
        <w:rPr>
          <w:rFonts w:hAnsi="宋体" w:cs="宋体"/>
          <w:szCs w:val="24"/>
          <w:highlight w:val="none"/>
        </w:rPr>
      </w:pPr>
      <w:r>
        <w:rPr>
          <w:rFonts w:hint="eastAsia" w:hAnsi="宋体" w:cs="宋体"/>
          <w:szCs w:val="24"/>
          <w:highlight w:val="none"/>
        </w:rPr>
        <w:t>22.7.3在详细评标之前，评标委员会要审查每份投标文件是否实质上响应了招标文件的要求。对关键条文的偏离、保留或反对将被认为是实质上的偏离。评标委员会决定投标的响应性只根据投标文件本身的内容，而不寻求外部的证据。</w:t>
      </w:r>
    </w:p>
    <w:p>
      <w:pPr>
        <w:spacing w:line="500" w:lineRule="exact"/>
        <w:ind w:firstLine="482" w:firstLineChars="200"/>
        <w:rPr>
          <w:rFonts w:hAnsi="宋体" w:cs="宋体"/>
          <w:b/>
          <w:bCs/>
          <w:szCs w:val="24"/>
          <w:highlight w:val="none"/>
        </w:rPr>
      </w:pPr>
      <w:r>
        <w:rPr>
          <w:rFonts w:hint="eastAsia" w:hAnsi="宋体" w:cs="宋体"/>
          <w:b/>
          <w:bCs/>
          <w:szCs w:val="24"/>
          <w:highlight w:val="none"/>
        </w:rPr>
        <w:t>22.7.4实质上没有响应招标文件要求的投标将按无效投标处理。投标人不得通过修正或撤销不合要求的偏离从而使其投标成为实质性响应的投标。如发现下列情况之一的，其投标将构成非实质性响应，按无效投标处理：</w:t>
      </w:r>
    </w:p>
    <w:p>
      <w:pPr>
        <w:tabs>
          <w:tab w:val="left" w:pos="1260"/>
        </w:tabs>
        <w:spacing w:line="500" w:lineRule="exact"/>
        <w:ind w:firstLine="480" w:firstLineChars="200"/>
        <w:rPr>
          <w:rFonts w:hAnsi="宋体" w:cs="宋体"/>
          <w:szCs w:val="24"/>
          <w:highlight w:val="none"/>
        </w:rPr>
      </w:pPr>
      <w:r>
        <w:rPr>
          <w:rFonts w:hint="eastAsia" w:hAnsi="宋体" w:cs="宋体"/>
          <w:szCs w:val="24"/>
          <w:highlight w:val="none"/>
        </w:rPr>
        <w:t>1）没有按照招标文件要求提供投标文件或投标文件构成有重大缺项；</w:t>
      </w:r>
    </w:p>
    <w:p>
      <w:pPr>
        <w:kinsoku w:val="0"/>
        <w:spacing w:line="500" w:lineRule="exact"/>
        <w:ind w:firstLine="480" w:firstLineChars="200"/>
        <w:rPr>
          <w:rFonts w:hAnsi="宋体" w:cs="宋体"/>
          <w:spacing w:val="-6"/>
          <w:highlight w:val="none"/>
        </w:rPr>
      </w:pPr>
      <w:r>
        <w:rPr>
          <w:rFonts w:hint="eastAsia" w:hAnsi="宋体" w:cs="宋体"/>
          <w:highlight w:val="none"/>
        </w:rPr>
        <w:t>2）投标</w:t>
      </w:r>
      <w:r>
        <w:rPr>
          <w:rFonts w:hint="eastAsia" w:hAnsi="宋体" w:cs="宋体"/>
          <w:spacing w:val="-6"/>
          <w:highlight w:val="none"/>
        </w:rPr>
        <w:t>文件</w:t>
      </w:r>
      <w:r>
        <w:rPr>
          <w:rFonts w:hint="eastAsia" w:hAnsi="宋体" w:cs="宋体"/>
          <w:highlight w:val="none"/>
        </w:rPr>
        <w:t>未按招标文件要求签署、盖章的；</w:t>
      </w:r>
    </w:p>
    <w:p>
      <w:pPr>
        <w:tabs>
          <w:tab w:val="left" w:pos="1260"/>
        </w:tabs>
        <w:spacing w:line="500" w:lineRule="exact"/>
        <w:ind w:firstLine="480" w:firstLineChars="200"/>
        <w:rPr>
          <w:rFonts w:hAnsi="宋体" w:cs="宋体"/>
          <w:szCs w:val="24"/>
          <w:highlight w:val="none"/>
        </w:rPr>
      </w:pPr>
      <w:r>
        <w:rPr>
          <w:rFonts w:hint="eastAsia" w:hAnsi="宋体" w:cs="宋体"/>
          <w:szCs w:val="24"/>
          <w:highlight w:val="none"/>
        </w:rPr>
        <w:t>3）投标人未按招标文件要求提交投标保证金或保函的；</w:t>
      </w:r>
    </w:p>
    <w:p>
      <w:pPr>
        <w:tabs>
          <w:tab w:val="left" w:pos="1260"/>
        </w:tabs>
        <w:spacing w:line="500" w:lineRule="exact"/>
        <w:ind w:firstLine="480" w:firstLineChars="200"/>
        <w:rPr>
          <w:rFonts w:hAnsi="宋体" w:cs="宋体"/>
          <w:szCs w:val="24"/>
          <w:highlight w:val="none"/>
        </w:rPr>
      </w:pPr>
      <w:r>
        <w:rPr>
          <w:rFonts w:hint="eastAsia" w:hAnsi="宋体" w:cs="宋体"/>
          <w:szCs w:val="24"/>
          <w:highlight w:val="none"/>
        </w:rPr>
        <w:t>4）不具备招标文件中规定的资格要求的；</w:t>
      </w:r>
    </w:p>
    <w:p>
      <w:pPr>
        <w:tabs>
          <w:tab w:val="left" w:pos="1260"/>
        </w:tabs>
        <w:spacing w:line="500" w:lineRule="exact"/>
        <w:ind w:firstLine="480" w:firstLineChars="200"/>
        <w:rPr>
          <w:rFonts w:hAnsi="宋体" w:cs="宋体"/>
          <w:szCs w:val="24"/>
          <w:highlight w:val="none"/>
        </w:rPr>
      </w:pPr>
      <w:r>
        <w:rPr>
          <w:rFonts w:hint="eastAsia" w:hAnsi="宋体" w:cs="宋体"/>
          <w:szCs w:val="24"/>
          <w:highlight w:val="none"/>
        </w:rPr>
        <w:t>5）</w:t>
      </w:r>
      <w:r>
        <w:rPr>
          <w:rFonts w:hint="eastAsia" w:hAnsi="宋体" w:cs="宋体"/>
          <w:spacing w:val="-6"/>
          <w:highlight w:val="none"/>
        </w:rPr>
        <w:t>无投标</w:t>
      </w:r>
      <w:r>
        <w:rPr>
          <w:rFonts w:hint="eastAsia" w:hAnsi="宋体" w:cs="宋体"/>
          <w:szCs w:val="24"/>
          <w:highlight w:val="none"/>
        </w:rPr>
        <w:t>有效期</w:t>
      </w:r>
      <w:r>
        <w:rPr>
          <w:rFonts w:hint="eastAsia" w:hAnsi="宋体" w:cs="宋体"/>
          <w:spacing w:val="-6"/>
          <w:highlight w:val="none"/>
        </w:rPr>
        <w:t>或有效期达不到招标文件要求的</w:t>
      </w:r>
      <w:r>
        <w:rPr>
          <w:rFonts w:hint="eastAsia" w:hAnsi="宋体" w:cs="宋体"/>
          <w:szCs w:val="24"/>
          <w:highlight w:val="none"/>
        </w:rPr>
        <w:t>；</w:t>
      </w:r>
    </w:p>
    <w:p>
      <w:pPr>
        <w:tabs>
          <w:tab w:val="left" w:pos="1260"/>
        </w:tabs>
        <w:spacing w:line="500" w:lineRule="exact"/>
        <w:ind w:firstLine="480" w:firstLineChars="200"/>
        <w:rPr>
          <w:rFonts w:hAnsi="宋体" w:cs="宋体"/>
          <w:szCs w:val="24"/>
          <w:highlight w:val="none"/>
        </w:rPr>
      </w:pPr>
      <w:r>
        <w:rPr>
          <w:rFonts w:hint="eastAsia" w:hAnsi="宋体" w:cs="宋体"/>
          <w:szCs w:val="24"/>
          <w:highlight w:val="none"/>
        </w:rPr>
        <w:t>6）存在有重大缺漏项和重大的服务；</w:t>
      </w:r>
    </w:p>
    <w:p>
      <w:pPr>
        <w:tabs>
          <w:tab w:val="left" w:pos="1260"/>
        </w:tabs>
        <w:spacing w:line="500" w:lineRule="exact"/>
        <w:ind w:firstLine="480" w:firstLineChars="200"/>
        <w:rPr>
          <w:rFonts w:hAnsi="宋体" w:cs="宋体"/>
          <w:szCs w:val="24"/>
          <w:highlight w:val="none"/>
        </w:rPr>
      </w:pPr>
      <w:r>
        <w:rPr>
          <w:rFonts w:hint="eastAsia" w:hAnsi="宋体" w:cs="宋体"/>
          <w:szCs w:val="24"/>
          <w:highlight w:val="none"/>
        </w:rPr>
        <w:t>7）投标人有串通投标、以他人名义投标、弄虚作假、行贿等违法行为的；</w:t>
      </w:r>
    </w:p>
    <w:p>
      <w:pPr>
        <w:spacing w:line="500" w:lineRule="exact"/>
        <w:ind w:firstLine="480" w:firstLineChars="200"/>
        <w:rPr>
          <w:rFonts w:hAnsi="宋体" w:cs="宋体"/>
          <w:szCs w:val="24"/>
          <w:highlight w:val="none"/>
        </w:rPr>
      </w:pPr>
      <w:r>
        <w:rPr>
          <w:rFonts w:hint="eastAsia" w:hAnsi="宋体" w:cs="宋体"/>
          <w:szCs w:val="24"/>
          <w:highlight w:val="none"/>
        </w:rPr>
        <w:t>8）投标总报价超过招标文件公布的采购预算或者最高限价的；</w:t>
      </w:r>
    </w:p>
    <w:p>
      <w:pPr>
        <w:pStyle w:val="21"/>
        <w:spacing w:before="0" w:beforeAutospacing="0" w:after="0" w:afterAutospacing="0" w:line="500" w:lineRule="exact"/>
        <w:ind w:firstLine="480" w:firstLineChars="200"/>
        <w:jc w:val="both"/>
        <w:rPr>
          <w:rFonts w:cs="宋体"/>
          <w:highlight w:val="none"/>
        </w:rPr>
      </w:pPr>
      <w:r>
        <w:rPr>
          <w:rFonts w:hint="eastAsia" w:cs="宋体"/>
          <w:highlight w:val="none"/>
        </w:rPr>
        <w:t>9）投标文件含有采购人不能接受的附加条件的；</w:t>
      </w:r>
    </w:p>
    <w:p>
      <w:pPr>
        <w:pStyle w:val="21"/>
        <w:spacing w:before="0" w:beforeAutospacing="0" w:after="0" w:afterAutospacing="0" w:line="500" w:lineRule="exact"/>
        <w:ind w:firstLine="480" w:firstLineChars="200"/>
        <w:jc w:val="both"/>
        <w:rPr>
          <w:rFonts w:cs="宋体"/>
          <w:highlight w:val="none"/>
        </w:rPr>
      </w:pPr>
      <w:r>
        <w:rPr>
          <w:rFonts w:hint="eastAsia" w:cs="宋体"/>
          <w:highlight w:val="none"/>
        </w:rPr>
        <w:t>10）投标人被列入失信被执行人、重大税收违法案件当事人名单、政府采购严重违法失信行为记录名单的；</w:t>
      </w:r>
    </w:p>
    <w:p>
      <w:pPr>
        <w:spacing w:line="500" w:lineRule="exact"/>
        <w:ind w:firstLine="480" w:firstLineChars="200"/>
        <w:rPr>
          <w:rFonts w:hAnsi="宋体" w:cs="宋体"/>
          <w:szCs w:val="24"/>
          <w:highlight w:val="none"/>
        </w:rPr>
      </w:pPr>
      <w:r>
        <w:rPr>
          <w:rFonts w:hint="eastAsia" w:hAnsi="宋体" w:cs="宋体"/>
          <w:szCs w:val="24"/>
          <w:highlight w:val="none"/>
        </w:rPr>
        <w:t>11）法律、法规规定的其他无效情形。</w:t>
      </w:r>
    </w:p>
    <w:p>
      <w:pPr>
        <w:spacing w:line="500" w:lineRule="exact"/>
        <w:ind w:firstLine="480" w:firstLineChars="200"/>
        <w:rPr>
          <w:rFonts w:hAnsi="宋体" w:cs="宋体"/>
          <w:szCs w:val="24"/>
          <w:highlight w:val="none"/>
        </w:rPr>
      </w:pPr>
      <w:r>
        <w:rPr>
          <w:rFonts w:hint="eastAsia" w:hAnsi="宋体" w:cs="宋体"/>
          <w:szCs w:val="24"/>
          <w:highlight w:val="none"/>
        </w:rPr>
        <w:t>22.8投标文件的详细评审</w:t>
      </w:r>
    </w:p>
    <w:p>
      <w:pPr>
        <w:spacing w:line="500" w:lineRule="exact"/>
        <w:ind w:firstLine="480" w:firstLineChars="200"/>
        <w:rPr>
          <w:rFonts w:hAnsi="宋体" w:cs="宋体"/>
          <w:szCs w:val="24"/>
          <w:highlight w:val="none"/>
        </w:rPr>
      </w:pPr>
      <w:r>
        <w:rPr>
          <w:rFonts w:hint="eastAsia" w:hAnsi="宋体" w:cs="宋体"/>
          <w:szCs w:val="24"/>
          <w:highlight w:val="none"/>
        </w:rPr>
        <w:t>22.8.1评标委员会将只对初审合格的投标人进行详细评审。</w:t>
      </w:r>
    </w:p>
    <w:p>
      <w:pPr>
        <w:spacing w:line="500" w:lineRule="exact"/>
        <w:ind w:firstLine="480" w:firstLineChars="200"/>
        <w:rPr>
          <w:rFonts w:hAnsi="宋体" w:cs="宋体"/>
          <w:szCs w:val="24"/>
          <w:highlight w:val="none"/>
        </w:rPr>
      </w:pPr>
      <w:r>
        <w:rPr>
          <w:rFonts w:hint="eastAsia" w:hAnsi="宋体" w:cs="宋体"/>
          <w:szCs w:val="24"/>
          <w:highlight w:val="none"/>
        </w:rPr>
        <w:t>22.8.2详细评审按照第五章“评标方法”的评标方法进行。</w:t>
      </w:r>
    </w:p>
    <w:p>
      <w:pPr>
        <w:spacing w:line="500" w:lineRule="exact"/>
        <w:ind w:firstLine="480" w:firstLineChars="200"/>
        <w:rPr>
          <w:rFonts w:hAnsi="宋体" w:cs="宋体"/>
          <w:szCs w:val="24"/>
          <w:highlight w:val="none"/>
        </w:rPr>
      </w:pPr>
      <w:r>
        <w:rPr>
          <w:rFonts w:hint="eastAsia" w:hAnsi="宋体" w:cs="宋体"/>
          <w:szCs w:val="24"/>
          <w:highlight w:val="none"/>
        </w:rPr>
        <w:t>22.9中标候选人的确定</w:t>
      </w:r>
    </w:p>
    <w:p>
      <w:pPr>
        <w:spacing w:line="500" w:lineRule="exact"/>
        <w:ind w:firstLine="480" w:firstLineChars="200"/>
        <w:rPr>
          <w:rFonts w:hAnsi="宋体" w:cs="宋体"/>
          <w:szCs w:val="24"/>
          <w:highlight w:val="none"/>
        </w:rPr>
      </w:pPr>
      <w:r>
        <w:rPr>
          <w:rFonts w:hint="eastAsia" w:hAnsi="宋体" w:cs="宋体"/>
          <w:szCs w:val="24"/>
          <w:highlight w:val="none"/>
        </w:rPr>
        <w:t>评标委员会完成评标后，向采购人提出书面评标报告，并推荐三名中标候选人，标明排列顺序。</w:t>
      </w:r>
    </w:p>
    <w:p>
      <w:pPr>
        <w:spacing w:line="500" w:lineRule="exact"/>
        <w:rPr>
          <w:rFonts w:hAnsi="宋体" w:cs="宋体"/>
          <w:b/>
          <w:szCs w:val="24"/>
          <w:highlight w:val="none"/>
        </w:rPr>
      </w:pPr>
      <w:r>
        <w:rPr>
          <w:rFonts w:hint="eastAsia" w:hAnsi="宋体" w:cs="宋体"/>
          <w:b/>
          <w:szCs w:val="24"/>
          <w:highlight w:val="none"/>
        </w:rPr>
        <w:t>23．评标过程的保密</w:t>
      </w:r>
    </w:p>
    <w:p>
      <w:pPr>
        <w:spacing w:line="500" w:lineRule="exact"/>
        <w:ind w:firstLine="480" w:firstLineChars="200"/>
        <w:rPr>
          <w:rFonts w:hAnsi="宋体" w:cs="宋体"/>
          <w:szCs w:val="24"/>
          <w:highlight w:val="none"/>
        </w:rPr>
      </w:pPr>
      <w:r>
        <w:rPr>
          <w:rFonts w:hint="eastAsia" w:hAnsi="宋体" w:cs="宋体"/>
          <w:szCs w:val="24"/>
          <w:highlight w:val="none"/>
        </w:rPr>
        <w:t>23.1评标委员会成员和与评标活动有关的工作人员不得泄露有关投标文件的评审和比较、中标候选人的推荐以及与评标有关的其他情况。</w:t>
      </w:r>
    </w:p>
    <w:p>
      <w:pPr>
        <w:spacing w:line="500" w:lineRule="exact"/>
        <w:ind w:firstLine="480" w:firstLineChars="200"/>
        <w:rPr>
          <w:rFonts w:hAnsi="宋体" w:cs="宋体"/>
          <w:szCs w:val="24"/>
          <w:highlight w:val="none"/>
        </w:rPr>
      </w:pPr>
      <w:r>
        <w:rPr>
          <w:rFonts w:hint="eastAsia" w:hAnsi="宋体" w:cs="宋体"/>
          <w:szCs w:val="24"/>
          <w:highlight w:val="none"/>
        </w:rPr>
        <w:t>23.2在评标过程中，如果投标人试图在投标文件的评审和比较、中标候选人的推荐以及与评标有关的其他方面，向评标人、采购人和采购代理机构施加任何影响，其投标应做无效投标处理。</w:t>
      </w:r>
    </w:p>
    <w:p>
      <w:pPr>
        <w:spacing w:line="500" w:lineRule="exact"/>
        <w:rPr>
          <w:rFonts w:hAnsi="宋体" w:cs="宋体"/>
          <w:b/>
          <w:szCs w:val="24"/>
          <w:highlight w:val="none"/>
        </w:rPr>
      </w:pPr>
      <w:r>
        <w:rPr>
          <w:rFonts w:hint="eastAsia" w:hAnsi="宋体" w:cs="宋体"/>
          <w:b/>
          <w:szCs w:val="24"/>
          <w:highlight w:val="none"/>
        </w:rPr>
        <w:t>24．评标方法</w:t>
      </w:r>
    </w:p>
    <w:p>
      <w:pPr>
        <w:spacing w:line="500" w:lineRule="exact"/>
        <w:ind w:firstLine="480" w:firstLineChars="200"/>
        <w:rPr>
          <w:rFonts w:hAnsi="宋体" w:cs="宋体"/>
          <w:szCs w:val="24"/>
          <w:highlight w:val="none"/>
        </w:rPr>
      </w:pPr>
      <w:r>
        <w:rPr>
          <w:rFonts w:hint="eastAsia" w:hAnsi="宋体" w:cs="宋体"/>
          <w:szCs w:val="24"/>
          <w:highlight w:val="none"/>
        </w:rPr>
        <w:t>24.1按照中华人民共和国财政部令第87号--《政府采购货物和服务招标投标管理办法》的规定，本次评标采用以下评标方法中的一种：具体见“投标人须知前附表”。</w:t>
      </w:r>
    </w:p>
    <w:p>
      <w:pPr>
        <w:pStyle w:val="21"/>
        <w:spacing w:before="0" w:beforeAutospacing="0" w:after="0" w:afterAutospacing="0" w:line="500" w:lineRule="exact"/>
        <w:ind w:firstLine="480" w:firstLineChars="200"/>
        <w:jc w:val="both"/>
        <w:rPr>
          <w:rFonts w:cs="宋体"/>
          <w:highlight w:val="none"/>
        </w:rPr>
      </w:pPr>
      <w:r>
        <w:rPr>
          <w:rFonts w:hint="eastAsia" w:cs="宋体"/>
          <w:highlight w:val="none"/>
        </w:rPr>
        <w:t>1）最低评标价法，即在全部满足招标文件实质性要求前提下，且投标报价最低的投标人为中标候选人的评标方法。</w:t>
      </w:r>
    </w:p>
    <w:p>
      <w:pPr>
        <w:spacing w:line="500" w:lineRule="exact"/>
        <w:ind w:firstLine="480" w:firstLineChars="200"/>
        <w:rPr>
          <w:rFonts w:hAnsi="宋体" w:cs="宋体"/>
          <w:szCs w:val="24"/>
          <w:highlight w:val="none"/>
        </w:rPr>
      </w:pPr>
      <w:r>
        <w:rPr>
          <w:rFonts w:hint="eastAsia" w:hAnsi="宋体" w:cs="宋体"/>
          <w:szCs w:val="24"/>
          <w:highlight w:val="none"/>
        </w:rPr>
        <w:t>2）综合评分法，即在最大限度地满足招标文件实质性要求前提下，按照招标文件中规定的各项因素（包括投标报价、技术或者服务水平、履约能力、售后服务、对招标文件的响应程度等）和相应的权重分值进行综合评审后，以总得分最高的投标人作为中标候选人并依次排序。</w:t>
      </w:r>
    </w:p>
    <w:p>
      <w:pPr>
        <w:spacing w:line="500" w:lineRule="exact"/>
        <w:rPr>
          <w:rFonts w:hAnsi="宋体" w:cs="宋体"/>
          <w:b/>
          <w:szCs w:val="24"/>
          <w:highlight w:val="none"/>
        </w:rPr>
      </w:pPr>
      <w:r>
        <w:rPr>
          <w:rFonts w:hint="eastAsia" w:hAnsi="宋体" w:cs="宋体"/>
          <w:b/>
          <w:szCs w:val="24"/>
          <w:highlight w:val="none"/>
        </w:rPr>
        <w:t>25．评标程序</w:t>
      </w:r>
    </w:p>
    <w:p>
      <w:pPr>
        <w:spacing w:line="500" w:lineRule="exact"/>
        <w:ind w:firstLine="480" w:firstLineChars="200"/>
        <w:rPr>
          <w:rFonts w:hAnsi="宋体" w:cs="宋体"/>
          <w:highlight w:val="none"/>
        </w:rPr>
      </w:pPr>
      <w:r>
        <w:rPr>
          <w:rFonts w:hint="eastAsia" w:hAnsi="宋体" w:cs="宋体"/>
          <w:szCs w:val="24"/>
          <w:highlight w:val="none"/>
        </w:rPr>
        <w:t>按照投标文件初审、澄清有关问题、比较与评价、推荐中标候选人名单的工作程序进行评标。在上一步评审中投标人被认定无效投标者，不进入下一步的评审。</w:t>
      </w:r>
    </w:p>
    <w:p>
      <w:pPr>
        <w:spacing w:line="500" w:lineRule="exact"/>
        <w:jc w:val="center"/>
        <w:rPr>
          <w:rFonts w:hAnsi="宋体" w:cs="宋体"/>
          <w:b/>
          <w:sz w:val="32"/>
          <w:szCs w:val="32"/>
          <w:highlight w:val="none"/>
        </w:rPr>
      </w:pPr>
      <w:bookmarkStart w:id="40" w:name="_Toc403077644"/>
      <w:bookmarkStart w:id="41" w:name="_Toc363473977"/>
      <w:bookmarkStart w:id="42" w:name="_Toc363474022"/>
      <w:r>
        <w:rPr>
          <w:rFonts w:hint="eastAsia" w:hAnsi="宋体" w:cs="宋体"/>
          <w:b/>
          <w:sz w:val="32"/>
          <w:szCs w:val="32"/>
          <w:highlight w:val="none"/>
        </w:rPr>
        <w:t>六.定标、中标通知与签约</w:t>
      </w:r>
      <w:bookmarkEnd w:id="40"/>
      <w:bookmarkEnd w:id="41"/>
      <w:bookmarkEnd w:id="42"/>
    </w:p>
    <w:p>
      <w:pPr>
        <w:spacing w:line="500" w:lineRule="exact"/>
        <w:rPr>
          <w:rFonts w:hAnsi="宋体" w:cs="宋体"/>
          <w:b/>
          <w:szCs w:val="24"/>
          <w:highlight w:val="none"/>
        </w:rPr>
      </w:pPr>
      <w:r>
        <w:rPr>
          <w:rFonts w:hint="eastAsia" w:hAnsi="宋体" w:cs="宋体"/>
          <w:b/>
          <w:szCs w:val="24"/>
          <w:highlight w:val="none"/>
        </w:rPr>
        <w:t>26．定标程序</w:t>
      </w:r>
    </w:p>
    <w:p>
      <w:pPr>
        <w:spacing w:line="500" w:lineRule="exact"/>
        <w:ind w:firstLine="480" w:firstLineChars="200"/>
        <w:rPr>
          <w:rFonts w:hAnsi="宋体" w:cs="宋体"/>
          <w:szCs w:val="24"/>
          <w:highlight w:val="none"/>
        </w:rPr>
      </w:pPr>
      <w:r>
        <w:rPr>
          <w:rFonts w:hint="eastAsia" w:hAnsi="宋体" w:cs="宋体"/>
          <w:szCs w:val="24"/>
          <w:highlight w:val="none"/>
        </w:rPr>
        <w:t>26.1评标委员会根据评标方法的规定对投标人进行评审排序，推荐3名中标候选人，作为评标结果。评标结果由评标委员会成员签字确认。</w:t>
      </w:r>
    </w:p>
    <w:p>
      <w:pPr>
        <w:spacing w:line="500" w:lineRule="exact"/>
        <w:ind w:firstLine="420" w:firstLineChars="175"/>
        <w:rPr>
          <w:rFonts w:hAnsi="宋体" w:cs="宋体"/>
          <w:szCs w:val="24"/>
          <w:highlight w:val="none"/>
        </w:rPr>
      </w:pPr>
      <w:r>
        <w:rPr>
          <w:rFonts w:hint="eastAsia" w:hAnsi="宋体" w:cs="宋体"/>
          <w:szCs w:val="24"/>
          <w:highlight w:val="none"/>
        </w:rPr>
        <w:t>26.2</w:t>
      </w:r>
      <w:r>
        <w:rPr>
          <w:rFonts w:hint="eastAsia" w:hAnsi="宋体" w:cs="宋体"/>
          <w:highlight w:val="none"/>
        </w:rPr>
        <w:t>采购代理机构在评标结束后2个工作日内将评标报告送采购人。采购人应当在收到评标报告后5个工作日内，按照评标报告中推荐的中标候选人顺序和有关规定确定中标人。</w:t>
      </w:r>
    </w:p>
    <w:p>
      <w:pPr>
        <w:spacing w:line="500" w:lineRule="exact"/>
        <w:ind w:firstLine="480" w:firstLineChars="200"/>
        <w:rPr>
          <w:rFonts w:hAnsi="宋体" w:cs="宋体"/>
          <w:szCs w:val="24"/>
          <w:highlight w:val="none"/>
        </w:rPr>
      </w:pPr>
      <w:r>
        <w:rPr>
          <w:rFonts w:hint="eastAsia" w:hAnsi="宋体" w:cs="宋体"/>
          <w:szCs w:val="24"/>
          <w:highlight w:val="none"/>
        </w:rPr>
        <w:t>26.3</w:t>
      </w:r>
      <w:r>
        <w:rPr>
          <w:rFonts w:hint="eastAsia" w:hAnsi="宋体" w:cs="宋体"/>
          <w:highlight w:val="none"/>
        </w:rPr>
        <w:t>确定的中标候选人放弃中标、在规定期限内未能签订合同、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r>
        <w:rPr>
          <w:rFonts w:hint="eastAsia" w:hAnsi="宋体" w:cs="宋体"/>
          <w:szCs w:val="24"/>
          <w:highlight w:val="none"/>
        </w:rPr>
        <w:t>。</w:t>
      </w:r>
    </w:p>
    <w:p>
      <w:pPr>
        <w:spacing w:line="500" w:lineRule="exact"/>
        <w:ind w:firstLine="480" w:firstLineChars="200"/>
        <w:rPr>
          <w:rFonts w:hAnsi="宋体" w:cs="宋体"/>
          <w:szCs w:val="24"/>
          <w:highlight w:val="none"/>
        </w:rPr>
      </w:pPr>
      <w:r>
        <w:rPr>
          <w:rFonts w:hint="eastAsia" w:hAnsi="宋体" w:cs="宋体"/>
          <w:szCs w:val="24"/>
          <w:highlight w:val="none"/>
        </w:rPr>
        <w:t>26.4采购人也可以授权评标委员会评标后直接确定中标人。</w:t>
      </w:r>
    </w:p>
    <w:p>
      <w:pPr>
        <w:spacing w:line="500" w:lineRule="exact"/>
        <w:ind w:firstLine="480" w:firstLineChars="200"/>
        <w:rPr>
          <w:rFonts w:hAnsi="宋体" w:cs="宋体"/>
          <w:szCs w:val="24"/>
          <w:highlight w:val="none"/>
        </w:rPr>
      </w:pPr>
      <w:r>
        <w:rPr>
          <w:rFonts w:hint="eastAsia" w:hAnsi="宋体" w:cs="宋体"/>
          <w:szCs w:val="24"/>
          <w:highlight w:val="none"/>
        </w:rPr>
        <w:t>26.5中标人确定之后，中标结果将在财政部门指定的政府采购信息发布媒体上公告。</w:t>
      </w:r>
    </w:p>
    <w:p>
      <w:pPr>
        <w:spacing w:line="500" w:lineRule="exact"/>
        <w:ind w:firstLine="480" w:firstLineChars="200"/>
        <w:rPr>
          <w:rFonts w:hAnsi="宋体" w:cs="宋体"/>
          <w:szCs w:val="24"/>
          <w:highlight w:val="none"/>
        </w:rPr>
      </w:pPr>
      <w:r>
        <w:rPr>
          <w:rFonts w:hint="eastAsia" w:hAnsi="宋体" w:cs="宋体"/>
          <w:szCs w:val="24"/>
          <w:highlight w:val="none"/>
        </w:rPr>
        <w:t>26.6投标人或者其他利害关系人对评标结果有异议的，应当在法律规定的时间内提出。</w:t>
      </w:r>
    </w:p>
    <w:p>
      <w:pPr>
        <w:spacing w:line="500" w:lineRule="exact"/>
        <w:rPr>
          <w:rFonts w:hAnsi="宋体" w:cs="宋体"/>
          <w:b/>
          <w:szCs w:val="24"/>
          <w:highlight w:val="none"/>
        </w:rPr>
      </w:pPr>
      <w:r>
        <w:rPr>
          <w:rFonts w:hint="eastAsia" w:hAnsi="宋体" w:cs="宋体"/>
          <w:b/>
          <w:szCs w:val="24"/>
          <w:highlight w:val="none"/>
        </w:rPr>
        <w:t>27．中标和落标通知</w:t>
      </w:r>
    </w:p>
    <w:p>
      <w:pPr>
        <w:spacing w:line="500" w:lineRule="exact"/>
        <w:ind w:firstLine="480" w:firstLineChars="200"/>
        <w:rPr>
          <w:rFonts w:hAnsi="宋体" w:cs="宋体"/>
          <w:szCs w:val="24"/>
          <w:highlight w:val="none"/>
        </w:rPr>
      </w:pPr>
      <w:r>
        <w:rPr>
          <w:rFonts w:hint="eastAsia" w:hAnsi="宋体" w:cs="宋体"/>
          <w:szCs w:val="24"/>
          <w:highlight w:val="none"/>
        </w:rPr>
        <w:t>27.1 采购代理机构在发布中标公告后，向中标人发出《中标通知书》。</w:t>
      </w:r>
      <w:r>
        <w:rPr>
          <w:rFonts w:hint="eastAsia" w:hAnsi="宋体" w:cs="宋体"/>
          <w:b/>
          <w:bCs/>
          <w:szCs w:val="24"/>
          <w:highlight w:val="none"/>
        </w:rPr>
        <w:t>中标人领取中标通知书时须携带法定代表人授权书及加盖单位公章的被授权人身份证复印件。</w:t>
      </w:r>
    </w:p>
    <w:p>
      <w:pPr>
        <w:spacing w:line="500" w:lineRule="exact"/>
        <w:ind w:firstLine="480" w:firstLineChars="200"/>
        <w:rPr>
          <w:rFonts w:hAnsi="宋体" w:cs="宋体"/>
          <w:szCs w:val="24"/>
          <w:highlight w:val="none"/>
        </w:rPr>
      </w:pPr>
      <w:r>
        <w:rPr>
          <w:rFonts w:hint="eastAsia" w:hAnsi="宋体" w:cs="宋体"/>
          <w:szCs w:val="24"/>
          <w:highlight w:val="none"/>
        </w:rPr>
        <w:t>27.2中标通知书对采购人和中标人具有同等法律效力。中标通知书发出之后，采购人改变中标结果，或者中标人放弃中标，应当承担相应的法律责任。</w:t>
      </w:r>
    </w:p>
    <w:p>
      <w:pPr>
        <w:spacing w:line="500" w:lineRule="exact"/>
        <w:rPr>
          <w:rFonts w:hAnsi="宋体" w:cs="宋体"/>
          <w:b/>
          <w:szCs w:val="24"/>
          <w:highlight w:val="none"/>
        </w:rPr>
      </w:pPr>
      <w:r>
        <w:rPr>
          <w:rFonts w:hint="eastAsia" w:hAnsi="宋体" w:cs="宋体"/>
          <w:b/>
          <w:szCs w:val="24"/>
          <w:highlight w:val="none"/>
        </w:rPr>
        <w:t>28. 中标合同的签订</w:t>
      </w:r>
    </w:p>
    <w:p>
      <w:pPr>
        <w:spacing w:line="500" w:lineRule="exact"/>
        <w:ind w:firstLine="480" w:firstLineChars="200"/>
        <w:rPr>
          <w:rFonts w:hAnsi="宋体" w:cs="宋体"/>
          <w:szCs w:val="24"/>
          <w:highlight w:val="none"/>
        </w:rPr>
      </w:pPr>
      <w:r>
        <w:rPr>
          <w:rFonts w:hint="eastAsia" w:hAnsi="宋体" w:cs="宋体"/>
          <w:szCs w:val="24"/>
          <w:highlight w:val="none"/>
        </w:rPr>
        <w:t>28.1采购人应当自中标通知书发出之日起三十日内，按照招标文件和中标人投标文件（包括评标中形成的澄清文件）的约定，与中标人签订书面合同。所签订的合同不得对招标文件和中标人的投标文件（包括评标中形成的澄清文件）作实质性修改。</w:t>
      </w:r>
    </w:p>
    <w:p>
      <w:pPr>
        <w:spacing w:line="500" w:lineRule="exact"/>
        <w:ind w:firstLine="480" w:firstLineChars="200"/>
        <w:rPr>
          <w:rFonts w:hAnsi="宋体" w:cs="宋体"/>
          <w:szCs w:val="24"/>
          <w:highlight w:val="none"/>
        </w:rPr>
      </w:pPr>
      <w:r>
        <w:rPr>
          <w:rFonts w:hint="eastAsia" w:hAnsi="宋体" w:cs="宋体"/>
          <w:szCs w:val="24"/>
          <w:highlight w:val="none"/>
        </w:rPr>
        <w:t>28.2采购人自采购合同签订之日起七个工作日内，将采购合同副本报同级人民政府财政部门备案。</w:t>
      </w:r>
    </w:p>
    <w:p>
      <w:pPr>
        <w:spacing w:line="500" w:lineRule="exact"/>
        <w:rPr>
          <w:rFonts w:hAnsi="宋体" w:cs="宋体"/>
          <w:b/>
          <w:szCs w:val="24"/>
          <w:highlight w:val="none"/>
        </w:rPr>
      </w:pPr>
      <w:r>
        <w:rPr>
          <w:rFonts w:hint="eastAsia" w:hAnsi="宋体" w:cs="宋体"/>
          <w:b/>
          <w:szCs w:val="24"/>
          <w:highlight w:val="none"/>
        </w:rPr>
        <w:t>29．招标代理服务费</w:t>
      </w:r>
    </w:p>
    <w:p>
      <w:pPr>
        <w:spacing w:line="500" w:lineRule="exact"/>
        <w:ind w:firstLine="480" w:firstLineChars="200"/>
        <w:rPr>
          <w:rFonts w:hAnsi="宋体" w:cs="宋体"/>
          <w:szCs w:val="22"/>
          <w:highlight w:val="none"/>
        </w:rPr>
      </w:pPr>
      <w:r>
        <w:rPr>
          <w:rFonts w:hint="eastAsia" w:hAnsi="宋体" w:cs="宋体"/>
          <w:szCs w:val="22"/>
          <w:highlight w:val="none"/>
        </w:rPr>
        <w:t>29.1 招标代理服务费的计算方法：以中标金额为基数，依据国家计委颁布《招标代理服务收费管理暂行办法》（计价格[2002]1980号）和国家发展改革委员会办公厅颁发的《关于招标代理服务收费有关问题的通知》（发改办价格[2003]857号）文件规定执行。</w:t>
      </w:r>
    </w:p>
    <w:p>
      <w:pPr>
        <w:spacing w:line="500" w:lineRule="exact"/>
        <w:ind w:firstLine="480" w:firstLineChars="200"/>
        <w:rPr>
          <w:rFonts w:hAnsi="宋体" w:cs="宋体"/>
          <w:szCs w:val="24"/>
          <w:highlight w:val="none"/>
        </w:rPr>
      </w:pPr>
      <w:r>
        <w:rPr>
          <w:rFonts w:hint="eastAsia" w:hAnsi="宋体" w:cs="宋体"/>
          <w:szCs w:val="24"/>
          <w:highlight w:val="none"/>
        </w:rPr>
        <w:t>29</w:t>
      </w:r>
      <w:r>
        <w:rPr>
          <w:rFonts w:hint="eastAsia" w:hAnsi="宋体" w:cs="宋体"/>
          <w:highlight w:val="none"/>
        </w:rPr>
        <w:t xml:space="preserve">.2 </w:t>
      </w:r>
      <w:r>
        <w:rPr>
          <w:rFonts w:hint="eastAsia" w:hAnsi="宋体" w:cs="宋体"/>
          <w:szCs w:val="24"/>
          <w:highlight w:val="none"/>
        </w:rPr>
        <w:t>中标人承担招标代理服务费，中标人在领取中标通知书前，须向采购代理机构一次性支付招标代理服务费。</w:t>
      </w:r>
    </w:p>
    <w:p>
      <w:pPr>
        <w:spacing w:line="500" w:lineRule="exact"/>
        <w:rPr>
          <w:rFonts w:hAnsi="宋体" w:cs="宋体"/>
          <w:b/>
          <w:bCs/>
          <w:szCs w:val="24"/>
          <w:highlight w:val="none"/>
        </w:rPr>
      </w:pPr>
      <w:r>
        <w:rPr>
          <w:rFonts w:hint="eastAsia" w:hAnsi="宋体" w:cs="宋体"/>
          <w:b/>
          <w:bCs/>
          <w:szCs w:val="24"/>
          <w:highlight w:val="none"/>
        </w:rPr>
        <w:t>30.质疑</w:t>
      </w:r>
    </w:p>
    <w:p>
      <w:pPr>
        <w:spacing w:line="500" w:lineRule="exact"/>
        <w:ind w:right="12" w:firstLine="480"/>
        <w:rPr>
          <w:rFonts w:hAnsi="宋体" w:cs="宋体"/>
          <w:szCs w:val="24"/>
          <w:highlight w:val="none"/>
        </w:rPr>
      </w:pPr>
      <w:r>
        <w:rPr>
          <w:rFonts w:hint="eastAsia" w:hAnsi="宋体" w:cs="宋体"/>
          <w:szCs w:val="24"/>
          <w:highlight w:val="none"/>
        </w:rPr>
        <w:t>30.1投标人认为招标文件、招标过程、中标结果使自己的权益受到损害的，可以在知道或者应知其权益受到损害之日起7个工作日内，以书面形式向采购人、采购代理机构提出质疑。</w:t>
      </w:r>
    </w:p>
    <w:p>
      <w:pPr>
        <w:spacing w:line="500" w:lineRule="exact"/>
        <w:ind w:right="12" w:firstLine="480"/>
        <w:rPr>
          <w:rStyle w:val="27"/>
          <w:rFonts w:hAnsi="宋体" w:cs="宋体"/>
          <w:bCs w:val="0"/>
          <w:color w:val="0000FF"/>
          <w:szCs w:val="24"/>
          <w:highlight w:val="none"/>
          <w:shd w:val="clear" w:color="auto" w:fill="FFFFFF"/>
        </w:rPr>
      </w:pPr>
      <w:r>
        <w:rPr>
          <w:rFonts w:hint="eastAsia" w:hAnsi="宋体" w:cs="宋体"/>
          <w:szCs w:val="24"/>
          <w:highlight w:val="none"/>
        </w:rPr>
        <w:t>30.2投标人必须在法定质疑期内一次性提出针对同一采购程序环节的质疑。</w:t>
      </w:r>
    </w:p>
    <w:p>
      <w:pPr>
        <w:spacing w:line="500" w:lineRule="exact"/>
        <w:ind w:left="3" w:firstLine="518" w:firstLineChars="216"/>
        <w:rPr>
          <w:rStyle w:val="27"/>
          <w:rFonts w:hAnsi="宋体" w:cs="宋体"/>
          <w:b w:val="0"/>
          <w:color w:val="000000"/>
          <w:szCs w:val="24"/>
          <w:highlight w:val="none"/>
          <w:shd w:val="clear" w:color="auto" w:fill="FFFFFF"/>
        </w:rPr>
      </w:pPr>
      <w:r>
        <w:rPr>
          <w:rStyle w:val="27"/>
          <w:rFonts w:hint="eastAsia" w:hAnsi="宋体" w:cs="宋体"/>
          <w:b w:val="0"/>
          <w:color w:val="000000"/>
          <w:szCs w:val="24"/>
          <w:highlight w:val="none"/>
          <w:shd w:val="clear" w:color="auto" w:fill="FFFFFF"/>
        </w:rPr>
        <w:t>30.3投标人可以委托代理人进行质疑。代理人提出质疑的，应当提交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pPr>
        <w:spacing w:line="500" w:lineRule="exact"/>
        <w:ind w:left="3" w:firstLine="518" w:firstLineChars="216"/>
        <w:rPr>
          <w:rStyle w:val="27"/>
          <w:rFonts w:hAnsi="宋体" w:cs="宋体"/>
          <w:b w:val="0"/>
          <w:color w:val="000000"/>
          <w:szCs w:val="24"/>
          <w:highlight w:val="none"/>
          <w:shd w:val="clear" w:color="auto" w:fill="FFFFFF"/>
        </w:rPr>
      </w:pPr>
      <w:r>
        <w:rPr>
          <w:rStyle w:val="27"/>
          <w:rFonts w:hint="eastAsia" w:hAnsi="宋体" w:cs="宋体"/>
          <w:b w:val="0"/>
          <w:color w:val="000000"/>
          <w:szCs w:val="24"/>
          <w:highlight w:val="none"/>
          <w:shd w:val="clear" w:color="auto" w:fill="FFFFFF"/>
        </w:rPr>
        <w:t>30.4以联合体形式参加政府采购活动的，其质疑应当由组成联合体的所有投标人共同提出。</w:t>
      </w:r>
    </w:p>
    <w:p>
      <w:pPr>
        <w:spacing w:line="500" w:lineRule="exact"/>
        <w:ind w:right="12" w:firstLine="480" w:firstLineChars="200"/>
        <w:rPr>
          <w:rFonts w:hAnsi="宋体" w:cs="宋体"/>
          <w:szCs w:val="24"/>
          <w:highlight w:val="none"/>
        </w:rPr>
      </w:pPr>
      <w:r>
        <w:rPr>
          <w:rFonts w:hint="eastAsia" w:hAnsi="宋体" w:cs="宋体"/>
          <w:szCs w:val="24"/>
          <w:highlight w:val="none"/>
        </w:rPr>
        <w:t>30.5投标人提出质疑应当提交质疑函和必要的证明材料。质疑函应当包括下列内容：</w:t>
      </w:r>
    </w:p>
    <w:p>
      <w:pPr>
        <w:spacing w:line="500" w:lineRule="exact"/>
        <w:ind w:right="12" w:firstLine="480" w:firstLineChars="200"/>
        <w:rPr>
          <w:rFonts w:hAnsi="宋体" w:cs="宋体"/>
          <w:szCs w:val="24"/>
          <w:highlight w:val="none"/>
        </w:rPr>
      </w:pPr>
      <w:r>
        <w:rPr>
          <w:rFonts w:hint="eastAsia" w:hAnsi="宋体" w:cs="宋体"/>
          <w:szCs w:val="24"/>
          <w:highlight w:val="none"/>
        </w:rPr>
        <w:t>30.5.1投标人的姓名或者名称、地址、邮编、联系人及联系电话；</w:t>
      </w:r>
    </w:p>
    <w:p>
      <w:pPr>
        <w:spacing w:line="500" w:lineRule="exact"/>
        <w:ind w:right="12" w:firstLine="480" w:firstLineChars="200"/>
        <w:rPr>
          <w:rFonts w:hAnsi="宋体" w:cs="宋体"/>
          <w:szCs w:val="24"/>
          <w:highlight w:val="none"/>
        </w:rPr>
      </w:pPr>
      <w:r>
        <w:rPr>
          <w:rFonts w:hint="eastAsia" w:hAnsi="宋体" w:cs="宋体"/>
          <w:szCs w:val="24"/>
          <w:highlight w:val="none"/>
        </w:rPr>
        <w:t>30.5.2质疑项目的名称、编号；</w:t>
      </w:r>
    </w:p>
    <w:p>
      <w:pPr>
        <w:spacing w:line="500" w:lineRule="exact"/>
        <w:ind w:right="12" w:firstLine="480" w:firstLineChars="200"/>
        <w:rPr>
          <w:rFonts w:hAnsi="宋体" w:cs="宋体"/>
          <w:szCs w:val="24"/>
          <w:highlight w:val="none"/>
        </w:rPr>
      </w:pPr>
      <w:r>
        <w:rPr>
          <w:rFonts w:hint="eastAsia" w:hAnsi="宋体" w:cs="宋体"/>
          <w:szCs w:val="24"/>
          <w:highlight w:val="none"/>
        </w:rPr>
        <w:t>30.5.3具体、明确的质疑事项和与质疑事项相关的请求；</w:t>
      </w:r>
    </w:p>
    <w:p>
      <w:pPr>
        <w:spacing w:line="500" w:lineRule="exact"/>
        <w:ind w:right="12" w:firstLine="480" w:firstLineChars="200"/>
        <w:rPr>
          <w:rFonts w:hAnsi="宋体" w:cs="宋体"/>
          <w:szCs w:val="24"/>
          <w:highlight w:val="none"/>
        </w:rPr>
      </w:pPr>
      <w:r>
        <w:rPr>
          <w:rFonts w:hint="eastAsia" w:hAnsi="宋体" w:cs="宋体"/>
          <w:szCs w:val="24"/>
          <w:highlight w:val="none"/>
        </w:rPr>
        <w:t>30.5.4事实依据；</w:t>
      </w:r>
    </w:p>
    <w:p>
      <w:pPr>
        <w:spacing w:line="500" w:lineRule="exact"/>
        <w:ind w:right="12" w:firstLine="480" w:firstLineChars="200"/>
        <w:rPr>
          <w:rFonts w:hAnsi="宋体" w:cs="宋体"/>
          <w:szCs w:val="24"/>
          <w:highlight w:val="none"/>
        </w:rPr>
      </w:pPr>
      <w:r>
        <w:rPr>
          <w:rFonts w:hint="eastAsia" w:hAnsi="宋体" w:cs="宋体"/>
          <w:szCs w:val="24"/>
          <w:highlight w:val="none"/>
        </w:rPr>
        <w:t>30.5.5必要的法律依据；</w:t>
      </w:r>
    </w:p>
    <w:p>
      <w:pPr>
        <w:spacing w:line="500" w:lineRule="exact"/>
        <w:ind w:right="12" w:firstLine="480" w:firstLineChars="200"/>
        <w:rPr>
          <w:rStyle w:val="27"/>
          <w:rFonts w:hAnsi="宋体" w:cs="宋体"/>
          <w:b w:val="0"/>
          <w:color w:val="000000"/>
          <w:szCs w:val="24"/>
          <w:highlight w:val="none"/>
          <w:shd w:val="clear" w:color="auto" w:fill="FFFFFF"/>
        </w:rPr>
      </w:pPr>
      <w:r>
        <w:rPr>
          <w:rFonts w:hint="eastAsia" w:hAnsi="宋体" w:cs="宋体"/>
          <w:szCs w:val="24"/>
          <w:highlight w:val="none"/>
        </w:rPr>
        <w:t>30.5.6提出质疑的日期。</w:t>
      </w:r>
    </w:p>
    <w:p>
      <w:pPr>
        <w:widowControl/>
        <w:spacing w:line="500" w:lineRule="exact"/>
        <w:ind w:firstLine="480" w:firstLineChars="200"/>
        <w:rPr>
          <w:rFonts w:hAnsi="宋体" w:cs="宋体"/>
          <w:highlight w:val="none"/>
        </w:rPr>
      </w:pPr>
      <w:r>
        <w:rPr>
          <w:rFonts w:hint="eastAsia" w:hAnsi="宋体" w:cs="宋体"/>
          <w:highlight w:val="none"/>
        </w:rPr>
        <w:t>30.6有下列情形之一的，属于无效质疑，采购代理机构和采购人不予受理：</w:t>
      </w:r>
    </w:p>
    <w:p>
      <w:pPr>
        <w:widowControl/>
        <w:spacing w:line="500" w:lineRule="exact"/>
        <w:ind w:firstLine="480" w:firstLineChars="200"/>
        <w:rPr>
          <w:rFonts w:hAnsi="宋体" w:cs="宋体"/>
          <w:highlight w:val="none"/>
        </w:rPr>
      </w:pPr>
      <w:r>
        <w:rPr>
          <w:rFonts w:hint="eastAsia" w:hAnsi="宋体" w:cs="宋体"/>
          <w:highlight w:val="none"/>
        </w:rPr>
        <w:t>30.6.1质疑投标人不是参与本次政府采购项目的投标人；</w:t>
      </w:r>
    </w:p>
    <w:p>
      <w:pPr>
        <w:widowControl/>
        <w:spacing w:line="500" w:lineRule="exact"/>
        <w:ind w:firstLine="480" w:firstLineChars="200"/>
        <w:rPr>
          <w:rFonts w:hAnsi="宋体" w:cs="宋体"/>
          <w:highlight w:val="none"/>
        </w:rPr>
      </w:pPr>
      <w:r>
        <w:rPr>
          <w:rFonts w:hint="eastAsia" w:hAnsi="宋体" w:cs="宋体"/>
          <w:highlight w:val="none"/>
        </w:rPr>
        <w:t>30.6.2质疑投标人与质疑事项不存在利害关系的；</w:t>
      </w:r>
    </w:p>
    <w:p>
      <w:pPr>
        <w:widowControl/>
        <w:spacing w:line="500" w:lineRule="exact"/>
        <w:ind w:firstLine="480" w:firstLineChars="200"/>
        <w:rPr>
          <w:rFonts w:hAnsi="宋体" w:cs="宋体"/>
          <w:highlight w:val="none"/>
        </w:rPr>
      </w:pPr>
      <w:r>
        <w:rPr>
          <w:rFonts w:hint="eastAsia" w:hAnsi="宋体" w:cs="宋体"/>
          <w:highlight w:val="none"/>
        </w:rPr>
        <w:t>30.6.3未在法定期限内提出质疑的；</w:t>
      </w:r>
    </w:p>
    <w:p>
      <w:pPr>
        <w:widowControl/>
        <w:spacing w:line="500" w:lineRule="exact"/>
        <w:ind w:firstLine="480" w:firstLineChars="200"/>
        <w:rPr>
          <w:rFonts w:hAnsi="宋体" w:cs="宋体"/>
          <w:highlight w:val="none"/>
        </w:rPr>
      </w:pPr>
      <w:r>
        <w:rPr>
          <w:rFonts w:hint="eastAsia" w:hAnsi="宋体" w:cs="宋体"/>
          <w:highlight w:val="none"/>
        </w:rPr>
        <w:t>30.6.4质疑未以书面形式提出，或质疑函主要内容构成不完整的；</w:t>
      </w:r>
    </w:p>
    <w:p>
      <w:pPr>
        <w:widowControl/>
        <w:spacing w:line="500" w:lineRule="exact"/>
        <w:ind w:firstLine="480" w:firstLineChars="200"/>
        <w:rPr>
          <w:rFonts w:hAnsi="宋体" w:cs="宋体"/>
          <w:highlight w:val="none"/>
        </w:rPr>
      </w:pPr>
      <w:r>
        <w:rPr>
          <w:rFonts w:hint="eastAsia" w:hAnsi="宋体" w:cs="宋体"/>
          <w:highlight w:val="none"/>
        </w:rPr>
        <w:t>30.6.5应当提交授权书而未提交的；</w:t>
      </w:r>
    </w:p>
    <w:p>
      <w:pPr>
        <w:widowControl/>
        <w:spacing w:line="500" w:lineRule="exact"/>
        <w:ind w:firstLine="480" w:firstLineChars="200"/>
        <w:rPr>
          <w:rFonts w:hAnsi="宋体" w:cs="宋体"/>
          <w:highlight w:val="none"/>
        </w:rPr>
      </w:pPr>
      <w:r>
        <w:rPr>
          <w:rFonts w:hint="eastAsia" w:hAnsi="宋体" w:cs="宋体"/>
          <w:highlight w:val="none"/>
        </w:rPr>
        <w:t>30.6.6以非法手段取得证据、材料的；</w:t>
      </w:r>
    </w:p>
    <w:p>
      <w:pPr>
        <w:widowControl/>
        <w:spacing w:line="500" w:lineRule="exact"/>
        <w:ind w:firstLine="480" w:firstLineChars="200"/>
        <w:rPr>
          <w:rFonts w:hAnsi="宋体" w:cs="宋体"/>
          <w:highlight w:val="none"/>
        </w:rPr>
      </w:pPr>
      <w:r>
        <w:rPr>
          <w:rFonts w:hint="eastAsia" w:hAnsi="宋体" w:cs="宋体"/>
          <w:highlight w:val="none"/>
        </w:rPr>
        <w:t>30.6.7质疑答复后，同一质疑人就同一事项或同一采购程序环节再次提出质疑的；</w:t>
      </w:r>
    </w:p>
    <w:p>
      <w:pPr>
        <w:widowControl/>
        <w:spacing w:line="500" w:lineRule="exact"/>
        <w:ind w:firstLine="480" w:firstLineChars="200"/>
        <w:rPr>
          <w:rStyle w:val="27"/>
          <w:rFonts w:hAnsi="宋体" w:cs="宋体"/>
          <w:b w:val="0"/>
          <w:szCs w:val="24"/>
          <w:highlight w:val="none"/>
          <w:shd w:val="clear" w:color="auto" w:fill="FFFFFF"/>
        </w:rPr>
      </w:pPr>
      <w:r>
        <w:rPr>
          <w:rFonts w:hint="eastAsia" w:hAnsi="宋体" w:cs="宋体"/>
          <w:highlight w:val="none"/>
        </w:rPr>
        <w:t>30.6.8不符合法律、法规、规章和政府采购监管机构规定的其他条件的。</w:t>
      </w:r>
    </w:p>
    <w:p>
      <w:pPr>
        <w:spacing w:line="500" w:lineRule="exact"/>
        <w:ind w:right="12"/>
        <w:rPr>
          <w:rFonts w:hAnsi="宋体" w:cs="宋体"/>
          <w:szCs w:val="24"/>
          <w:highlight w:val="none"/>
        </w:rPr>
      </w:pPr>
      <w:r>
        <w:rPr>
          <w:rFonts w:hint="eastAsia" w:hAnsi="宋体" w:cs="宋体"/>
          <w:szCs w:val="24"/>
          <w:highlight w:val="none"/>
        </w:rPr>
        <w:t xml:space="preserve">    30.7质疑答复</w:t>
      </w:r>
    </w:p>
    <w:p>
      <w:pPr>
        <w:pStyle w:val="32"/>
        <w:spacing w:line="500" w:lineRule="exact"/>
        <w:ind w:firstLine="480"/>
        <w:jc w:val="left"/>
        <w:rPr>
          <w:rFonts w:hAnsi="宋体" w:cs="宋体"/>
          <w:szCs w:val="24"/>
          <w:highlight w:val="none"/>
        </w:rPr>
      </w:pPr>
      <w:r>
        <w:rPr>
          <w:rFonts w:hint="eastAsia" w:hAnsi="宋体" w:cs="宋体"/>
          <w:szCs w:val="24"/>
          <w:highlight w:val="none"/>
        </w:rPr>
        <w:t>30.7.1采购人或采购代理机构在收到质疑函后7个工作日内作出答复，并以书面形式通知质疑投标人和其他有关投标人。</w:t>
      </w:r>
    </w:p>
    <w:p>
      <w:pPr>
        <w:pStyle w:val="32"/>
        <w:spacing w:line="500" w:lineRule="exact"/>
        <w:ind w:firstLine="480" w:firstLineChars="0"/>
        <w:jc w:val="left"/>
        <w:rPr>
          <w:rFonts w:hAnsi="宋体" w:cs="宋体"/>
          <w:szCs w:val="24"/>
          <w:highlight w:val="none"/>
        </w:rPr>
      </w:pPr>
      <w:r>
        <w:rPr>
          <w:rFonts w:hint="eastAsia" w:hAnsi="宋体" w:cs="宋体"/>
          <w:szCs w:val="24"/>
          <w:highlight w:val="none"/>
        </w:rPr>
        <w:t>30.7.2质疑投标人对采购人、采购代理机构的答复不满意，或者采购人、采购代理机构未在规定时间内作出答复的，可以在答复期满后15个工作日内向项目主管财政部门提起投诉。</w:t>
      </w:r>
    </w:p>
    <w:p>
      <w:pPr>
        <w:pStyle w:val="32"/>
        <w:spacing w:line="500" w:lineRule="exact"/>
        <w:ind w:firstLine="480" w:firstLineChars="0"/>
        <w:jc w:val="left"/>
        <w:rPr>
          <w:rFonts w:hAnsi="宋体" w:cs="宋体"/>
          <w:szCs w:val="24"/>
          <w:highlight w:val="none"/>
        </w:rPr>
      </w:pPr>
      <w:r>
        <w:rPr>
          <w:rFonts w:hint="eastAsia" w:hAnsi="宋体" w:cs="宋体"/>
          <w:szCs w:val="24"/>
          <w:highlight w:val="none"/>
        </w:rPr>
        <w:t>30.8.1质疑函须按财政部《质疑函范本》给定的格式进行填写，范本下载详见【财政部国库司（gks.mof.gov.cn）】网站〖首页·政府采购管理〗栏目中的《政府采购供应商质疑函范本》。《政府采购供应商质疑函范本》链接地址：</w:t>
      </w:r>
    </w:p>
    <w:p>
      <w:pPr>
        <w:pStyle w:val="32"/>
        <w:spacing w:line="500" w:lineRule="exact"/>
        <w:ind w:firstLine="480" w:firstLineChars="0"/>
        <w:jc w:val="left"/>
        <w:rPr>
          <w:rFonts w:hAnsi="宋体" w:cs="宋体"/>
          <w:szCs w:val="24"/>
          <w:highlight w:val="none"/>
        </w:rPr>
      </w:pPr>
      <w:r>
        <w:rPr>
          <w:rFonts w:hint="eastAsia" w:hAnsi="宋体" w:cs="宋体"/>
          <w:szCs w:val="24"/>
          <w:highlight w:val="none"/>
        </w:rPr>
        <w:t>http://gks.mof.gov.cn/zhengfucaigouguanli/201802/t20180201_2804589.html</w:t>
      </w:r>
    </w:p>
    <w:p>
      <w:pPr>
        <w:pStyle w:val="32"/>
        <w:spacing w:line="500" w:lineRule="exact"/>
        <w:ind w:firstLine="480" w:firstLineChars="0"/>
        <w:jc w:val="left"/>
        <w:rPr>
          <w:rFonts w:hAnsi="宋体" w:cs="宋体"/>
          <w:szCs w:val="24"/>
          <w:highlight w:val="none"/>
        </w:rPr>
      </w:pPr>
      <w:r>
        <w:rPr>
          <w:rFonts w:hint="eastAsia" w:hAnsi="宋体" w:cs="宋体"/>
          <w:szCs w:val="24"/>
          <w:highlight w:val="none"/>
        </w:rPr>
        <w:t>30.8.2接收质疑函的方式：书面形式</w:t>
      </w:r>
    </w:p>
    <w:p>
      <w:pPr>
        <w:pStyle w:val="32"/>
        <w:spacing w:line="500" w:lineRule="exact"/>
        <w:ind w:firstLine="480" w:firstLineChars="0"/>
        <w:jc w:val="left"/>
        <w:rPr>
          <w:rFonts w:hAnsi="宋体" w:cs="宋体"/>
          <w:szCs w:val="24"/>
          <w:highlight w:val="none"/>
        </w:rPr>
      </w:pPr>
      <w:r>
        <w:rPr>
          <w:rFonts w:hint="eastAsia" w:hAnsi="宋体" w:cs="宋体"/>
          <w:szCs w:val="24"/>
          <w:highlight w:val="none"/>
        </w:rPr>
        <w:t>30.8.3联系部门：</w:t>
      </w:r>
      <w:r>
        <w:rPr>
          <w:rFonts w:hint="eastAsia" w:hAnsi="宋体" w:cs="宋体"/>
          <w:szCs w:val="24"/>
          <w:highlight w:val="none"/>
          <w:lang w:eastAsia="zh-CN"/>
        </w:rPr>
        <w:t>陕西至诚项目管理集团有限公司</w:t>
      </w:r>
      <w:r>
        <w:rPr>
          <w:rFonts w:hint="eastAsia" w:hAnsi="宋体" w:cs="宋体"/>
          <w:szCs w:val="24"/>
          <w:highlight w:val="none"/>
        </w:rPr>
        <w:t>前台</w:t>
      </w:r>
    </w:p>
    <w:p>
      <w:pPr>
        <w:pStyle w:val="32"/>
        <w:spacing w:line="500" w:lineRule="exact"/>
        <w:ind w:firstLine="480" w:firstLineChars="0"/>
        <w:jc w:val="left"/>
        <w:rPr>
          <w:rFonts w:hAnsi="宋体" w:cs="宋体"/>
          <w:szCs w:val="24"/>
          <w:highlight w:val="none"/>
        </w:rPr>
      </w:pPr>
      <w:r>
        <w:rPr>
          <w:rFonts w:hint="eastAsia" w:hAnsi="宋体" w:cs="宋体"/>
          <w:szCs w:val="24"/>
          <w:highlight w:val="none"/>
        </w:rPr>
        <w:t>30.8.4联系电话：029-8</w:t>
      </w:r>
      <w:r>
        <w:rPr>
          <w:rFonts w:hAnsi="宋体" w:cs="宋体"/>
          <w:szCs w:val="24"/>
          <w:highlight w:val="none"/>
        </w:rPr>
        <w:t>8219779</w:t>
      </w:r>
    </w:p>
    <w:p>
      <w:pPr>
        <w:pStyle w:val="32"/>
        <w:spacing w:line="500" w:lineRule="exact"/>
        <w:ind w:firstLine="480" w:firstLineChars="0"/>
        <w:jc w:val="left"/>
        <w:rPr>
          <w:rFonts w:hint="eastAsia" w:hAnsi="宋体" w:eastAsia="宋体" w:cs="宋体"/>
          <w:szCs w:val="24"/>
          <w:highlight w:val="none"/>
          <w:lang w:eastAsia="zh-CN"/>
        </w:rPr>
      </w:pPr>
      <w:r>
        <w:rPr>
          <w:rFonts w:hint="eastAsia" w:hAnsi="宋体" w:cs="宋体"/>
          <w:szCs w:val="24"/>
          <w:highlight w:val="none"/>
        </w:rPr>
        <w:t>31.8.5通讯地址：</w:t>
      </w:r>
      <w:r>
        <w:rPr>
          <w:rFonts w:hint="eastAsia" w:hAnsi="宋体" w:cs="宋体"/>
          <w:szCs w:val="24"/>
          <w:highlight w:val="none"/>
          <w:lang w:eastAsia="zh-CN"/>
        </w:rPr>
        <w:t>陕西省西安市经济技术开发区未央路171-1号银池道拉斯财富中心21楼</w:t>
      </w:r>
    </w:p>
    <w:p>
      <w:pPr>
        <w:spacing w:line="500" w:lineRule="exact"/>
        <w:rPr>
          <w:rFonts w:hAnsi="宋体" w:cs="宋体"/>
          <w:szCs w:val="24"/>
          <w:highlight w:val="none"/>
        </w:rPr>
      </w:pPr>
      <w:r>
        <w:rPr>
          <w:rFonts w:hint="eastAsia" w:hAnsi="宋体" w:cs="宋体"/>
          <w:b/>
          <w:bCs/>
          <w:szCs w:val="24"/>
          <w:highlight w:val="none"/>
        </w:rPr>
        <w:t>32.其他</w:t>
      </w:r>
    </w:p>
    <w:p>
      <w:pPr>
        <w:spacing w:line="500" w:lineRule="exact"/>
        <w:ind w:firstLine="480" w:firstLineChars="200"/>
        <w:rPr>
          <w:rFonts w:hAnsi="宋体" w:cs="宋体"/>
          <w:highlight w:val="none"/>
        </w:rPr>
      </w:pPr>
      <w:r>
        <w:rPr>
          <w:rFonts w:hint="eastAsia" w:hAnsi="宋体" w:cs="宋体"/>
          <w:highlight w:val="none"/>
        </w:rPr>
        <w:t>32.1 废标的情形</w:t>
      </w:r>
    </w:p>
    <w:p>
      <w:pPr>
        <w:spacing w:line="500" w:lineRule="exact"/>
        <w:ind w:firstLine="480" w:firstLineChars="200"/>
        <w:rPr>
          <w:rFonts w:hAnsi="宋体" w:cs="宋体"/>
          <w:highlight w:val="none"/>
        </w:rPr>
      </w:pPr>
      <w:r>
        <w:rPr>
          <w:rFonts w:hint="eastAsia" w:hAnsi="宋体" w:cs="宋体"/>
          <w:highlight w:val="none"/>
        </w:rPr>
        <w:t>32.1.1招标采购中，出现下列情形之一的，应予以废标：</w:t>
      </w:r>
    </w:p>
    <w:p>
      <w:pPr>
        <w:spacing w:line="500" w:lineRule="exact"/>
        <w:ind w:firstLine="480" w:firstLineChars="200"/>
        <w:rPr>
          <w:rFonts w:hAnsi="宋体" w:cs="宋体"/>
          <w:highlight w:val="none"/>
        </w:rPr>
      </w:pPr>
      <w:r>
        <w:rPr>
          <w:rFonts w:hint="eastAsia" w:hAnsi="宋体" w:cs="宋体"/>
          <w:highlight w:val="none"/>
        </w:rPr>
        <w:t>（1）符合专业条件的投标人或者对招标文件作实质响应的投标人不足3家的；</w:t>
      </w:r>
    </w:p>
    <w:p>
      <w:pPr>
        <w:spacing w:line="500" w:lineRule="exact"/>
        <w:ind w:firstLine="480" w:firstLineChars="200"/>
        <w:rPr>
          <w:rFonts w:hAnsi="宋体" w:cs="宋体"/>
          <w:highlight w:val="none"/>
        </w:rPr>
      </w:pPr>
      <w:r>
        <w:rPr>
          <w:rFonts w:hint="eastAsia" w:hAnsi="宋体" w:cs="宋体"/>
          <w:highlight w:val="none"/>
        </w:rPr>
        <w:t>（2）出现影响采购公正的违法、违规行为的；</w:t>
      </w:r>
    </w:p>
    <w:p>
      <w:pPr>
        <w:spacing w:line="500" w:lineRule="exact"/>
        <w:ind w:firstLine="480" w:firstLineChars="200"/>
        <w:rPr>
          <w:rFonts w:hAnsi="宋体" w:cs="宋体"/>
          <w:highlight w:val="none"/>
        </w:rPr>
      </w:pPr>
      <w:r>
        <w:rPr>
          <w:rFonts w:hint="eastAsia" w:hAnsi="宋体" w:cs="宋体"/>
          <w:highlight w:val="none"/>
        </w:rPr>
        <w:t>（3）投标人的报价均超过了采购预算，采购人不能支付的；</w:t>
      </w:r>
    </w:p>
    <w:p>
      <w:pPr>
        <w:spacing w:line="500" w:lineRule="exact"/>
        <w:ind w:firstLine="480" w:firstLineChars="200"/>
        <w:rPr>
          <w:rFonts w:hAnsi="宋体" w:cs="宋体"/>
          <w:highlight w:val="none"/>
        </w:rPr>
      </w:pPr>
      <w:r>
        <w:rPr>
          <w:rFonts w:hint="eastAsia" w:hAnsi="宋体" w:cs="宋体"/>
          <w:highlight w:val="none"/>
        </w:rPr>
        <w:t>（4）因重大变故，采购任务取消的。</w:t>
      </w:r>
    </w:p>
    <w:p>
      <w:pPr>
        <w:spacing w:line="500" w:lineRule="exact"/>
        <w:ind w:firstLine="480" w:firstLineChars="200"/>
        <w:rPr>
          <w:rFonts w:hAnsi="宋体" w:cs="宋体"/>
          <w:highlight w:val="none"/>
        </w:rPr>
      </w:pPr>
      <w:r>
        <w:rPr>
          <w:rFonts w:hint="eastAsia" w:hAnsi="宋体" w:cs="宋体"/>
          <w:highlight w:val="none"/>
        </w:rPr>
        <w:t>32.1.2废标后，采购代理机构应在财政部门指定采购网上公告，并公告废标的详细理由。</w:t>
      </w:r>
    </w:p>
    <w:p>
      <w:pPr>
        <w:spacing w:line="500" w:lineRule="exact"/>
        <w:ind w:firstLine="480" w:firstLineChars="200"/>
        <w:rPr>
          <w:rFonts w:hAnsi="宋体" w:cs="宋体"/>
          <w:highlight w:val="none"/>
        </w:rPr>
      </w:pPr>
      <w:r>
        <w:rPr>
          <w:rFonts w:hint="eastAsia" w:hAnsi="宋体" w:cs="宋体"/>
          <w:highlight w:val="none"/>
        </w:rPr>
        <w:t>32.2变更采购方式</w:t>
      </w:r>
    </w:p>
    <w:p>
      <w:pPr>
        <w:spacing w:line="500" w:lineRule="exact"/>
        <w:ind w:firstLine="480" w:firstLineChars="200"/>
        <w:rPr>
          <w:rFonts w:hAnsi="宋体" w:cs="宋体"/>
          <w:highlight w:val="none"/>
        </w:rPr>
      </w:pPr>
      <w:r>
        <w:rPr>
          <w:rFonts w:hint="eastAsia" w:hAnsi="宋体" w:cs="宋体"/>
          <w:highlight w:val="none"/>
        </w:rPr>
        <w:t>32.2.1存在下列情形之一的，除采购任务取消情形外，采购人经同级财政部门同意后，可按《政府采购货物和服务招标投标管理办法》（财政部87号令）第四十三条规定的方式处理：</w:t>
      </w:r>
    </w:p>
    <w:p>
      <w:pPr>
        <w:spacing w:line="500" w:lineRule="exact"/>
        <w:ind w:firstLine="480" w:firstLineChars="200"/>
        <w:rPr>
          <w:rFonts w:hAnsi="宋体" w:cs="宋体"/>
          <w:highlight w:val="none"/>
        </w:rPr>
      </w:pPr>
      <w:r>
        <w:rPr>
          <w:rFonts w:hint="eastAsia" w:hAnsi="宋体" w:cs="宋体"/>
          <w:highlight w:val="none"/>
        </w:rPr>
        <w:t>（1）投标截止后参加投标的人不足3家的；</w:t>
      </w:r>
    </w:p>
    <w:p>
      <w:pPr>
        <w:spacing w:line="500" w:lineRule="exact"/>
        <w:ind w:firstLine="480" w:firstLineChars="200"/>
        <w:rPr>
          <w:rFonts w:hAnsi="宋体" w:cs="宋体"/>
          <w:highlight w:val="none"/>
        </w:rPr>
      </w:pPr>
      <w:r>
        <w:rPr>
          <w:rFonts w:hint="eastAsia" w:hAnsi="宋体" w:cs="宋体"/>
          <w:highlight w:val="none"/>
        </w:rPr>
        <w:t>（2）通过资格审查的投标人不足3家的；</w:t>
      </w:r>
    </w:p>
    <w:p>
      <w:pPr>
        <w:spacing w:line="500" w:lineRule="exact"/>
        <w:ind w:firstLine="480" w:firstLineChars="200"/>
        <w:rPr>
          <w:rFonts w:hAnsi="宋体" w:cs="宋体"/>
          <w:highlight w:val="none"/>
        </w:rPr>
      </w:pPr>
      <w:r>
        <w:rPr>
          <w:rFonts w:hint="eastAsia" w:hAnsi="宋体" w:cs="宋体"/>
          <w:highlight w:val="none"/>
        </w:rPr>
        <w:t>（3）通过符合性审查的投标人不足3家的。</w:t>
      </w:r>
    </w:p>
    <w:p>
      <w:pPr>
        <w:spacing w:line="500" w:lineRule="exact"/>
        <w:ind w:firstLine="480" w:firstLineChars="200"/>
        <w:rPr>
          <w:rFonts w:hAnsi="宋体" w:cs="宋体"/>
          <w:highlight w:val="none"/>
        </w:rPr>
      </w:pPr>
      <w:r>
        <w:rPr>
          <w:rFonts w:hint="eastAsia" w:hAnsi="宋体" w:cs="宋体"/>
          <w:highlight w:val="none"/>
        </w:rPr>
        <w:t>32.2.2通过符合性审查的投标人只有2家时，采购人经同级财政部门同意后，可以按《政府采购非招标采购方式管理办法》（财政部第74号令）的规定与该2家投标人进行竞争性谈判采购。</w:t>
      </w:r>
    </w:p>
    <w:p>
      <w:pPr>
        <w:pStyle w:val="4"/>
        <w:jc w:val="center"/>
        <w:rPr>
          <w:rFonts w:hint="eastAsia" w:ascii="宋体" w:eastAsia="宋体" w:cs="宋体"/>
          <w:sz w:val="36"/>
          <w:szCs w:val="36"/>
          <w:highlight w:val="none"/>
        </w:rPr>
        <w:sectPr>
          <w:headerReference r:id="rId9" w:type="first"/>
          <w:footerReference r:id="rId11" w:type="first"/>
          <w:footerReference r:id="rId10" w:type="default"/>
          <w:pgSz w:w="11906" w:h="16838"/>
          <w:pgMar w:top="1417" w:right="1134" w:bottom="1417" w:left="1417" w:header="1134" w:footer="992" w:gutter="0"/>
          <w:pgNumType w:fmt="decimal" w:start="1"/>
          <w:cols w:space="720" w:num="1"/>
          <w:titlePg/>
          <w:docGrid w:type="lines" w:linePitch="333" w:charSpace="0"/>
        </w:sectPr>
      </w:pPr>
      <w:bookmarkStart w:id="43" w:name="_Toc6721"/>
      <w:bookmarkStart w:id="44" w:name="_Toc363474023"/>
    </w:p>
    <w:p>
      <w:pPr>
        <w:pStyle w:val="4"/>
        <w:jc w:val="center"/>
        <w:rPr>
          <w:rFonts w:ascii="宋体" w:eastAsia="宋体" w:cs="宋体"/>
          <w:sz w:val="36"/>
          <w:szCs w:val="36"/>
          <w:highlight w:val="none"/>
        </w:rPr>
      </w:pPr>
      <w:r>
        <w:rPr>
          <w:rFonts w:hint="eastAsia" w:ascii="宋体" w:eastAsia="宋体" w:cs="宋体"/>
          <w:sz w:val="36"/>
          <w:szCs w:val="36"/>
          <w:highlight w:val="none"/>
        </w:rPr>
        <w:t>第三章  合同条款及格式</w:t>
      </w:r>
      <w:bookmarkEnd w:id="43"/>
    </w:p>
    <w:p>
      <w:pPr>
        <w:jc w:val="center"/>
        <w:outlineLvl w:val="9"/>
        <w:rPr>
          <w:rFonts w:ascii="宋体" w:hAnsi="宋体" w:cs="宋体"/>
          <w:highlight w:val="none"/>
        </w:rPr>
      </w:pPr>
      <w:bookmarkStart w:id="45" w:name="_Toc26935"/>
      <w:bookmarkStart w:id="46" w:name="_Toc426457695"/>
      <w:r>
        <w:rPr>
          <w:rFonts w:hint="eastAsia"/>
          <w:b/>
          <w:bCs/>
          <w:sz w:val="28"/>
          <w:szCs w:val="21"/>
          <w:highlight w:val="none"/>
        </w:rPr>
        <w:t>合同条款及格式前附表</w:t>
      </w:r>
      <w:bookmarkEnd w:id="45"/>
      <w:bookmarkEnd w:id="46"/>
    </w:p>
    <w:p>
      <w:pPr>
        <w:rPr>
          <w:highlight w:val="none"/>
        </w:rPr>
      </w:pPr>
      <w:r>
        <w:rPr>
          <w:rFonts w:hint="eastAsia"/>
          <w:b/>
          <w:bCs/>
          <w:highlight w:val="none"/>
        </w:rPr>
        <w:t>本表是对合同条款的具体补充和修改，如有矛盾，应以本资料表为准。</w:t>
      </w:r>
    </w:p>
    <w:tbl>
      <w:tblPr>
        <w:tblStyle w:val="24"/>
        <w:tblW w:w="941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65"/>
        <w:gridCol w:w="85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865" w:type="dxa"/>
            <w:vAlign w:val="center"/>
          </w:tcPr>
          <w:p>
            <w:pPr>
              <w:spacing w:line="360" w:lineRule="auto"/>
              <w:jc w:val="center"/>
              <w:rPr>
                <w:rFonts w:hAnsi="宋体" w:cs="宋体"/>
                <w:b/>
                <w:sz w:val="24"/>
                <w:szCs w:val="24"/>
                <w:highlight w:val="none"/>
              </w:rPr>
            </w:pPr>
            <w:bookmarkStart w:id="47" w:name="_Toc426457694"/>
            <w:bookmarkStart w:id="48" w:name="_Toc11810"/>
            <w:bookmarkStart w:id="49" w:name="_Toc15898"/>
            <w:bookmarkStart w:id="50" w:name="_Toc403077645"/>
            <w:bookmarkStart w:id="51" w:name="_Toc3798"/>
            <w:r>
              <w:rPr>
                <w:rFonts w:hint="eastAsia" w:hAnsi="宋体" w:cs="宋体"/>
                <w:b/>
                <w:sz w:val="24"/>
                <w:szCs w:val="24"/>
                <w:highlight w:val="none"/>
              </w:rPr>
              <w:t>序号</w:t>
            </w:r>
          </w:p>
        </w:tc>
        <w:tc>
          <w:tcPr>
            <w:tcW w:w="8546" w:type="dxa"/>
            <w:vAlign w:val="center"/>
          </w:tcPr>
          <w:p>
            <w:pPr>
              <w:spacing w:line="360" w:lineRule="auto"/>
              <w:jc w:val="center"/>
              <w:rPr>
                <w:rFonts w:hAnsi="宋体" w:cs="宋体"/>
                <w:b/>
                <w:sz w:val="24"/>
                <w:szCs w:val="24"/>
                <w:highlight w:val="none"/>
              </w:rPr>
            </w:pPr>
            <w:r>
              <w:rPr>
                <w:rFonts w:hint="eastAsia" w:hAnsi="宋体" w:cs="宋体"/>
                <w:b/>
                <w:sz w:val="24"/>
                <w:szCs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865" w:type="dxa"/>
            <w:vAlign w:val="center"/>
          </w:tcPr>
          <w:p>
            <w:pPr>
              <w:spacing w:line="360" w:lineRule="auto"/>
              <w:jc w:val="center"/>
              <w:rPr>
                <w:rFonts w:hAnsi="宋体" w:cs="宋体"/>
                <w:sz w:val="24"/>
                <w:szCs w:val="24"/>
                <w:highlight w:val="none"/>
              </w:rPr>
            </w:pPr>
            <w:r>
              <w:rPr>
                <w:rFonts w:hint="eastAsia" w:hAnsi="宋体" w:cs="宋体"/>
                <w:sz w:val="24"/>
                <w:szCs w:val="24"/>
                <w:highlight w:val="none"/>
              </w:rPr>
              <w:t>1</w:t>
            </w:r>
          </w:p>
        </w:tc>
        <w:tc>
          <w:tcPr>
            <w:tcW w:w="8546" w:type="dxa"/>
            <w:vAlign w:val="center"/>
          </w:tcPr>
          <w:p>
            <w:pPr>
              <w:spacing w:line="360" w:lineRule="auto"/>
              <w:rPr>
                <w:rFonts w:hint="eastAsia" w:hAnsi="宋体" w:eastAsia="宋体" w:cs="宋体"/>
                <w:sz w:val="24"/>
                <w:szCs w:val="24"/>
                <w:highlight w:val="none"/>
                <w:lang w:eastAsia="zh-CN"/>
              </w:rPr>
            </w:pPr>
            <w:r>
              <w:rPr>
                <w:rFonts w:hint="eastAsia" w:hAnsi="宋体" w:cs="宋体"/>
                <w:sz w:val="24"/>
                <w:szCs w:val="24"/>
                <w:highlight w:val="none"/>
              </w:rPr>
              <w:t>采购人名称：</w:t>
            </w:r>
            <w:r>
              <w:rPr>
                <w:rFonts w:hint="eastAsia" w:hAnsi="宋体" w:cs="宋体"/>
                <w:sz w:val="24"/>
                <w:szCs w:val="24"/>
                <w:highlight w:val="none"/>
                <w:lang w:eastAsia="zh-CN"/>
              </w:rPr>
              <w:t>商南县城市管理局</w:t>
            </w:r>
          </w:p>
          <w:p>
            <w:pPr>
              <w:spacing w:line="360" w:lineRule="auto"/>
              <w:rPr>
                <w:rFonts w:hint="eastAsia" w:hAnsi="宋体" w:cs="宋体"/>
                <w:sz w:val="24"/>
                <w:szCs w:val="24"/>
                <w:highlight w:val="none"/>
              </w:rPr>
            </w:pPr>
            <w:r>
              <w:rPr>
                <w:rFonts w:hint="eastAsia" w:hAnsi="宋体" w:cs="宋体"/>
                <w:sz w:val="24"/>
                <w:szCs w:val="24"/>
                <w:highlight w:val="none"/>
              </w:rPr>
              <w:t>地址：商南县北环大道凤凰公寓</w:t>
            </w:r>
          </w:p>
          <w:p>
            <w:pPr>
              <w:spacing w:line="360" w:lineRule="auto"/>
              <w:rPr>
                <w:rFonts w:hint="eastAsia" w:hAnsi="宋体" w:cs="宋体"/>
                <w:sz w:val="24"/>
                <w:szCs w:val="24"/>
                <w:highlight w:val="none"/>
                <w:lang w:eastAsia="zh-CN"/>
              </w:rPr>
            </w:pPr>
            <w:r>
              <w:rPr>
                <w:rFonts w:hint="eastAsia" w:hAnsi="宋体" w:cs="宋体"/>
                <w:sz w:val="24"/>
                <w:szCs w:val="24"/>
                <w:highlight w:val="none"/>
              </w:rPr>
              <w:t>项目名称：</w:t>
            </w:r>
            <w:r>
              <w:rPr>
                <w:rFonts w:hint="eastAsia" w:hAnsi="宋体" w:cs="宋体"/>
                <w:sz w:val="24"/>
                <w:szCs w:val="24"/>
                <w:highlight w:val="none"/>
                <w:lang w:eastAsia="zh-CN"/>
              </w:rPr>
              <w:t>商南县城区环卫市场化运营项目</w:t>
            </w:r>
          </w:p>
          <w:p>
            <w:pPr>
              <w:spacing w:line="360" w:lineRule="auto"/>
              <w:rPr>
                <w:rFonts w:hAnsi="宋体" w:cs="宋体"/>
                <w:sz w:val="24"/>
                <w:szCs w:val="24"/>
                <w:highlight w:val="none"/>
              </w:rPr>
            </w:pPr>
            <w:r>
              <w:rPr>
                <w:rFonts w:hint="eastAsia" w:hAnsi="宋体" w:cs="宋体"/>
                <w:sz w:val="24"/>
                <w:szCs w:val="24"/>
                <w:highlight w:val="none"/>
              </w:rPr>
              <w:t>资金来源：财政资金，资金已落实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865" w:type="dxa"/>
            <w:vAlign w:val="center"/>
          </w:tcPr>
          <w:p>
            <w:pPr>
              <w:spacing w:line="360" w:lineRule="auto"/>
              <w:jc w:val="center"/>
              <w:rPr>
                <w:rFonts w:hAnsi="宋体" w:cs="宋体"/>
                <w:sz w:val="24"/>
                <w:szCs w:val="24"/>
                <w:highlight w:val="none"/>
              </w:rPr>
            </w:pPr>
            <w:r>
              <w:rPr>
                <w:rFonts w:hint="eastAsia" w:hAnsi="宋体" w:cs="宋体"/>
                <w:sz w:val="24"/>
                <w:szCs w:val="24"/>
                <w:highlight w:val="none"/>
              </w:rPr>
              <w:t>2</w:t>
            </w:r>
          </w:p>
        </w:tc>
        <w:tc>
          <w:tcPr>
            <w:tcW w:w="8546" w:type="dxa"/>
            <w:vAlign w:val="center"/>
          </w:tcPr>
          <w:p>
            <w:pPr>
              <w:spacing w:line="360" w:lineRule="auto"/>
              <w:rPr>
                <w:rFonts w:hAnsi="宋体" w:cs="宋体"/>
                <w:sz w:val="24"/>
                <w:szCs w:val="24"/>
                <w:highlight w:val="none"/>
              </w:rPr>
            </w:pPr>
            <w:r>
              <w:rPr>
                <w:rFonts w:hint="eastAsia" w:hAnsi="宋体" w:cs="宋体"/>
                <w:b/>
                <w:sz w:val="24"/>
                <w:szCs w:val="24"/>
                <w:highlight w:val="none"/>
              </w:rPr>
              <w:t>名词解释：</w:t>
            </w:r>
            <w:r>
              <w:rPr>
                <w:rFonts w:hint="eastAsia" w:hAnsi="宋体" w:cs="宋体"/>
                <w:sz w:val="24"/>
                <w:szCs w:val="24"/>
                <w:highlight w:val="none"/>
              </w:rPr>
              <w:t>本章节中出现的 “投标人”，在招标投标阶段措辞为“投标人”；在项目招标结束，中标结果确定后，措辞由“投标人”转为“中标人”；与中标人签订合同，履约、实施阶段，措辞由“中标人”转为“投标人”。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77" w:hRule="exact"/>
        </w:trPr>
        <w:tc>
          <w:tcPr>
            <w:tcW w:w="865" w:type="dxa"/>
            <w:vAlign w:val="center"/>
          </w:tcPr>
          <w:p>
            <w:pPr>
              <w:spacing w:line="360" w:lineRule="auto"/>
              <w:jc w:val="center"/>
              <w:rPr>
                <w:rFonts w:hAnsi="宋体" w:cs="宋体"/>
                <w:sz w:val="24"/>
                <w:szCs w:val="24"/>
                <w:highlight w:val="none"/>
              </w:rPr>
            </w:pPr>
            <w:r>
              <w:rPr>
                <w:rFonts w:hint="eastAsia" w:hAnsi="宋体" w:cs="宋体"/>
                <w:sz w:val="24"/>
                <w:szCs w:val="24"/>
                <w:highlight w:val="none"/>
              </w:rPr>
              <w:t>3</w:t>
            </w:r>
          </w:p>
        </w:tc>
        <w:tc>
          <w:tcPr>
            <w:tcW w:w="8546" w:type="dxa"/>
            <w:vAlign w:val="center"/>
          </w:tcPr>
          <w:p>
            <w:pPr>
              <w:spacing w:line="360" w:lineRule="auto"/>
              <w:rPr>
                <w:rFonts w:hint="eastAsia" w:hAnsi="宋体" w:cs="宋体"/>
                <w:sz w:val="24"/>
                <w:szCs w:val="24"/>
                <w:highlight w:val="none"/>
                <w:lang w:val="en-US" w:eastAsia="zh-CN"/>
              </w:rPr>
            </w:pPr>
            <w:bookmarkStart w:id="52" w:name="OLE_LINK6"/>
            <w:bookmarkStart w:id="53" w:name="OLE_LINK5"/>
            <w:r>
              <w:rPr>
                <w:rFonts w:hint="eastAsia" w:hAnsi="宋体" w:cs="宋体"/>
                <w:sz w:val="24"/>
                <w:szCs w:val="24"/>
                <w:highlight w:val="none"/>
              </w:rPr>
              <w:t>服务期：</w:t>
            </w:r>
            <w:bookmarkEnd w:id="52"/>
            <w:bookmarkEnd w:id="53"/>
            <w:r>
              <w:rPr>
                <w:rFonts w:hint="eastAsia" w:hAnsi="宋体" w:cs="宋体"/>
                <w:sz w:val="24"/>
                <w:szCs w:val="24"/>
                <w:highlight w:val="none"/>
                <w:lang w:val="en-US" w:eastAsia="zh-CN"/>
              </w:rPr>
              <w:t>三年</w:t>
            </w:r>
          </w:p>
          <w:p>
            <w:pPr>
              <w:spacing w:line="360" w:lineRule="auto"/>
              <w:rPr>
                <w:rFonts w:hint="eastAsia" w:hAnsi="宋体" w:cs="宋体"/>
                <w:sz w:val="24"/>
                <w:szCs w:val="24"/>
                <w:highlight w:val="none"/>
              </w:rPr>
            </w:pPr>
            <w:r>
              <w:rPr>
                <w:rFonts w:hint="eastAsia" w:hAnsi="宋体" w:cs="宋体"/>
                <w:sz w:val="24"/>
                <w:szCs w:val="24"/>
                <w:highlight w:val="none"/>
                <w:lang w:val="en-US" w:eastAsia="zh-CN"/>
              </w:rPr>
              <w:t>本项目服务期为三年，服务过程中由招标人定期组织服务考评，完成资金支付工作。</w:t>
            </w:r>
          </w:p>
          <w:p>
            <w:pPr>
              <w:pStyle w:val="2"/>
              <w:rPr>
                <w:rFonts w:hint="eastAsia"/>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8" w:hRule="exact"/>
        </w:trPr>
        <w:tc>
          <w:tcPr>
            <w:tcW w:w="865" w:type="dxa"/>
            <w:vAlign w:val="center"/>
          </w:tcPr>
          <w:p>
            <w:pPr>
              <w:spacing w:line="360" w:lineRule="auto"/>
              <w:jc w:val="center"/>
              <w:rPr>
                <w:rFonts w:hint="eastAsia" w:hAnsi="宋体" w:eastAsia="宋体" w:cs="宋体"/>
                <w:b/>
                <w:bCs/>
                <w:sz w:val="24"/>
                <w:szCs w:val="24"/>
                <w:highlight w:val="none"/>
                <w:lang w:eastAsia="zh-CN"/>
              </w:rPr>
            </w:pPr>
            <w:r>
              <w:rPr>
                <w:rFonts w:hint="eastAsia" w:hAnsi="宋体" w:cs="宋体"/>
                <w:b/>
                <w:bCs/>
                <w:sz w:val="24"/>
                <w:szCs w:val="24"/>
                <w:highlight w:val="none"/>
                <w:lang w:val="en-US" w:eastAsia="zh-CN"/>
              </w:rPr>
              <w:t>4</w:t>
            </w:r>
          </w:p>
        </w:tc>
        <w:tc>
          <w:tcPr>
            <w:tcW w:w="8546" w:type="dxa"/>
            <w:vAlign w:val="center"/>
          </w:tcPr>
          <w:p>
            <w:pPr>
              <w:spacing w:line="360" w:lineRule="auto"/>
              <w:rPr>
                <w:rFonts w:hint="default" w:hAnsi="宋体" w:cs="宋体"/>
                <w:b/>
                <w:bCs/>
                <w:sz w:val="24"/>
                <w:szCs w:val="24"/>
                <w:highlight w:val="none"/>
                <w:lang w:val="en-US" w:eastAsia="zh-CN"/>
              </w:rPr>
            </w:pPr>
            <w:r>
              <w:rPr>
                <w:rFonts w:hint="eastAsia" w:hAnsi="宋体" w:cs="宋体"/>
                <w:b/>
                <w:bCs/>
                <w:sz w:val="24"/>
                <w:szCs w:val="24"/>
                <w:highlight w:val="none"/>
              </w:rPr>
              <w:t>服务</w:t>
            </w:r>
            <w:r>
              <w:rPr>
                <w:rFonts w:hint="eastAsia" w:hAnsi="宋体" w:cs="宋体"/>
                <w:b/>
                <w:bCs/>
                <w:sz w:val="24"/>
                <w:szCs w:val="24"/>
                <w:highlight w:val="none"/>
                <w:lang w:eastAsia="zh-CN"/>
              </w:rPr>
              <w:t>区域：</w:t>
            </w:r>
            <w:r>
              <w:rPr>
                <w:rFonts w:hint="eastAsia" w:hAnsi="宋体" w:cs="宋体"/>
                <w:b/>
                <w:bCs/>
                <w:sz w:val="24"/>
                <w:szCs w:val="24"/>
                <w:highlight w:val="none"/>
                <w:lang w:val="en-US" w:eastAsia="zh-CN"/>
              </w:rPr>
              <w:t>招标人指定地点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2" w:hRule="atLeast"/>
        </w:trPr>
        <w:tc>
          <w:tcPr>
            <w:tcW w:w="865" w:type="dxa"/>
            <w:vAlign w:val="center"/>
          </w:tcPr>
          <w:p>
            <w:pPr>
              <w:spacing w:line="360" w:lineRule="auto"/>
              <w:jc w:val="center"/>
              <w:rPr>
                <w:rFonts w:hint="eastAsia" w:hAnsi="宋体" w:eastAsia="宋体" w:cs="宋体"/>
                <w:sz w:val="24"/>
                <w:szCs w:val="24"/>
                <w:highlight w:val="none"/>
                <w:lang w:eastAsia="zh-CN"/>
              </w:rPr>
            </w:pPr>
            <w:r>
              <w:rPr>
                <w:rFonts w:hint="eastAsia" w:hAnsi="宋体" w:cs="宋体"/>
                <w:sz w:val="24"/>
                <w:szCs w:val="24"/>
                <w:highlight w:val="none"/>
                <w:lang w:val="en-US" w:eastAsia="zh-CN"/>
              </w:rPr>
              <w:t>5</w:t>
            </w:r>
          </w:p>
        </w:tc>
        <w:tc>
          <w:tcPr>
            <w:tcW w:w="8546" w:type="dxa"/>
            <w:vAlign w:val="center"/>
          </w:tcPr>
          <w:p>
            <w:pPr>
              <w:spacing w:line="360" w:lineRule="auto"/>
              <w:rPr>
                <w:rFonts w:hAnsi="宋体" w:cs="宋体"/>
                <w:b/>
                <w:sz w:val="24"/>
                <w:szCs w:val="24"/>
                <w:highlight w:val="none"/>
              </w:rPr>
            </w:pPr>
            <w:r>
              <w:rPr>
                <w:rFonts w:hint="eastAsia" w:hAnsi="宋体" w:cs="宋体"/>
                <w:b/>
                <w:sz w:val="24"/>
                <w:szCs w:val="24"/>
                <w:highlight w:val="none"/>
              </w:rPr>
              <w:t>付款：</w:t>
            </w:r>
          </w:p>
          <w:p>
            <w:pPr>
              <w:spacing w:line="360" w:lineRule="auto"/>
              <w:rPr>
                <w:rFonts w:hAnsi="宋体" w:cs="宋体"/>
                <w:bCs/>
                <w:sz w:val="24"/>
                <w:szCs w:val="24"/>
                <w:highlight w:val="none"/>
              </w:rPr>
            </w:pPr>
            <w:r>
              <w:rPr>
                <w:rFonts w:hint="eastAsia" w:hAnsi="宋体" w:cs="宋体"/>
                <w:bCs/>
                <w:sz w:val="24"/>
                <w:szCs w:val="24"/>
                <w:highlight w:val="none"/>
              </w:rPr>
              <w:t>1.合同总价即中标价，</w:t>
            </w:r>
            <w:r>
              <w:rPr>
                <w:rFonts w:hint="eastAsia" w:hAnsi="宋体" w:cs="宋体"/>
                <w:bCs/>
                <w:sz w:val="24"/>
                <w:szCs w:val="24"/>
                <w:highlight w:val="none"/>
                <w:lang w:eastAsia="zh-CN"/>
              </w:rPr>
              <w:t>在合同期限内不受市场价变化的影响</w:t>
            </w:r>
            <w:r>
              <w:rPr>
                <w:rFonts w:hint="eastAsia" w:hAnsi="宋体" w:cs="宋体"/>
                <w:bCs/>
                <w:sz w:val="24"/>
                <w:szCs w:val="24"/>
                <w:highlight w:val="none"/>
              </w:rPr>
              <w:t>。</w:t>
            </w:r>
          </w:p>
          <w:p>
            <w:pPr>
              <w:spacing w:line="360" w:lineRule="auto"/>
              <w:rPr>
                <w:rFonts w:hAnsi="宋体" w:cs="宋体"/>
                <w:bCs/>
                <w:sz w:val="24"/>
                <w:szCs w:val="24"/>
                <w:highlight w:val="none"/>
              </w:rPr>
            </w:pPr>
            <w:r>
              <w:rPr>
                <w:rFonts w:hint="eastAsia" w:hAnsi="宋体" w:cs="宋体"/>
                <w:bCs/>
                <w:sz w:val="24"/>
                <w:szCs w:val="24"/>
                <w:highlight w:val="none"/>
              </w:rPr>
              <w:t>2.付款方式和程序：</w:t>
            </w:r>
          </w:p>
          <w:p>
            <w:pPr>
              <w:spacing w:line="360" w:lineRule="auto"/>
              <w:rPr>
                <w:rFonts w:hAnsi="宋体" w:cs="宋体"/>
                <w:bCs/>
                <w:sz w:val="24"/>
                <w:szCs w:val="24"/>
                <w:highlight w:val="none"/>
              </w:rPr>
            </w:pPr>
            <w:r>
              <w:rPr>
                <w:rFonts w:hint="eastAsia" w:hAnsi="宋体" w:cs="宋体"/>
                <w:bCs/>
                <w:sz w:val="24"/>
                <w:szCs w:val="24"/>
                <w:highlight w:val="none"/>
              </w:rPr>
              <w:t>2.1由</w:t>
            </w:r>
            <w:r>
              <w:rPr>
                <w:rFonts w:hint="eastAsia" w:hAnsi="宋体" w:cs="宋体"/>
                <w:bCs/>
                <w:sz w:val="24"/>
                <w:szCs w:val="24"/>
                <w:highlight w:val="none"/>
                <w:lang w:val="en-US" w:eastAsia="zh-CN"/>
              </w:rPr>
              <w:t>招标人</w:t>
            </w:r>
            <w:r>
              <w:rPr>
                <w:rFonts w:hint="eastAsia" w:hAnsi="宋体" w:cs="宋体"/>
                <w:bCs/>
                <w:sz w:val="24"/>
                <w:szCs w:val="24"/>
                <w:highlight w:val="none"/>
              </w:rPr>
              <w:t>负责结算，在付款前，投标人必须开具全额发票给采购人（附详细清单）。</w:t>
            </w:r>
          </w:p>
          <w:p>
            <w:pPr>
              <w:spacing w:line="360" w:lineRule="auto"/>
              <w:rPr>
                <w:rFonts w:hAnsi="宋体" w:cs="宋体"/>
                <w:b/>
                <w:sz w:val="24"/>
                <w:szCs w:val="24"/>
                <w:highlight w:val="none"/>
              </w:rPr>
            </w:pPr>
            <w:r>
              <w:rPr>
                <w:rFonts w:hint="eastAsia" w:hAnsi="宋体" w:cs="宋体"/>
                <w:b/>
                <w:sz w:val="24"/>
                <w:szCs w:val="24"/>
                <w:highlight w:val="none"/>
              </w:rPr>
              <w:t>2.2付款方式：</w:t>
            </w:r>
          </w:p>
          <w:p>
            <w:pPr>
              <w:spacing w:line="360" w:lineRule="auto"/>
              <w:rPr>
                <w:rFonts w:hAnsi="宋体" w:cs="宋体"/>
                <w:b/>
                <w:bCs/>
                <w:sz w:val="24"/>
                <w:szCs w:val="24"/>
                <w:highlight w:val="none"/>
              </w:rPr>
            </w:pPr>
            <w:r>
              <w:rPr>
                <w:rFonts w:hint="eastAsia" w:hAnsi="宋体" w:cs="宋体"/>
                <w:b/>
                <w:bCs/>
                <w:sz w:val="24"/>
                <w:szCs w:val="24"/>
                <w:highlight w:val="none"/>
              </w:rPr>
              <w:t>（一）结算依据：环卫作业质量标准、工作程序、</w:t>
            </w:r>
            <w:r>
              <w:rPr>
                <w:rFonts w:hint="eastAsia" w:hAnsi="宋体" w:cs="宋体"/>
                <w:b/>
                <w:bCs/>
                <w:sz w:val="24"/>
                <w:szCs w:val="24"/>
                <w:highlight w:val="none"/>
                <w:lang w:eastAsia="zh-CN"/>
              </w:rPr>
              <w:t>考核办法</w:t>
            </w:r>
            <w:r>
              <w:rPr>
                <w:rFonts w:hint="eastAsia" w:hAnsi="宋体" w:cs="宋体"/>
                <w:b/>
                <w:bCs/>
                <w:sz w:val="24"/>
                <w:szCs w:val="24"/>
                <w:highlight w:val="none"/>
              </w:rPr>
              <w:t>，评分结果作为当月付费结算的依据。（考核办法详见附件）</w:t>
            </w:r>
          </w:p>
          <w:p>
            <w:pPr>
              <w:spacing w:line="360" w:lineRule="auto"/>
              <w:rPr>
                <w:rFonts w:hAnsi="宋体" w:cs="宋体"/>
                <w:b/>
                <w:bCs/>
                <w:sz w:val="24"/>
                <w:szCs w:val="24"/>
                <w:highlight w:val="none"/>
              </w:rPr>
            </w:pPr>
            <w:r>
              <w:rPr>
                <w:rFonts w:hint="eastAsia" w:hAnsi="宋体" w:cs="宋体"/>
                <w:b/>
                <w:bCs/>
                <w:sz w:val="24"/>
                <w:szCs w:val="24"/>
                <w:highlight w:val="none"/>
              </w:rPr>
              <w:t>（二）结算方式：按月结算，月基础结算费用=中标价/12个月；按照评估考核结果计算最终月结算费用。</w:t>
            </w:r>
          </w:p>
          <w:p>
            <w:pPr>
              <w:spacing w:line="360" w:lineRule="auto"/>
              <w:rPr>
                <w:rFonts w:hAnsi="宋体" w:cs="宋体"/>
                <w:b/>
                <w:sz w:val="24"/>
                <w:szCs w:val="24"/>
                <w:highlight w:val="none"/>
              </w:rPr>
            </w:pPr>
            <w:r>
              <w:rPr>
                <w:rFonts w:hint="eastAsia" w:hAnsi="宋体" w:cs="宋体"/>
                <w:b/>
                <w:bCs/>
                <w:sz w:val="24"/>
                <w:szCs w:val="24"/>
                <w:highlight w:val="none"/>
              </w:rPr>
              <w:t>（</w:t>
            </w:r>
            <w:r>
              <w:rPr>
                <w:rFonts w:hint="eastAsia" w:hAnsi="宋体" w:cs="宋体"/>
                <w:b/>
                <w:bCs/>
                <w:sz w:val="24"/>
                <w:szCs w:val="24"/>
                <w:highlight w:val="none"/>
                <w:lang w:eastAsia="zh-CN"/>
              </w:rPr>
              <w:t>三</w:t>
            </w:r>
            <w:r>
              <w:rPr>
                <w:rFonts w:hint="eastAsia" w:hAnsi="宋体" w:cs="宋体"/>
                <w:b/>
                <w:bCs/>
                <w:sz w:val="24"/>
                <w:szCs w:val="24"/>
                <w:highlight w:val="none"/>
              </w:rPr>
              <w:t>）乙方对“清扫保洁费用结算单”领取确认后，根据清单金额开具合法的正式发票交</w:t>
            </w:r>
            <w:r>
              <w:rPr>
                <w:rFonts w:hint="eastAsia" w:hAnsi="宋体" w:cs="宋体"/>
                <w:b/>
                <w:bCs/>
                <w:sz w:val="24"/>
                <w:szCs w:val="24"/>
                <w:highlight w:val="none"/>
                <w:lang w:eastAsia="zh-CN"/>
              </w:rPr>
              <w:t>商南县城市管理局</w:t>
            </w:r>
            <w:r>
              <w:rPr>
                <w:rFonts w:hint="eastAsia" w:hAnsi="宋体" w:cs="宋体"/>
                <w:b/>
                <w:bCs/>
                <w:sz w:val="24"/>
                <w:szCs w:val="24"/>
                <w:highlight w:val="none"/>
              </w:rPr>
              <w:t>办理结算手续。甲方以银行转账的方式汇入乙方银行账户。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6" w:hRule="atLeast"/>
        </w:trPr>
        <w:tc>
          <w:tcPr>
            <w:tcW w:w="865" w:type="dxa"/>
            <w:vAlign w:val="center"/>
          </w:tcPr>
          <w:p>
            <w:pPr>
              <w:spacing w:line="360" w:lineRule="auto"/>
              <w:jc w:val="center"/>
              <w:rPr>
                <w:rFonts w:hint="eastAsia" w:hAnsi="宋体" w:eastAsia="宋体" w:cs="宋体"/>
                <w:sz w:val="24"/>
                <w:szCs w:val="24"/>
                <w:highlight w:val="none"/>
                <w:lang w:eastAsia="zh-CN"/>
              </w:rPr>
            </w:pPr>
            <w:r>
              <w:rPr>
                <w:rFonts w:hint="eastAsia" w:hAnsi="宋体" w:cs="宋体"/>
                <w:sz w:val="24"/>
                <w:szCs w:val="24"/>
                <w:highlight w:val="none"/>
                <w:lang w:val="en-US" w:eastAsia="zh-CN"/>
              </w:rPr>
              <w:t>6</w:t>
            </w:r>
          </w:p>
        </w:tc>
        <w:tc>
          <w:tcPr>
            <w:tcW w:w="8546" w:type="dxa"/>
            <w:vAlign w:val="center"/>
          </w:tcPr>
          <w:p>
            <w:pPr>
              <w:spacing w:line="360" w:lineRule="auto"/>
              <w:rPr>
                <w:rFonts w:hAnsi="宋体" w:cs="宋体"/>
                <w:b/>
                <w:sz w:val="24"/>
                <w:szCs w:val="24"/>
                <w:highlight w:val="none"/>
              </w:rPr>
            </w:pPr>
            <w:r>
              <w:rPr>
                <w:rFonts w:hint="eastAsia" w:hAnsi="宋体" w:cs="宋体"/>
                <w:b/>
                <w:sz w:val="24"/>
                <w:szCs w:val="24"/>
                <w:highlight w:val="none"/>
              </w:rPr>
              <w:t>质量保证：</w:t>
            </w:r>
          </w:p>
          <w:p>
            <w:pPr>
              <w:spacing w:line="360" w:lineRule="auto"/>
              <w:rPr>
                <w:rFonts w:hAnsi="宋体" w:cs="宋体"/>
                <w:sz w:val="24"/>
                <w:szCs w:val="24"/>
                <w:highlight w:val="none"/>
              </w:rPr>
            </w:pPr>
            <w:r>
              <w:rPr>
                <w:rFonts w:hint="eastAsia" w:hAnsi="宋体" w:cs="宋体"/>
                <w:sz w:val="24"/>
                <w:szCs w:val="24"/>
                <w:highlight w:val="none"/>
              </w:rPr>
              <w:t>投标人提供的服务必须保证质量可靠，应全面满足招标文件的要求</w:t>
            </w:r>
            <w:r>
              <w:rPr>
                <w:rFonts w:hint="eastAsia" w:hAnsi="宋体" w:cs="宋体"/>
                <w:sz w:val="24"/>
                <w:szCs w:val="24"/>
                <w:highlight w:val="none"/>
                <w:lang w:eastAsia="zh-CN"/>
              </w:rPr>
              <w:t>，</w:t>
            </w:r>
            <w:r>
              <w:rPr>
                <w:rFonts w:hint="eastAsia" w:hAnsi="宋体" w:cs="宋体"/>
                <w:sz w:val="24"/>
                <w:szCs w:val="24"/>
                <w:highlight w:val="none"/>
              </w:rPr>
              <w:t>服从甲方对环境卫生质量的检查监督和考核，每次考核的分值作为当月考核依据。乙方切实采取有效措施保证清扫保洁，质量符合全国文明城市和国家卫生县城的标准要求。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865" w:type="dxa"/>
            <w:vAlign w:val="center"/>
          </w:tcPr>
          <w:p>
            <w:pPr>
              <w:pStyle w:val="14"/>
              <w:spacing w:line="360" w:lineRule="auto"/>
              <w:jc w:val="center"/>
              <w:rPr>
                <w:rFonts w:hint="eastAsia" w:hAnsi="宋体" w:eastAsia="宋体" w:cs="宋体"/>
                <w:kern w:val="0"/>
                <w:sz w:val="24"/>
                <w:szCs w:val="24"/>
                <w:highlight w:val="none"/>
                <w:lang w:eastAsia="zh-CN"/>
              </w:rPr>
            </w:pPr>
            <w:r>
              <w:rPr>
                <w:rFonts w:hint="eastAsia" w:hAnsi="宋体" w:cs="宋体"/>
                <w:b/>
                <w:bCs/>
                <w:kern w:val="0"/>
                <w:sz w:val="24"/>
                <w:szCs w:val="24"/>
                <w:highlight w:val="none"/>
                <w:lang w:val="en-US" w:eastAsia="zh-CN"/>
              </w:rPr>
              <w:t>7</w:t>
            </w:r>
          </w:p>
        </w:tc>
        <w:tc>
          <w:tcPr>
            <w:tcW w:w="8546" w:type="dxa"/>
            <w:vAlign w:val="center"/>
          </w:tcPr>
          <w:p>
            <w:pPr>
              <w:spacing w:line="360" w:lineRule="auto"/>
              <w:rPr>
                <w:rFonts w:hAnsi="宋体" w:cs="宋体"/>
                <w:b/>
                <w:sz w:val="24"/>
                <w:szCs w:val="24"/>
                <w:highlight w:val="none"/>
              </w:rPr>
            </w:pPr>
            <w:r>
              <w:rPr>
                <w:rFonts w:hint="eastAsia" w:hAnsi="宋体" w:cs="宋体"/>
                <w:b/>
                <w:sz w:val="24"/>
                <w:szCs w:val="24"/>
                <w:highlight w:val="none"/>
              </w:rPr>
              <w:t>违约责任：</w:t>
            </w:r>
          </w:p>
          <w:p>
            <w:pPr>
              <w:tabs>
                <w:tab w:val="left" w:pos="152"/>
              </w:tabs>
              <w:spacing w:line="360" w:lineRule="auto"/>
              <w:ind w:firstLine="480" w:firstLineChars="200"/>
              <w:rPr>
                <w:rFonts w:hAnsi="宋体" w:cs="宋体"/>
                <w:sz w:val="24"/>
                <w:szCs w:val="24"/>
                <w:highlight w:val="none"/>
              </w:rPr>
            </w:pPr>
            <w:r>
              <w:rPr>
                <w:rFonts w:hint="eastAsia" w:hAnsi="宋体" w:cs="宋体"/>
                <w:sz w:val="24"/>
                <w:szCs w:val="24"/>
                <w:highlight w:val="none"/>
              </w:rPr>
              <w:t>1、按《</w:t>
            </w:r>
            <w:r>
              <w:rPr>
                <w:rFonts w:hint="eastAsia" w:hAnsi="宋体" w:cs="宋体"/>
                <w:sz w:val="24"/>
                <w:szCs w:val="24"/>
                <w:highlight w:val="none"/>
                <w:lang w:val="en-US" w:eastAsia="zh-CN"/>
              </w:rPr>
              <w:t>民法典</w:t>
            </w:r>
            <w:r>
              <w:rPr>
                <w:rFonts w:hint="eastAsia" w:hAnsi="宋体" w:cs="宋体"/>
                <w:sz w:val="24"/>
                <w:szCs w:val="24"/>
                <w:highlight w:val="none"/>
              </w:rPr>
              <w:t>》中的相关条款执行。</w:t>
            </w:r>
          </w:p>
          <w:p>
            <w:pPr>
              <w:tabs>
                <w:tab w:val="left" w:pos="152"/>
              </w:tabs>
              <w:spacing w:line="360" w:lineRule="auto"/>
              <w:ind w:firstLine="480" w:firstLineChars="200"/>
              <w:rPr>
                <w:rFonts w:hAnsi="宋体" w:cs="宋体"/>
                <w:sz w:val="24"/>
                <w:szCs w:val="24"/>
                <w:highlight w:val="none"/>
              </w:rPr>
            </w:pPr>
            <w:r>
              <w:rPr>
                <w:rFonts w:hint="eastAsia" w:hAnsi="宋体" w:cs="宋体"/>
                <w:sz w:val="24"/>
                <w:szCs w:val="24"/>
                <w:highlight w:val="none"/>
              </w:rPr>
              <w:t>2、未按合同要求提供服务或服务不能满足合同要求，采购人应当将服务商违约的情况以及拟采取的措施以书面形式报政府采购监管部门，根据政府采购监管部门的处理意见，采购人有权依据《</w:t>
            </w:r>
            <w:r>
              <w:rPr>
                <w:rFonts w:hint="eastAsia" w:hAnsi="宋体" w:cs="宋体"/>
                <w:sz w:val="24"/>
                <w:szCs w:val="24"/>
                <w:highlight w:val="none"/>
                <w:lang w:val="en-US" w:eastAsia="zh-CN"/>
              </w:rPr>
              <w:t>民法典</w:t>
            </w:r>
            <w:r>
              <w:rPr>
                <w:rFonts w:hint="eastAsia" w:hAnsi="宋体" w:cs="宋体"/>
                <w:sz w:val="24"/>
                <w:szCs w:val="24"/>
                <w:highlight w:val="none"/>
              </w:rPr>
              <w:t>》有关条款及合同约定终止合同，并要求服务商承担违约责任。同时，政府采购监管部门有权依据《政府采购法》及相关法律法规对服务商的违法行为进行相应的处罚。</w:t>
            </w:r>
          </w:p>
        </w:tc>
      </w:tr>
      <w:bookmarkEnd w:id="47"/>
      <w:bookmarkEnd w:id="48"/>
      <w:bookmarkEnd w:id="49"/>
      <w:bookmarkEnd w:id="50"/>
      <w:bookmarkEnd w:id="51"/>
    </w:tbl>
    <w:p>
      <w:pPr>
        <w:jc w:val="center"/>
        <w:rPr>
          <w:rFonts w:hAnsi="宋体" w:cs="宋体"/>
          <w:b/>
          <w:sz w:val="44"/>
          <w:szCs w:val="44"/>
          <w:highlight w:val="none"/>
        </w:rPr>
      </w:pPr>
    </w:p>
    <w:p>
      <w:pPr>
        <w:jc w:val="center"/>
        <w:rPr>
          <w:rFonts w:hAnsi="宋体" w:cs="宋体"/>
          <w:b/>
          <w:sz w:val="44"/>
          <w:szCs w:val="44"/>
          <w:highlight w:val="none"/>
        </w:rPr>
      </w:pPr>
    </w:p>
    <w:p>
      <w:pPr>
        <w:jc w:val="center"/>
        <w:rPr>
          <w:rFonts w:hAnsi="宋体" w:cs="宋体"/>
          <w:b/>
          <w:sz w:val="44"/>
          <w:szCs w:val="44"/>
          <w:highlight w:val="none"/>
        </w:rPr>
      </w:pPr>
    </w:p>
    <w:p>
      <w:pPr>
        <w:jc w:val="center"/>
        <w:rPr>
          <w:rFonts w:hAnsi="宋体" w:cs="宋体"/>
          <w:b/>
          <w:sz w:val="44"/>
          <w:szCs w:val="44"/>
          <w:highlight w:val="none"/>
        </w:rPr>
      </w:pPr>
    </w:p>
    <w:p>
      <w:pPr>
        <w:rPr>
          <w:rFonts w:hAnsi="宋体" w:cs="宋体"/>
          <w:b/>
          <w:sz w:val="44"/>
          <w:szCs w:val="44"/>
          <w:highlight w:val="none"/>
        </w:rPr>
      </w:pPr>
    </w:p>
    <w:p>
      <w:pPr>
        <w:rPr>
          <w:rFonts w:hAnsi="宋体" w:cs="宋体"/>
          <w:b/>
          <w:sz w:val="44"/>
          <w:szCs w:val="44"/>
          <w:highlight w:val="none"/>
        </w:rPr>
      </w:pPr>
    </w:p>
    <w:p>
      <w:pPr>
        <w:rPr>
          <w:rFonts w:hAnsi="宋体" w:cs="宋体"/>
          <w:b/>
          <w:sz w:val="44"/>
          <w:szCs w:val="44"/>
          <w:highlight w:val="none"/>
        </w:rPr>
      </w:pPr>
    </w:p>
    <w:p>
      <w:pPr>
        <w:rPr>
          <w:rFonts w:hAnsi="宋体" w:cs="宋体"/>
          <w:b/>
          <w:sz w:val="44"/>
          <w:szCs w:val="44"/>
          <w:highlight w:val="none"/>
        </w:rPr>
      </w:pPr>
      <w:r>
        <w:rPr>
          <w:rFonts w:hint="eastAsia" w:hAnsi="宋体" w:cs="宋体"/>
          <w:b/>
          <w:sz w:val="44"/>
          <w:szCs w:val="44"/>
          <w:highlight w:val="none"/>
        </w:rPr>
        <w:br w:type="page"/>
      </w:r>
    </w:p>
    <w:p>
      <w:pPr>
        <w:bidi w:val="0"/>
        <w:rPr>
          <w:highlight w:val="none"/>
        </w:rPr>
      </w:pPr>
    </w:p>
    <w:p>
      <w:pPr>
        <w:jc w:val="center"/>
        <w:rPr>
          <w:rFonts w:hAnsi="宋体" w:cs="宋体"/>
          <w:b/>
          <w:sz w:val="44"/>
          <w:szCs w:val="44"/>
          <w:highlight w:val="none"/>
        </w:rPr>
      </w:pPr>
    </w:p>
    <w:p>
      <w:pPr>
        <w:jc w:val="center"/>
        <w:rPr>
          <w:rFonts w:hAnsi="宋体" w:cs="宋体"/>
          <w:b/>
          <w:sz w:val="44"/>
          <w:szCs w:val="44"/>
          <w:highlight w:val="none"/>
        </w:rPr>
      </w:pPr>
    </w:p>
    <w:p>
      <w:pPr>
        <w:jc w:val="center"/>
        <w:rPr>
          <w:rFonts w:hint="eastAsia" w:eastAsia="宋体"/>
          <w:b/>
          <w:sz w:val="48"/>
          <w:szCs w:val="48"/>
          <w:highlight w:val="none"/>
          <w:lang w:eastAsia="zh-CN"/>
        </w:rPr>
      </w:pPr>
      <w:r>
        <w:rPr>
          <w:rFonts w:hint="eastAsia" w:hAnsi="宋体" w:cs="宋体"/>
          <w:b/>
          <w:sz w:val="44"/>
          <w:szCs w:val="44"/>
          <w:highlight w:val="none"/>
          <w:lang w:eastAsia="zh-CN"/>
        </w:rPr>
        <w:t>商南县城区环卫市场化运营项目</w:t>
      </w:r>
    </w:p>
    <w:p>
      <w:pPr>
        <w:jc w:val="center"/>
        <w:rPr>
          <w:b/>
          <w:sz w:val="48"/>
          <w:szCs w:val="48"/>
          <w:highlight w:val="none"/>
        </w:rPr>
      </w:pPr>
      <w:r>
        <w:rPr>
          <w:rFonts w:hint="eastAsia"/>
          <w:b/>
          <w:sz w:val="48"/>
          <w:szCs w:val="48"/>
          <w:highlight w:val="none"/>
          <w:lang w:eastAsia="zh-CN"/>
        </w:rPr>
        <w:t>服</w:t>
      </w:r>
      <w:r>
        <w:rPr>
          <w:rFonts w:hint="eastAsia"/>
          <w:b/>
          <w:sz w:val="48"/>
          <w:szCs w:val="48"/>
          <w:highlight w:val="none"/>
          <w:lang w:val="en-US" w:eastAsia="zh-CN"/>
        </w:rPr>
        <w:t xml:space="preserve"> </w:t>
      </w:r>
      <w:r>
        <w:rPr>
          <w:rFonts w:hint="eastAsia"/>
          <w:b/>
          <w:sz w:val="48"/>
          <w:szCs w:val="48"/>
          <w:highlight w:val="none"/>
          <w:lang w:eastAsia="zh-CN"/>
        </w:rPr>
        <w:t>务</w:t>
      </w:r>
      <w:r>
        <w:rPr>
          <w:rFonts w:hint="eastAsia"/>
          <w:b/>
          <w:sz w:val="48"/>
          <w:szCs w:val="48"/>
          <w:highlight w:val="none"/>
        </w:rPr>
        <w:t xml:space="preserve"> 合 同</w:t>
      </w:r>
    </w:p>
    <w:p>
      <w:pPr>
        <w:ind w:firstLine="2940" w:firstLineChars="1050"/>
        <w:rPr>
          <w:sz w:val="28"/>
          <w:szCs w:val="28"/>
          <w:highlight w:val="none"/>
        </w:rPr>
      </w:pPr>
    </w:p>
    <w:p>
      <w:pPr>
        <w:ind w:firstLine="2940" w:firstLineChars="1050"/>
        <w:rPr>
          <w:sz w:val="28"/>
          <w:szCs w:val="28"/>
          <w:highlight w:val="none"/>
        </w:rPr>
      </w:pPr>
    </w:p>
    <w:p>
      <w:pPr>
        <w:ind w:firstLine="2940" w:firstLineChars="1050"/>
        <w:rPr>
          <w:sz w:val="28"/>
          <w:szCs w:val="28"/>
          <w:highlight w:val="none"/>
        </w:rPr>
      </w:pPr>
    </w:p>
    <w:p>
      <w:pPr>
        <w:ind w:firstLine="2940" w:firstLineChars="1050"/>
        <w:rPr>
          <w:sz w:val="28"/>
          <w:szCs w:val="28"/>
          <w:highlight w:val="none"/>
        </w:rPr>
      </w:pPr>
    </w:p>
    <w:p>
      <w:pPr>
        <w:ind w:firstLine="2940" w:firstLineChars="1050"/>
        <w:rPr>
          <w:sz w:val="28"/>
          <w:szCs w:val="28"/>
          <w:highlight w:val="none"/>
        </w:rPr>
      </w:pPr>
      <w:r>
        <w:rPr>
          <w:rFonts w:hint="eastAsia"/>
          <w:sz w:val="28"/>
          <w:szCs w:val="28"/>
          <w:highlight w:val="none"/>
        </w:rPr>
        <w:t>合同编号：</w:t>
      </w:r>
    </w:p>
    <w:p>
      <w:pPr>
        <w:jc w:val="center"/>
        <w:rPr>
          <w:b/>
          <w:sz w:val="44"/>
          <w:szCs w:val="44"/>
          <w:highlight w:val="none"/>
        </w:rPr>
      </w:pPr>
    </w:p>
    <w:p>
      <w:pPr>
        <w:jc w:val="center"/>
        <w:rPr>
          <w:b/>
          <w:sz w:val="44"/>
          <w:szCs w:val="44"/>
          <w:highlight w:val="none"/>
        </w:rPr>
      </w:pPr>
    </w:p>
    <w:p>
      <w:pPr>
        <w:jc w:val="center"/>
        <w:rPr>
          <w:b/>
          <w:sz w:val="44"/>
          <w:szCs w:val="44"/>
          <w:highlight w:val="none"/>
        </w:rPr>
      </w:pPr>
    </w:p>
    <w:p>
      <w:pPr>
        <w:jc w:val="left"/>
        <w:rPr>
          <w:b/>
          <w:sz w:val="44"/>
          <w:szCs w:val="44"/>
          <w:highlight w:val="none"/>
        </w:rPr>
      </w:pPr>
    </w:p>
    <w:p>
      <w:pPr>
        <w:ind w:firstLine="1100" w:firstLineChars="249"/>
        <w:rPr>
          <w:b/>
          <w:sz w:val="44"/>
          <w:szCs w:val="44"/>
          <w:highlight w:val="none"/>
        </w:rPr>
      </w:pPr>
    </w:p>
    <w:p>
      <w:pPr>
        <w:ind w:firstLine="2530" w:firstLineChars="900"/>
        <w:jc w:val="left"/>
        <w:rPr>
          <w:b/>
          <w:sz w:val="28"/>
          <w:szCs w:val="28"/>
          <w:highlight w:val="none"/>
          <w:u w:val="single"/>
        </w:rPr>
      </w:pPr>
      <w:r>
        <w:rPr>
          <w:rFonts w:hint="eastAsia"/>
          <w:b/>
          <w:sz w:val="28"/>
          <w:szCs w:val="28"/>
          <w:highlight w:val="none"/>
        </w:rPr>
        <w:t>甲 方：</w:t>
      </w:r>
      <w:r>
        <w:rPr>
          <w:rFonts w:hint="eastAsia"/>
          <w:b/>
          <w:sz w:val="28"/>
          <w:szCs w:val="28"/>
          <w:highlight w:val="none"/>
          <w:u w:val="single"/>
        </w:rPr>
        <w:t xml:space="preserve">                     </w:t>
      </w:r>
    </w:p>
    <w:p>
      <w:pPr>
        <w:ind w:firstLine="2530" w:firstLineChars="900"/>
        <w:rPr>
          <w:b/>
          <w:sz w:val="28"/>
          <w:szCs w:val="28"/>
          <w:highlight w:val="none"/>
          <w:u w:val="single"/>
        </w:rPr>
      </w:pPr>
      <w:r>
        <w:rPr>
          <w:rFonts w:hint="eastAsia"/>
          <w:b/>
          <w:sz w:val="28"/>
          <w:szCs w:val="28"/>
          <w:highlight w:val="none"/>
        </w:rPr>
        <w:t>乙 方：</w:t>
      </w:r>
      <w:r>
        <w:rPr>
          <w:rFonts w:hint="eastAsia"/>
          <w:sz w:val="28"/>
          <w:szCs w:val="28"/>
          <w:highlight w:val="none"/>
          <w:u w:val="single"/>
        </w:rPr>
        <w:t xml:space="preserve">                     </w:t>
      </w:r>
    </w:p>
    <w:p>
      <w:pPr>
        <w:rPr>
          <w:sz w:val="32"/>
          <w:szCs w:val="32"/>
          <w:highlight w:val="none"/>
          <w:u w:val="single"/>
        </w:rPr>
      </w:pPr>
    </w:p>
    <w:p>
      <w:pPr>
        <w:pStyle w:val="2"/>
        <w:rPr>
          <w:sz w:val="32"/>
          <w:szCs w:val="32"/>
          <w:highlight w:val="none"/>
          <w:u w:val="single"/>
        </w:rPr>
      </w:pPr>
    </w:p>
    <w:p>
      <w:pPr>
        <w:rPr>
          <w:sz w:val="32"/>
          <w:szCs w:val="32"/>
          <w:highlight w:val="none"/>
          <w:u w:val="single"/>
        </w:rPr>
      </w:pPr>
    </w:p>
    <w:p>
      <w:pPr>
        <w:pStyle w:val="2"/>
        <w:spacing w:line="360" w:lineRule="auto"/>
        <w:rPr>
          <w:sz w:val="32"/>
          <w:szCs w:val="32"/>
          <w:highlight w:val="none"/>
          <w:u w:val="single"/>
        </w:rPr>
      </w:pPr>
    </w:p>
    <w:p>
      <w:pPr>
        <w:spacing w:line="360" w:lineRule="auto"/>
        <w:ind w:firstLine="723" w:firstLineChars="200"/>
        <w:jc w:val="center"/>
        <w:rPr>
          <w:highlight w:val="none"/>
        </w:rPr>
      </w:pPr>
      <w:r>
        <w:rPr>
          <w:rFonts w:hint="eastAsia" w:hAnsi="宋体" w:cs="宋体"/>
          <w:b/>
          <w:bCs/>
          <w:sz w:val="36"/>
          <w:szCs w:val="36"/>
          <w:highlight w:val="none"/>
        </w:rPr>
        <w:t>协议书</w:t>
      </w:r>
    </w:p>
    <w:p>
      <w:pPr>
        <w:spacing w:line="360" w:lineRule="auto"/>
        <w:ind w:firstLine="480" w:firstLineChars="200"/>
        <w:rPr>
          <w:highlight w:val="none"/>
        </w:rPr>
      </w:pPr>
      <w:r>
        <w:rPr>
          <w:rFonts w:hint="eastAsia"/>
          <w:highlight w:val="none"/>
        </w:rPr>
        <w:t>甲方：</w:t>
      </w:r>
      <w:r>
        <w:rPr>
          <w:rFonts w:hint="eastAsia"/>
          <w:highlight w:val="none"/>
          <w:lang w:eastAsia="zh-CN"/>
        </w:rPr>
        <w:t>商南县城市管理局</w:t>
      </w:r>
      <w:r>
        <w:rPr>
          <w:rFonts w:hint="eastAsia"/>
          <w:highlight w:val="none"/>
        </w:rPr>
        <w:t>，其注册登记地址为：</w:t>
      </w:r>
      <w:r>
        <w:rPr>
          <w:rFonts w:hint="eastAsia"/>
          <w:highlight w:val="none"/>
          <w:u w:val="single"/>
        </w:rPr>
        <w:t xml:space="preserve">                      </w:t>
      </w:r>
      <w:r>
        <w:rPr>
          <w:rFonts w:hint="eastAsia"/>
          <w:highlight w:val="none"/>
        </w:rPr>
        <w:t>，法定代表人为：</w:t>
      </w:r>
      <w:r>
        <w:rPr>
          <w:rFonts w:hint="eastAsia"/>
          <w:highlight w:val="none"/>
          <w:u w:val="single"/>
        </w:rPr>
        <w:t xml:space="preserve">         </w:t>
      </w:r>
      <w:r>
        <w:rPr>
          <w:rFonts w:hint="eastAsia"/>
          <w:highlight w:val="none"/>
        </w:rPr>
        <w:t>。</w:t>
      </w:r>
    </w:p>
    <w:p>
      <w:pPr>
        <w:spacing w:line="360" w:lineRule="auto"/>
        <w:rPr>
          <w:highlight w:val="none"/>
        </w:rPr>
      </w:pPr>
      <w:r>
        <w:rPr>
          <w:rFonts w:hint="eastAsia"/>
          <w:highlight w:val="none"/>
        </w:rPr>
        <w:t xml:space="preserve">    乙方：</w:t>
      </w:r>
      <w:r>
        <w:rPr>
          <w:rFonts w:hint="eastAsia"/>
          <w:highlight w:val="none"/>
          <w:u w:val="single"/>
        </w:rPr>
        <w:t xml:space="preserve">                    </w:t>
      </w:r>
      <w:r>
        <w:rPr>
          <w:rFonts w:hint="eastAsia"/>
          <w:highlight w:val="none"/>
        </w:rPr>
        <w:t>，其注册登记地址为：</w:t>
      </w:r>
      <w:r>
        <w:rPr>
          <w:rFonts w:hint="eastAsia"/>
          <w:highlight w:val="none"/>
          <w:u w:val="single"/>
        </w:rPr>
        <w:t xml:space="preserve">                ，</w:t>
      </w:r>
      <w:r>
        <w:rPr>
          <w:rFonts w:hint="eastAsia"/>
          <w:highlight w:val="none"/>
        </w:rPr>
        <w:t>法定代表人为：</w:t>
      </w:r>
      <w:r>
        <w:rPr>
          <w:rFonts w:hint="eastAsia"/>
          <w:highlight w:val="none"/>
          <w:u w:val="single"/>
        </w:rPr>
        <w:t xml:space="preserve">        </w:t>
      </w:r>
      <w:r>
        <w:rPr>
          <w:rFonts w:hint="eastAsia"/>
          <w:highlight w:val="none"/>
        </w:rPr>
        <w:t xml:space="preserve">。 </w:t>
      </w:r>
    </w:p>
    <w:p>
      <w:pPr>
        <w:spacing w:line="360" w:lineRule="auto"/>
        <w:ind w:firstLine="480" w:firstLineChars="200"/>
        <w:rPr>
          <w:highlight w:val="none"/>
          <w:u w:val="single"/>
        </w:rPr>
      </w:pPr>
      <w:r>
        <w:rPr>
          <w:rFonts w:hint="eastAsia"/>
          <w:highlight w:val="none"/>
        </w:rPr>
        <w:t>甲、乙双方基于公平、公正、平等的原则，依据《中华人民共和国</w:t>
      </w:r>
      <w:r>
        <w:rPr>
          <w:rFonts w:hint="eastAsia"/>
          <w:highlight w:val="none"/>
          <w:lang w:val="en-US" w:eastAsia="zh-CN"/>
        </w:rPr>
        <w:t>民法典</w:t>
      </w:r>
      <w:r>
        <w:rPr>
          <w:rFonts w:hint="eastAsia"/>
          <w:highlight w:val="none"/>
        </w:rPr>
        <w:t>》、《中华人民共和国民法通则》之相关规定，现经甲、乙双方友好协商，就甲方购买乙方服务事宜，达成以下合同条款：</w:t>
      </w:r>
    </w:p>
    <w:p>
      <w:pPr>
        <w:spacing w:line="360" w:lineRule="auto"/>
        <w:jc w:val="center"/>
        <w:outlineLvl w:val="9"/>
        <w:rPr>
          <w:rFonts w:hint="eastAsia" w:ascii="Times New Roman" w:hAnsi="Times New Roman" w:eastAsia="宋体" w:cs="Times New Roman"/>
          <w:b/>
          <w:bCs/>
          <w:kern w:val="2"/>
          <w:sz w:val="24"/>
          <w:szCs w:val="22"/>
          <w:highlight w:val="none"/>
          <w:lang w:val="en-US" w:eastAsia="zh-CN" w:bidi="ar-SA"/>
        </w:rPr>
      </w:pPr>
      <w:r>
        <w:rPr>
          <w:rFonts w:hint="eastAsia" w:ascii="Times New Roman" w:hAnsi="Times New Roman" w:eastAsia="宋体" w:cs="Times New Roman"/>
          <w:b/>
          <w:bCs/>
          <w:kern w:val="2"/>
          <w:sz w:val="24"/>
          <w:szCs w:val="22"/>
          <w:highlight w:val="none"/>
          <w:lang w:val="en-US" w:eastAsia="zh-CN" w:bidi="ar-SA"/>
        </w:rPr>
        <w:t>第一</w:t>
      </w:r>
      <w:r>
        <w:rPr>
          <w:rFonts w:hint="eastAsia" w:ascii="Times New Roman" w:cs="Times New Roman"/>
          <w:b/>
          <w:bCs/>
          <w:kern w:val="2"/>
          <w:sz w:val="24"/>
          <w:szCs w:val="22"/>
          <w:highlight w:val="none"/>
          <w:lang w:val="en-US" w:eastAsia="zh-CN" w:bidi="ar-SA"/>
        </w:rPr>
        <w:t>节</w:t>
      </w:r>
      <w:r>
        <w:rPr>
          <w:rFonts w:hint="eastAsia" w:ascii="Times New Roman" w:hAnsi="Times New Roman" w:eastAsia="宋体" w:cs="Times New Roman"/>
          <w:b/>
          <w:bCs/>
          <w:kern w:val="2"/>
          <w:sz w:val="24"/>
          <w:szCs w:val="22"/>
          <w:highlight w:val="none"/>
          <w:lang w:val="en-US" w:eastAsia="zh-CN" w:bidi="ar-SA"/>
        </w:rPr>
        <w:t xml:space="preserve">  总则</w:t>
      </w:r>
    </w:p>
    <w:p>
      <w:pPr>
        <w:spacing w:line="360" w:lineRule="auto"/>
        <w:ind w:firstLine="482" w:firstLineChars="200"/>
        <w:rPr>
          <w:highlight w:val="none"/>
        </w:rPr>
      </w:pPr>
      <w:r>
        <w:rPr>
          <w:rFonts w:hint="eastAsia"/>
          <w:b/>
          <w:bCs/>
          <w:highlight w:val="none"/>
        </w:rPr>
        <w:t>第一条</w:t>
      </w:r>
      <w:r>
        <w:rPr>
          <w:rFonts w:hint="eastAsia"/>
          <w:highlight w:val="none"/>
        </w:rPr>
        <w:t xml:space="preserve">  </w:t>
      </w:r>
      <w:r>
        <w:rPr>
          <w:rFonts w:hint="eastAsia"/>
          <w:highlight w:val="none"/>
          <w:lang w:eastAsia="zh-CN"/>
        </w:rPr>
        <w:t>商南县城区环卫市场化运营项目</w:t>
      </w:r>
      <w:r>
        <w:rPr>
          <w:rFonts w:hint="eastAsia"/>
          <w:highlight w:val="none"/>
        </w:rPr>
        <w:t>依法实行招标，通过公开招标，选定中标者，并以合同形式确定运营方。</w:t>
      </w:r>
    </w:p>
    <w:p>
      <w:pPr>
        <w:spacing w:line="360" w:lineRule="auto"/>
        <w:ind w:firstLine="482" w:firstLineChars="200"/>
        <w:rPr>
          <w:highlight w:val="none"/>
        </w:rPr>
      </w:pPr>
      <w:r>
        <w:rPr>
          <w:rFonts w:hint="eastAsia"/>
          <w:b/>
          <w:bCs/>
          <w:highlight w:val="none"/>
        </w:rPr>
        <w:t xml:space="preserve">第二条  </w:t>
      </w:r>
      <w:r>
        <w:rPr>
          <w:rFonts w:hint="eastAsia"/>
          <w:highlight w:val="none"/>
        </w:rPr>
        <w:t>运营</w:t>
      </w:r>
      <w:r>
        <w:rPr>
          <w:rFonts w:hint="eastAsia"/>
          <w:highlight w:val="none"/>
          <w:lang w:val="en-US" w:eastAsia="zh-CN"/>
        </w:rPr>
        <w:t>期间</w:t>
      </w:r>
      <w:r>
        <w:rPr>
          <w:rFonts w:hint="eastAsia"/>
          <w:highlight w:val="none"/>
        </w:rPr>
        <w:t>，</w:t>
      </w:r>
      <w:r>
        <w:rPr>
          <w:highlight w:val="none"/>
        </w:rPr>
        <w:t>运</w:t>
      </w:r>
      <w:r>
        <w:rPr>
          <w:rFonts w:hint="eastAsia"/>
          <w:highlight w:val="none"/>
        </w:rPr>
        <w:t>营</w:t>
      </w:r>
      <w:r>
        <w:rPr>
          <w:highlight w:val="none"/>
        </w:rPr>
        <w:t>方应当有固定的办公场所、健全的管理机构及相关环卫设备</w:t>
      </w:r>
      <w:r>
        <w:rPr>
          <w:rFonts w:hint="eastAsia"/>
          <w:highlight w:val="none"/>
        </w:rPr>
        <w:t>，</w:t>
      </w:r>
      <w:r>
        <w:rPr>
          <w:highlight w:val="none"/>
        </w:rPr>
        <w:t>并照章</w:t>
      </w:r>
      <w:r>
        <w:rPr>
          <w:szCs w:val="22"/>
          <w:highlight w:val="none"/>
        </w:rPr>
        <w:t>纳税、自</w:t>
      </w:r>
      <w:r>
        <w:rPr>
          <w:highlight w:val="none"/>
        </w:rPr>
        <w:t>主经营、自负盈亏</w:t>
      </w:r>
      <w:r>
        <w:rPr>
          <w:rFonts w:hint="eastAsia"/>
          <w:highlight w:val="none"/>
        </w:rPr>
        <w:t>。</w:t>
      </w:r>
    </w:p>
    <w:p>
      <w:pPr>
        <w:spacing w:line="360" w:lineRule="auto"/>
        <w:ind w:firstLine="482" w:firstLineChars="200"/>
        <w:rPr>
          <w:highlight w:val="none"/>
        </w:rPr>
      </w:pPr>
      <w:r>
        <w:rPr>
          <w:rFonts w:hint="eastAsia"/>
          <w:b/>
          <w:bCs/>
          <w:highlight w:val="none"/>
        </w:rPr>
        <w:t xml:space="preserve">第三条  </w:t>
      </w:r>
      <w:r>
        <w:rPr>
          <w:highlight w:val="none"/>
        </w:rPr>
        <w:t>运营方在</w:t>
      </w:r>
      <w:r>
        <w:rPr>
          <w:rFonts w:hint="eastAsia"/>
          <w:highlight w:val="none"/>
          <w:lang w:val="en-US" w:eastAsia="zh-CN"/>
        </w:rPr>
        <w:t>合同履行</w:t>
      </w:r>
      <w:r>
        <w:rPr>
          <w:highlight w:val="none"/>
        </w:rPr>
        <w:t>期间</w:t>
      </w:r>
      <w:r>
        <w:rPr>
          <w:rFonts w:hint="eastAsia"/>
          <w:highlight w:val="none"/>
        </w:rPr>
        <w:t>，</w:t>
      </w:r>
      <w:r>
        <w:rPr>
          <w:highlight w:val="none"/>
        </w:rPr>
        <w:t>应当严格按照《城区环卫作业托管运营考核办法》做好环卫清扫保洁工作。</w:t>
      </w:r>
    </w:p>
    <w:p>
      <w:pPr>
        <w:spacing w:line="360" w:lineRule="auto"/>
        <w:jc w:val="center"/>
        <w:outlineLvl w:val="9"/>
        <w:rPr>
          <w:highlight w:val="none"/>
        </w:rPr>
      </w:pPr>
      <w:r>
        <w:rPr>
          <w:rFonts w:hint="eastAsia" w:ascii="Times New Roman" w:hAnsi="Times New Roman" w:eastAsia="宋体" w:cs="Times New Roman"/>
          <w:b/>
          <w:bCs/>
          <w:kern w:val="2"/>
          <w:sz w:val="24"/>
          <w:szCs w:val="22"/>
          <w:highlight w:val="none"/>
          <w:lang w:val="en-US" w:eastAsia="zh-CN" w:bidi="ar-SA"/>
        </w:rPr>
        <w:t>第二</w:t>
      </w:r>
      <w:r>
        <w:rPr>
          <w:rFonts w:hint="eastAsia" w:ascii="Times New Roman" w:cs="Times New Roman"/>
          <w:b/>
          <w:bCs/>
          <w:kern w:val="2"/>
          <w:sz w:val="24"/>
          <w:szCs w:val="22"/>
          <w:highlight w:val="none"/>
          <w:lang w:val="en-US" w:eastAsia="zh-CN" w:bidi="ar-SA"/>
        </w:rPr>
        <w:t>节</w:t>
      </w:r>
      <w:r>
        <w:rPr>
          <w:rFonts w:hint="eastAsia" w:ascii="Times New Roman" w:hAnsi="Times New Roman" w:eastAsia="宋体" w:cs="Times New Roman"/>
          <w:b/>
          <w:bCs/>
          <w:kern w:val="2"/>
          <w:sz w:val="24"/>
          <w:szCs w:val="22"/>
          <w:highlight w:val="none"/>
          <w:lang w:val="en-US" w:eastAsia="zh-CN" w:bidi="ar-SA"/>
        </w:rPr>
        <w:t xml:space="preserve">  运营的主要指标</w:t>
      </w:r>
    </w:p>
    <w:p>
      <w:pPr>
        <w:spacing w:line="360" w:lineRule="auto"/>
        <w:ind w:firstLine="482" w:firstLineChars="200"/>
        <w:rPr>
          <w:rFonts w:hint="default" w:eastAsia="宋体"/>
          <w:szCs w:val="22"/>
          <w:highlight w:val="none"/>
          <w:u w:val="single"/>
          <w:lang w:val="en-US" w:eastAsia="zh-CN"/>
        </w:rPr>
      </w:pPr>
      <w:r>
        <w:rPr>
          <w:b/>
          <w:bCs/>
          <w:highlight w:val="none"/>
        </w:rPr>
        <w:t>第四条</w:t>
      </w:r>
      <w:r>
        <w:rPr>
          <w:rFonts w:hint="eastAsia"/>
          <w:highlight w:val="none"/>
        </w:rPr>
        <w:t xml:space="preserve">  </w:t>
      </w:r>
      <w:r>
        <w:rPr>
          <w:rFonts w:hint="eastAsia"/>
          <w:highlight w:val="none"/>
          <w:lang w:val="en-US" w:eastAsia="zh-CN"/>
        </w:rPr>
        <w:t>运营</w:t>
      </w:r>
      <w:r>
        <w:rPr>
          <w:highlight w:val="none"/>
        </w:rPr>
        <w:t>范围</w:t>
      </w:r>
      <w:r>
        <w:rPr>
          <w:rFonts w:hint="eastAsia"/>
          <w:highlight w:val="none"/>
        </w:rPr>
        <w:t>：</w:t>
      </w:r>
      <w:r>
        <w:rPr>
          <w:rFonts w:hint="eastAsia"/>
          <w:highlight w:val="none"/>
          <w:u w:val="single"/>
          <w:lang w:val="en-US" w:eastAsia="zh-CN"/>
        </w:rPr>
        <w:t xml:space="preserve">                 </w:t>
      </w:r>
    </w:p>
    <w:p>
      <w:pPr>
        <w:spacing w:line="360" w:lineRule="auto"/>
        <w:ind w:firstLine="482" w:firstLineChars="200"/>
        <w:rPr>
          <w:highlight w:val="none"/>
        </w:rPr>
      </w:pPr>
      <w:r>
        <w:rPr>
          <w:b/>
          <w:bCs/>
          <w:highlight w:val="none"/>
        </w:rPr>
        <w:t>第五条</w:t>
      </w:r>
      <w:r>
        <w:rPr>
          <w:rFonts w:hint="eastAsia"/>
          <w:b/>
          <w:bCs/>
          <w:highlight w:val="none"/>
        </w:rPr>
        <w:t xml:space="preserve">  </w:t>
      </w:r>
      <w:r>
        <w:rPr>
          <w:rFonts w:hint="eastAsia"/>
          <w:highlight w:val="none"/>
        </w:rPr>
        <w:t>运营</w:t>
      </w:r>
      <w:r>
        <w:rPr>
          <w:highlight w:val="none"/>
        </w:rPr>
        <w:t>费</w:t>
      </w:r>
      <w:r>
        <w:rPr>
          <w:rFonts w:hint="eastAsia"/>
          <w:highlight w:val="none"/>
        </w:rPr>
        <w:t>：中标金额</w:t>
      </w:r>
      <w:r>
        <w:rPr>
          <w:highlight w:val="none"/>
        </w:rPr>
        <w:t>。月实际费用以实际考核确定费用为准。</w:t>
      </w:r>
      <w:r>
        <w:rPr>
          <w:rFonts w:hint="eastAsia"/>
          <w:highlight w:val="none"/>
        </w:rPr>
        <w:t>（</w:t>
      </w:r>
      <w:r>
        <w:rPr>
          <w:highlight w:val="none"/>
        </w:rPr>
        <w:t>运营费用包含</w:t>
      </w:r>
      <w:r>
        <w:rPr>
          <w:rFonts w:hint="eastAsia"/>
          <w:highlight w:val="none"/>
        </w:rPr>
        <w:t>：</w:t>
      </w:r>
      <w:r>
        <w:rPr>
          <w:rFonts w:hint="eastAsia" w:hAnsi="宋体" w:cs="宋体"/>
          <w:szCs w:val="24"/>
          <w:highlight w:val="none"/>
        </w:rPr>
        <w:t>人工费、保洁装备费、机械费、油料费、维修保养费、保险费、应急费、税金等其他一切相关费用。</w:t>
      </w:r>
      <w:r>
        <w:rPr>
          <w:rFonts w:hint="eastAsia"/>
          <w:highlight w:val="none"/>
        </w:rPr>
        <w:t>）</w:t>
      </w:r>
      <w:r>
        <w:rPr>
          <w:highlight w:val="none"/>
        </w:rPr>
        <w:t>。</w:t>
      </w:r>
    </w:p>
    <w:p>
      <w:pPr>
        <w:spacing w:line="360" w:lineRule="auto"/>
        <w:ind w:firstLine="482" w:firstLineChars="200"/>
        <w:rPr>
          <w:rFonts w:hint="eastAsia" w:hAnsi="宋体" w:cs="宋体"/>
          <w:sz w:val="24"/>
          <w:szCs w:val="24"/>
          <w:highlight w:val="none"/>
          <w:lang w:val="en-US" w:eastAsia="zh-CN"/>
        </w:rPr>
      </w:pPr>
      <w:r>
        <w:rPr>
          <w:b/>
          <w:bCs/>
          <w:highlight w:val="none"/>
        </w:rPr>
        <w:t>第六条</w:t>
      </w:r>
      <w:r>
        <w:rPr>
          <w:rFonts w:hint="eastAsia"/>
          <w:b/>
          <w:bCs/>
          <w:highlight w:val="none"/>
        </w:rPr>
        <w:t xml:space="preserve">  </w:t>
      </w:r>
      <w:r>
        <w:rPr>
          <w:rFonts w:hint="eastAsia"/>
          <w:b w:val="0"/>
          <w:bCs w:val="0"/>
          <w:highlight w:val="none"/>
          <w:lang w:val="en-US" w:eastAsia="zh-CN"/>
        </w:rPr>
        <w:t>服务期</w:t>
      </w:r>
      <w:r>
        <w:rPr>
          <w:rFonts w:hint="eastAsia"/>
          <w:b w:val="0"/>
          <w:bCs w:val="0"/>
          <w:highlight w:val="none"/>
          <w:lang w:eastAsia="zh-CN"/>
        </w:rPr>
        <w:t>：</w:t>
      </w:r>
      <w:r>
        <w:rPr>
          <w:rFonts w:hint="eastAsia" w:hAnsi="宋体" w:cs="宋体"/>
          <w:sz w:val="24"/>
          <w:szCs w:val="24"/>
          <w:highlight w:val="none"/>
          <w:lang w:val="en-US" w:eastAsia="zh-CN"/>
        </w:rPr>
        <w:t>三年</w:t>
      </w:r>
    </w:p>
    <w:p>
      <w:pPr>
        <w:spacing w:line="360" w:lineRule="auto"/>
        <w:ind w:firstLine="482" w:firstLineChars="200"/>
        <w:rPr>
          <w:highlight w:val="none"/>
        </w:rPr>
      </w:pPr>
      <w:r>
        <w:rPr>
          <w:b/>
          <w:bCs/>
          <w:highlight w:val="none"/>
        </w:rPr>
        <w:t>第七条</w:t>
      </w:r>
      <w:r>
        <w:rPr>
          <w:rFonts w:hint="eastAsia"/>
          <w:b/>
          <w:bCs/>
          <w:highlight w:val="none"/>
        </w:rPr>
        <w:t xml:space="preserve">  </w:t>
      </w:r>
      <w:r>
        <w:rPr>
          <w:highlight w:val="none"/>
        </w:rPr>
        <w:t>运营方的主要作业内容</w:t>
      </w:r>
      <w:r>
        <w:rPr>
          <w:rFonts w:hint="eastAsia"/>
          <w:highlight w:val="none"/>
        </w:rPr>
        <w:t>：</w:t>
      </w:r>
    </w:p>
    <w:p>
      <w:pPr>
        <w:spacing w:line="360" w:lineRule="auto"/>
        <w:ind w:firstLine="480" w:firstLineChars="200"/>
        <w:rPr>
          <w:rFonts w:hint="eastAsia"/>
          <w:highlight w:val="none"/>
        </w:rPr>
      </w:pPr>
      <w:r>
        <w:rPr>
          <w:rFonts w:hint="eastAsia"/>
          <w:highlight w:val="none"/>
        </w:rPr>
        <w:t>1、作业区域内所有市政道路（含人行道、快慢行车道、公园、花园、广场、绿化带等）的清扫、保洁、洒水、冲洗及垃圾的收集、清运工作（含实行有偿服务的单位及居住区等垃圾清运）。按照市、县清扫要求标准，机械清扫率必须达到80%以上。</w:t>
      </w:r>
    </w:p>
    <w:p>
      <w:pPr>
        <w:spacing w:line="360" w:lineRule="auto"/>
        <w:ind w:firstLine="480" w:firstLineChars="200"/>
        <w:rPr>
          <w:rFonts w:hint="eastAsia"/>
          <w:highlight w:val="none"/>
        </w:rPr>
      </w:pPr>
      <w:r>
        <w:rPr>
          <w:rFonts w:hint="eastAsia"/>
          <w:highlight w:val="none"/>
        </w:rPr>
        <w:t>2、作业区域范围内的道路隔离带及树坑的环卫保洁工作。</w:t>
      </w:r>
    </w:p>
    <w:p>
      <w:pPr>
        <w:spacing w:line="360" w:lineRule="auto"/>
        <w:ind w:firstLine="480" w:firstLineChars="200"/>
        <w:rPr>
          <w:rFonts w:hint="eastAsia"/>
          <w:highlight w:val="none"/>
        </w:rPr>
      </w:pPr>
      <w:r>
        <w:rPr>
          <w:rFonts w:hint="eastAsia"/>
          <w:highlight w:val="none"/>
        </w:rPr>
        <w:t>3、作业区域内果皮箱、垃圾桶的保洁，道路零星散落生活垃圾的收集，座椅、路牌、灯杆等市政设施的保洁，张贴栏及野广告清理等工作。</w:t>
      </w:r>
    </w:p>
    <w:p>
      <w:pPr>
        <w:spacing w:line="360" w:lineRule="auto"/>
        <w:ind w:firstLine="480" w:firstLineChars="200"/>
        <w:rPr>
          <w:rFonts w:hint="eastAsia"/>
          <w:highlight w:val="none"/>
        </w:rPr>
      </w:pPr>
      <w:r>
        <w:rPr>
          <w:rFonts w:hint="eastAsia"/>
          <w:highlight w:val="none"/>
        </w:rPr>
        <w:t>4、清除道路上暴雨冲带泥沙和积雪积冰等工作。</w:t>
      </w:r>
    </w:p>
    <w:p>
      <w:pPr>
        <w:spacing w:line="360" w:lineRule="auto"/>
        <w:ind w:firstLine="480" w:firstLineChars="200"/>
        <w:rPr>
          <w:rFonts w:hint="eastAsia"/>
          <w:highlight w:val="none"/>
        </w:rPr>
      </w:pPr>
      <w:r>
        <w:rPr>
          <w:rFonts w:hint="eastAsia"/>
          <w:highlight w:val="none"/>
        </w:rPr>
        <w:t>5、作业区域河道生活垃圾清除保洁工作。</w:t>
      </w:r>
    </w:p>
    <w:p>
      <w:pPr>
        <w:spacing w:line="360" w:lineRule="auto"/>
        <w:ind w:firstLine="480" w:firstLineChars="200"/>
        <w:rPr>
          <w:rFonts w:hint="eastAsia"/>
          <w:highlight w:val="none"/>
        </w:rPr>
      </w:pPr>
      <w:r>
        <w:rPr>
          <w:rFonts w:hint="eastAsia"/>
          <w:highlight w:val="none"/>
        </w:rPr>
        <w:t>6、作业区域内的公厕清扫、保洁、维护。</w:t>
      </w:r>
    </w:p>
    <w:p>
      <w:pPr>
        <w:spacing w:line="360" w:lineRule="auto"/>
        <w:ind w:firstLine="480" w:firstLineChars="200"/>
        <w:rPr>
          <w:highlight w:val="none"/>
        </w:rPr>
      </w:pPr>
      <w:r>
        <w:rPr>
          <w:rFonts w:hint="eastAsia"/>
          <w:highlight w:val="none"/>
        </w:rPr>
        <w:t>7、城管局安排的其他工作。</w:t>
      </w:r>
    </w:p>
    <w:p>
      <w:pPr>
        <w:spacing w:line="360" w:lineRule="auto"/>
        <w:ind w:firstLine="482" w:firstLineChars="200"/>
        <w:rPr>
          <w:highlight w:val="none"/>
        </w:rPr>
      </w:pPr>
      <w:r>
        <w:rPr>
          <w:rFonts w:hint="eastAsia"/>
          <w:b/>
          <w:bCs/>
          <w:highlight w:val="none"/>
        </w:rPr>
        <w:t xml:space="preserve">第八条  </w:t>
      </w:r>
      <w:r>
        <w:rPr>
          <w:rFonts w:hint="eastAsia"/>
          <w:highlight w:val="none"/>
        </w:rPr>
        <w:t>运营形式</w:t>
      </w:r>
    </w:p>
    <w:p>
      <w:pPr>
        <w:spacing w:line="360" w:lineRule="auto"/>
        <w:ind w:firstLine="480" w:firstLineChars="200"/>
        <w:rPr>
          <w:highlight w:val="none"/>
        </w:rPr>
      </w:pPr>
      <w:r>
        <w:rPr>
          <w:rFonts w:hint="eastAsia"/>
          <w:highlight w:val="none"/>
        </w:rPr>
        <w:t>采用全托管形式，即管理任务包干、经费包干</w:t>
      </w:r>
      <w:r>
        <w:rPr>
          <w:rFonts w:hint="eastAsia"/>
          <w:highlight w:val="none"/>
          <w:lang w:eastAsia="zh-CN"/>
        </w:rPr>
        <w:t>、安全文明包干</w:t>
      </w:r>
      <w:r>
        <w:rPr>
          <w:rFonts w:hint="eastAsia"/>
          <w:highlight w:val="none"/>
        </w:rPr>
        <w:t>。甲方将管理任务交给乙方，乙方按甲方的管理要求和标准组织服务和管理工作，并全面接受甲方的指导、监督、检查验收和考核，甲方按约定支付托管费用</w:t>
      </w:r>
    </w:p>
    <w:p>
      <w:pPr>
        <w:spacing w:line="360" w:lineRule="auto"/>
        <w:ind w:firstLine="482" w:firstLineChars="200"/>
        <w:rPr>
          <w:highlight w:val="none"/>
        </w:rPr>
      </w:pPr>
      <w:r>
        <w:rPr>
          <w:rFonts w:hint="eastAsia"/>
          <w:b/>
          <w:bCs/>
          <w:highlight w:val="none"/>
        </w:rPr>
        <w:t xml:space="preserve">第九条  </w:t>
      </w:r>
      <w:r>
        <w:rPr>
          <w:rFonts w:hint="eastAsia"/>
          <w:highlight w:val="none"/>
        </w:rPr>
        <w:t>运营费用的结算依据和付款办法：</w:t>
      </w:r>
    </w:p>
    <w:p>
      <w:pPr>
        <w:spacing w:line="360" w:lineRule="auto"/>
        <w:ind w:firstLine="480" w:firstLineChars="200"/>
        <w:rPr>
          <w:highlight w:val="none"/>
        </w:rPr>
      </w:pPr>
      <w:r>
        <w:rPr>
          <w:rFonts w:hint="eastAsia"/>
          <w:highlight w:val="none"/>
        </w:rPr>
        <w:t>（一）结算依据：环卫作业质量标准、工作程序、</w:t>
      </w:r>
      <w:r>
        <w:rPr>
          <w:rFonts w:hint="eastAsia"/>
          <w:highlight w:val="none"/>
          <w:lang w:eastAsia="zh-CN"/>
        </w:rPr>
        <w:t>考核办法</w:t>
      </w:r>
      <w:r>
        <w:rPr>
          <w:rFonts w:hint="eastAsia"/>
          <w:highlight w:val="none"/>
        </w:rPr>
        <w:t>，评分结果作为当月付费结算的依据。（考核办法详见附件）</w:t>
      </w:r>
    </w:p>
    <w:p>
      <w:pPr>
        <w:spacing w:line="360" w:lineRule="auto"/>
        <w:ind w:firstLine="480" w:firstLineChars="200"/>
        <w:rPr>
          <w:highlight w:val="none"/>
        </w:rPr>
      </w:pPr>
      <w:r>
        <w:rPr>
          <w:rFonts w:hint="eastAsia"/>
          <w:highlight w:val="none"/>
        </w:rPr>
        <w:t>（二）结算方式：按月结算，月基础结算费用=中标价/12个月；按照评估考核结果计算最终月结算费用。</w:t>
      </w:r>
    </w:p>
    <w:p>
      <w:pPr>
        <w:spacing w:line="360" w:lineRule="auto"/>
        <w:ind w:firstLine="480" w:firstLineChars="200"/>
        <w:rPr>
          <w:highlight w:val="none"/>
        </w:rPr>
      </w:pPr>
      <w:r>
        <w:rPr>
          <w:rFonts w:hint="eastAsia"/>
          <w:highlight w:val="none"/>
        </w:rPr>
        <w:t>（三）对于新增加的保洁面积，由县财政局、人社局、城管局及运营公司现场共同实测核定签字确认，核定增加的保洁费用，</w:t>
      </w:r>
      <w:r>
        <w:rPr>
          <w:rFonts w:hint="eastAsia"/>
          <w:highlight w:val="none"/>
          <w:lang w:eastAsia="zh-CN"/>
        </w:rPr>
        <w:t>按照本协议约定单价确定保洁费用并签订补充协议后按程序支付</w:t>
      </w:r>
      <w:r>
        <w:rPr>
          <w:rFonts w:hint="eastAsia"/>
          <w:highlight w:val="none"/>
        </w:rPr>
        <w:t>。</w:t>
      </w:r>
    </w:p>
    <w:p>
      <w:pPr>
        <w:spacing w:line="360" w:lineRule="auto"/>
        <w:ind w:firstLine="480" w:firstLineChars="200"/>
        <w:rPr>
          <w:highlight w:val="none"/>
        </w:rPr>
      </w:pPr>
      <w:r>
        <w:rPr>
          <w:rFonts w:hint="eastAsia"/>
          <w:highlight w:val="none"/>
        </w:rPr>
        <w:t>（四）乙方对“清扫保洁费用结算单”领取确认后，根据清单金额开具合法的正式发票交</w:t>
      </w:r>
      <w:r>
        <w:rPr>
          <w:rFonts w:hint="eastAsia"/>
          <w:highlight w:val="none"/>
          <w:lang w:eastAsia="zh-CN"/>
        </w:rPr>
        <w:t>商南县城市管理局</w:t>
      </w:r>
      <w:r>
        <w:rPr>
          <w:rFonts w:hint="eastAsia"/>
          <w:highlight w:val="none"/>
        </w:rPr>
        <w:t>办理结算手续。甲方以银行转账的方式汇入乙方银行账户。</w:t>
      </w:r>
    </w:p>
    <w:p>
      <w:pPr>
        <w:spacing w:line="360" w:lineRule="auto"/>
        <w:jc w:val="center"/>
        <w:outlineLvl w:val="9"/>
        <w:rPr>
          <w:highlight w:val="none"/>
        </w:rPr>
      </w:pPr>
      <w:r>
        <w:rPr>
          <w:rFonts w:hint="eastAsia" w:ascii="Times New Roman" w:hAnsi="Times New Roman" w:eastAsia="宋体" w:cs="Times New Roman"/>
          <w:b/>
          <w:bCs/>
          <w:kern w:val="2"/>
          <w:sz w:val="24"/>
          <w:szCs w:val="22"/>
          <w:highlight w:val="none"/>
          <w:lang w:val="en-US" w:eastAsia="zh-CN" w:bidi="ar-SA"/>
        </w:rPr>
        <w:t>第三节  甲方的权利与义务</w:t>
      </w:r>
    </w:p>
    <w:p>
      <w:pPr>
        <w:spacing w:line="360" w:lineRule="auto"/>
        <w:ind w:firstLine="482" w:firstLineChars="200"/>
        <w:rPr>
          <w:highlight w:val="none"/>
        </w:rPr>
      </w:pPr>
      <w:r>
        <w:rPr>
          <w:rFonts w:hint="eastAsia"/>
          <w:b/>
          <w:bCs/>
          <w:highlight w:val="none"/>
        </w:rPr>
        <w:t xml:space="preserve">第十条  </w:t>
      </w:r>
      <w:r>
        <w:rPr>
          <w:rFonts w:hint="eastAsia"/>
          <w:highlight w:val="none"/>
        </w:rPr>
        <w:t>甲方的权利如下：</w:t>
      </w:r>
    </w:p>
    <w:p>
      <w:pPr>
        <w:spacing w:line="360" w:lineRule="auto"/>
        <w:ind w:firstLine="480" w:firstLineChars="200"/>
        <w:rPr>
          <w:highlight w:val="none"/>
        </w:rPr>
      </w:pPr>
      <w:r>
        <w:rPr>
          <w:rFonts w:hint="eastAsia"/>
          <w:highlight w:val="none"/>
        </w:rPr>
        <w:t>（一）甲方有权根据国、省、市等相关法规规定的变化，适时修订环卫作业质量考核标准。</w:t>
      </w:r>
    </w:p>
    <w:p>
      <w:pPr>
        <w:spacing w:line="360" w:lineRule="auto"/>
        <w:ind w:firstLine="480" w:firstLineChars="200"/>
        <w:rPr>
          <w:highlight w:val="none"/>
        </w:rPr>
      </w:pPr>
      <w:r>
        <w:rPr>
          <w:rFonts w:hint="eastAsia"/>
          <w:highlight w:val="none"/>
        </w:rPr>
        <w:t>（二）甲方不预付托管费。</w:t>
      </w:r>
    </w:p>
    <w:p>
      <w:pPr>
        <w:spacing w:line="360" w:lineRule="auto"/>
        <w:ind w:firstLine="480" w:firstLineChars="200"/>
        <w:rPr>
          <w:highlight w:val="none"/>
        </w:rPr>
      </w:pPr>
      <w:r>
        <w:rPr>
          <w:rFonts w:hint="eastAsia"/>
          <w:highlight w:val="none"/>
        </w:rPr>
        <w:t>（三）甲方对中标企业的工作质量进行监督检査，并按照《</w:t>
      </w:r>
      <w:r>
        <w:rPr>
          <w:rFonts w:hint="eastAsia"/>
          <w:highlight w:val="none"/>
          <w:lang w:eastAsia="zh-CN"/>
        </w:rPr>
        <w:t>县</w:t>
      </w:r>
      <w:r>
        <w:rPr>
          <w:rFonts w:hint="eastAsia"/>
          <w:highlight w:val="none"/>
        </w:rPr>
        <w:t>城区环卫作业托管运营考核办法》对乙方进行考核。</w:t>
      </w:r>
    </w:p>
    <w:p>
      <w:pPr>
        <w:spacing w:line="360" w:lineRule="auto"/>
        <w:ind w:firstLine="480" w:firstLineChars="200"/>
        <w:rPr>
          <w:highlight w:val="none"/>
        </w:rPr>
      </w:pPr>
      <w:r>
        <w:rPr>
          <w:rFonts w:hint="eastAsia"/>
          <w:highlight w:val="none"/>
        </w:rPr>
        <w:t>（四）甲方对保洁人员工资、福利、保险、工器具的发放和配备情况进行监督检查。</w:t>
      </w:r>
    </w:p>
    <w:p>
      <w:pPr>
        <w:spacing w:line="360" w:lineRule="auto"/>
        <w:ind w:firstLine="480" w:firstLineChars="200"/>
        <w:rPr>
          <w:highlight w:val="none"/>
        </w:rPr>
      </w:pPr>
      <w:r>
        <w:rPr>
          <w:rFonts w:hint="eastAsia"/>
          <w:highlight w:val="none"/>
        </w:rPr>
        <w:t>（五）如遇重大活动或应急事件发生时，甲方有权调用乙方的生产工具和保洁人员，乙方不得拒绝。</w:t>
      </w:r>
    </w:p>
    <w:p>
      <w:pPr>
        <w:spacing w:line="360" w:lineRule="auto"/>
        <w:ind w:firstLine="480" w:firstLineChars="200"/>
        <w:rPr>
          <w:highlight w:val="none"/>
        </w:rPr>
      </w:pPr>
      <w:r>
        <w:rPr>
          <w:rFonts w:hint="eastAsia"/>
          <w:highlight w:val="none"/>
        </w:rPr>
        <w:t>（六）遇紧急情况，因乙方重大过错时，在可能严重影响公众利益情况下，甲方可依法对托管运营项目进行临时接管。</w:t>
      </w:r>
    </w:p>
    <w:p>
      <w:pPr>
        <w:spacing w:line="360" w:lineRule="auto"/>
        <w:ind w:firstLine="480" w:firstLineChars="200"/>
        <w:rPr>
          <w:highlight w:val="none"/>
        </w:rPr>
      </w:pPr>
      <w:r>
        <w:rPr>
          <w:rFonts w:hint="eastAsia"/>
          <w:highlight w:val="none"/>
        </w:rPr>
        <w:t>（七）甲方有权责令乙方</w:t>
      </w:r>
      <w:r>
        <w:rPr>
          <w:rFonts w:hint="eastAsia"/>
          <w:highlight w:val="none"/>
          <w:lang w:eastAsia="zh-CN"/>
        </w:rPr>
        <w:t>更换</w:t>
      </w:r>
      <w:r>
        <w:rPr>
          <w:rFonts w:hint="eastAsia"/>
          <w:highlight w:val="none"/>
        </w:rPr>
        <w:t>工作中严重失职和不配合甲方工作的人员。</w:t>
      </w:r>
    </w:p>
    <w:p>
      <w:pPr>
        <w:spacing w:line="360" w:lineRule="auto"/>
        <w:ind w:firstLine="480" w:firstLineChars="200"/>
        <w:rPr>
          <w:highlight w:val="none"/>
        </w:rPr>
      </w:pPr>
      <w:r>
        <w:rPr>
          <w:rFonts w:hint="eastAsia"/>
          <w:highlight w:val="none"/>
        </w:rPr>
        <w:t>（八）为提高环卫队伍的整体形象和保障环卫工人的人身安全，每年度</w:t>
      </w:r>
      <w:r>
        <w:rPr>
          <w:rFonts w:hint="eastAsia"/>
          <w:highlight w:val="none"/>
          <w:lang w:eastAsia="zh-CN"/>
        </w:rPr>
        <w:t>根据实际</w:t>
      </w:r>
      <w:r>
        <w:rPr>
          <w:rFonts w:hint="eastAsia"/>
          <w:highlight w:val="none"/>
        </w:rPr>
        <w:t>采购环卫工人及其他人员工作服装，甲方监督服装款式和服装质量，乙方负责价格谈判并承担费用。</w:t>
      </w:r>
    </w:p>
    <w:p>
      <w:pPr>
        <w:spacing w:line="360" w:lineRule="auto"/>
        <w:ind w:firstLine="482" w:firstLineChars="200"/>
        <w:rPr>
          <w:highlight w:val="none"/>
        </w:rPr>
      </w:pPr>
      <w:r>
        <w:rPr>
          <w:rFonts w:hint="eastAsia"/>
          <w:b/>
          <w:bCs/>
          <w:highlight w:val="none"/>
        </w:rPr>
        <w:t xml:space="preserve">第十一条  </w:t>
      </w:r>
      <w:r>
        <w:rPr>
          <w:rFonts w:hint="eastAsia"/>
          <w:highlight w:val="none"/>
        </w:rPr>
        <w:t>甲方的义务如下：</w:t>
      </w:r>
    </w:p>
    <w:p>
      <w:pPr>
        <w:spacing w:line="360" w:lineRule="auto"/>
        <w:ind w:firstLine="480" w:firstLineChars="200"/>
        <w:rPr>
          <w:highlight w:val="none"/>
        </w:rPr>
      </w:pPr>
      <w:r>
        <w:rPr>
          <w:rFonts w:hint="eastAsia"/>
          <w:highlight w:val="none"/>
        </w:rPr>
        <w:t>1、甲方应按约定的方式和时限及时支付乙方的托管费用，每月五日前出具并通知乙方领取“清扫保洁费用结算单”，在收到乙方送达合法票据十五个工作日内办结并支付上月的托管费用。</w:t>
      </w:r>
    </w:p>
    <w:p>
      <w:pPr>
        <w:spacing w:line="360" w:lineRule="auto"/>
        <w:ind w:firstLine="480" w:firstLineChars="200"/>
        <w:rPr>
          <w:highlight w:val="none"/>
        </w:rPr>
      </w:pPr>
      <w:r>
        <w:rPr>
          <w:rFonts w:hint="eastAsia"/>
          <w:highlight w:val="none"/>
        </w:rPr>
        <w:t>2.听取乙方提出的合理化建议，并做好相关服务工作。</w:t>
      </w:r>
    </w:p>
    <w:p>
      <w:pPr>
        <w:spacing w:line="360" w:lineRule="auto"/>
        <w:jc w:val="center"/>
        <w:outlineLvl w:val="9"/>
        <w:rPr>
          <w:highlight w:val="none"/>
        </w:rPr>
      </w:pPr>
      <w:r>
        <w:rPr>
          <w:rFonts w:hint="eastAsia" w:ascii="Times New Roman" w:hAnsi="Times New Roman" w:eastAsia="宋体" w:cs="Times New Roman"/>
          <w:b/>
          <w:bCs/>
          <w:kern w:val="2"/>
          <w:sz w:val="24"/>
          <w:szCs w:val="22"/>
          <w:highlight w:val="none"/>
          <w:lang w:val="en-US" w:eastAsia="zh-CN" w:bidi="ar-SA"/>
        </w:rPr>
        <w:t>第四节  乙方的权利和义务</w:t>
      </w:r>
    </w:p>
    <w:p>
      <w:pPr>
        <w:spacing w:line="360" w:lineRule="auto"/>
        <w:ind w:firstLine="482" w:firstLineChars="200"/>
        <w:rPr>
          <w:highlight w:val="none"/>
        </w:rPr>
      </w:pPr>
      <w:r>
        <w:rPr>
          <w:rFonts w:hint="eastAsia"/>
          <w:b/>
          <w:bCs/>
          <w:highlight w:val="none"/>
        </w:rPr>
        <w:t xml:space="preserve">第十二条  </w:t>
      </w:r>
      <w:r>
        <w:rPr>
          <w:rFonts w:hint="eastAsia"/>
          <w:highlight w:val="none"/>
        </w:rPr>
        <w:t>乙方在运营期间享有如下权利：</w:t>
      </w:r>
    </w:p>
    <w:p>
      <w:pPr>
        <w:spacing w:line="360" w:lineRule="auto"/>
        <w:ind w:firstLine="480" w:firstLineChars="200"/>
        <w:rPr>
          <w:highlight w:val="none"/>
        </w:rPr>
      </w:pPr>
      <w:r>
        <w:rPr>
          <w:rFonts w:hint="eastAsia"/>
          <w:highlight w:val="none"/>
        </w:rPr>
        <w:t>（一）按照协议约定，在运营</w:t>
      </w:r>
      <w:r>
        <w:rPr>
          <w:rFonts w:hint="eastAsia"/>
          <w:highlight w:val="none"/>
          <w:lang w:val="en-US" w:eastAsia="zh-CN"/>
        </w:rPr>
        <w:t>范围</w:t>
      </w:r>
      <w:r>
        <w:rPr>
          <w:rFonts w:hint="eastAsia"/>
          <w:highlight w:val="none"/>
        </w:rPr>
        <w:t>内从事环卫清扫保洁工作。</w:t>
      </w:r>
    </w:p>
    <w:p>
      <w:pPr>
        <w:spacing w:line="360" w:lineRule="auto"/>
        <w:ind w:firstLine="480" w:firstLineChars="200"/>
        <w:rPr>
          <w:highlight w:val="none"/>
        </w:rPr>
      </w:pPr>
      <w:r>
        <w:rPr>
          <w:rFonts w:hint="eastAsia"/>
          <w:highlight w:val="none"/>
        </w:rPr>
        <w:t>（二）根据工作需要可设置相应的机构、人事任免和专业技术人员的聘任；依照有关规定奖惩、招用职工和辞退违纪职工。</w:t>
      </w:r>
    </w:p>
    <w:p>
      <w:pPr>
        <w:spacing w:line="360" w:lineRule="auto"/>
        <w:ind w:firstLine="480" w:firstLineChars="200"/>
        <w:rPr>
          <w:highlight w:val="none"/>
        </w:rPr>
      </w:pPr>
      <w:r>
        <w:rPr>
          <w:rFonts w:hint="eastAsia"/>
          <w:highlight w:val="none"/>
        </w:rPr>
        <w:t>（三）制定内部分配制度，在符合法律</w:t>
      </w:r>
      <w:r>
        <w:rPr>
          <w:rFonts w:hint="eastAsia"/>
          <w:highlight w:val="none"/>
          <w:lang w:eastAsia="zh-CN"/>
        </w:rPr>
        <w:t>及相关</w:t>
      </w:r>
      <w:r>
        <w:rPr>
          <w:rFonts w:hint="eastAsia"/>
          <w:highlight w:val="none"/>
        </w:rPr>
        <w:t>规定的范围内自选工资形式，自定工资标准。</w:t>
      </w:r>
    </w:p>
    <w:p>
      <w:pPr>
        <w:spacing w:line="360" w:lineRule="auto"/>
        <w:ind w:firstLine="482" w:firstLineChars="200"/>
        <w:rPr>
          <w:highlight w:val="none"/>
        </w:rPr>
      </w:pPr>
      <w:r>
        <w:rPr>
          <w:rFonts w:hint="eastAsia"/>
          <w:b/>
          <w:bCs/>
          <w:highlight w:val="none"/>
        </w:rPr>
        <w:t>第十三条</w:t>
      </w:r>
      <w:r>
        <w:rPr>
          <w:rFonts w:hint="eastAsia"/>
          <w:highlight w:val="none"/>
        </w:rPr>
        <w:t xml:space="preserve">  乙方在托管期间承担如下责任和义务</w:t>
      </w:r>
    </w:p>
    <w:p>
      <w:pPr>
        <w:spacing w:line="360" w:lineRule="auto"/>
        <w:ind w:firstLine="480" w:firstLineChars="200"/>
        <w:rPr>
          <w:highlight w:val="none"/>
        </w:rPr>
      </w:pPr>
      <w:r>
        <w:rPr>
          <w:rFonts w:hint="eastAsia"/>
          <w:highlight w:val="none"/>
        </w:rPr>
        <w:t>（一）遵守国家法律法规，合法从事生产经营，保证公司证照齐全。</w:t>
      </w:r>
    </w:p>
    <w:p>
      <w:pPr>
        <w:spacing w:line="360" w:lineRule="auto"/>
        <w:ind w:firstLine="480" w:firstLineChars="200"/>
        <w:rPr>
          <w:highlight w:val="none"/>
        </w:rPr>
      </w:pPr>
      <w:r>
        <w:rPr>
          <w:rFonts w:hint="eastAsia"/>
          <w:highlight w:val="none"/>
        </w:rPr>
        <w:t>（二）接受甲方监管，维护社会公共利益，履行对社会公益性事业作应尽的义务。</w:t>
      </w:r>
    </w:p>
    <w:p>
      <w:pPr>
        <w:spacing w:line="360" w:lineRule="auto"/>
        <w:ind w:firstLine="480" w:firstLineChars="200"/>
        <w:rPr>
          <w:highlight w:val="none"/>
        </w:rPr>
      </w:pPr>
      <w:r>
        <w:rPr>
          <w:rFonts w:hint="eastAsia"/>
          <w:highlight w:val="none"/>
        </w:rPr>
        <w:t>（三）不得拖欠环卫工人工资。</w:t>
      </w:r>
    </w:p>
    <w:p>
      <w:pPr>
        <w:spacing w:line="360" w:lineRule="auto"/>
        <w:ind w:firstLine="480" w:firstLineChars="200"/>
        <w:rPr>
          <w:highlight w:val="none"/>
        </w:rPr>
      </w:pPr>
      <w:r>
        <w:rPr>
          <w:rFonts w:hint="eastAsia"/>
          <w:highlight w:val="none"/>
        </w:rPr>
        <w:t>（四）应加强对环卫工人的管理，对一切劳资纠纷隐患，必须主动积极协调处理，不得推诿，绝不允许发生保洁员上访事件。</w:t>
      </w:r>
    </w:p>
    <w:p>
      <w:pPr>
        <w:spacing w:line="360" w:lineRule="auto"/>
        <w:ind w:firstLine="480" w:firstLineChars="200"/>
        <w:rPr>
          <w:highlight w:val="none"/>
        </w:rPr>
      </w:pPr>
      <w:r>
        <w:rPr>
          <w:rFonts w:hint="eastAsia"/>
          <w:highlight w:val="none"/>
        </w:rPr>
        <w:t>（五）按照甲方的要求合理科学摆放环卫设施，并定期对环卫设施进行清洗、维护和更新。</w:t>
      </w:r>
    </w:p>
    <w:p>
      <w:pPr>
        <w:spacing w:line="360" w:lineRule="auto"/>
        <w:ind w:firstLine="480" w:firstLineChars="200"/>
        <w:rPr>
          <w:highlight w:val="none"/>
        </w:rPr>
      </w:pPr>
      <w:r>
        <w:rPr>
          <w:rFonts w:hint="eastAsia"/>
          <w:highlight w:val="none"/>
        </w:rPr>
        <w:t>（六）公司员工的工资不得低于陕西省人民政府发布的企业职工工资最低标准。</w:t>
      </w:r>
    </w:p>
    <w:p>
      <w:pPr>
        <w:spacing w:line="360" w:lineRule="auto"/>
        <w:ind w:firstLine="480" w:firstLineChars="200"/>
        <w:rPr>
          <w:highlight w:val="none"/>
        </w:rPr>
      </w:pPr>
      <w:r>
        <w:rPr>
          <w:rFonts w:hint="eastAsia"/>
          <w:highlight w:val="none"/>
        </w:rPr>
        <w:t>（七）必须依照国家有关规定，按期如数缴纳应缴纳的各种税、费和养老统筹基金及企业职工工伤、医疗、失业、保险等费用。</w:t>
      </w:r>
    </w:p>
    <w:p>
      <w:pPr>
        <w:spacing w:line="360" w:lineRule="auto"/>
        <w:ind w:firstLine="480" w:firstLineChars="200"/>
        <w:rPr>
          <w:highlight w:val="none"/>
        </w:rPr>
      </w:pPr>
      <w:r>
        <w:rPr>
          <w:rFonts w:hint="eastAsia"/>
          <w:highlight w:val="none"/>
        </w:rPr>
        <w:t>（八）牢固树立公司法人为第一安全责任人的意识，严格安全生产管理相关规定，制定安全管理制度，健全安全管理机构，落实安全管理人员，定期组织员工学习安全知识和安全法规，进行安全知识培训，加强安全检查考核，</w:t>
      </w:r>
      <w:r>
        <w:rPr>
          <w:rFonts w:hint="eastAsia"/>
          <w:highlight w:val="none"/>
          <w:lang w:eastAsia="zh-CN"/>
        </w:rPr>
        <w:t>杜</w:t>
      </w:r>
      <w:r>
        <w:rPr>
          <w:rFonts w:hint="eastAsia"/>
          <w:highlight w:val="none"/>
        </w:rPr>
        <w:t>绝安全事故的发生。注意文明作业，安全操作，作业时发生的任何安全事故均由乙</w:t>
      </w:r>
      <w:r>
        <w:rPr>
          <w:rFonts w:hint="eastAsia"/>
          <w:highlight w:val="none"/>
          <w:lang w:eastAsia="zh-CN"/>
        </w:rPr>
        <w:t>方</w:t>
      </w:r>
      <w:r>
        <w:rPr>
          <w:rFonts w:hint="eastAsia"/>
          <w:highlight w:val="none"/>
        </w:rPr>
        <w:t>负责并承担一切责任。</w:t>
      </w:r>
    </w:p>
    <w:p>
      <w:pPr>
        <w:spacing w:line="360" w:lineRule="auto"/>
        <w:ind w:firstLine="480" w:firstLineChars="200"/>
        <w:rPr>
          <w:highlight w:val="none"/>
        </w:rPr>
      </w:pPr>
      <w:r>
        <w:rPr>
          <w:rFonts w:hint="eastAsia"/>
          <w:highlight w:val="none"/>
        </w:rPr>
        <w:t>（九）应足额安排环卫人员上岗，并为甲方提供环卫人员花名册和人员分布图，遇有人员变动时应及时通知甲方，若环卫人员数量达不到相关规定的要求，甲方有权扣除相应的工资费用。</w:t>
      </w:r>
    </w:p>
    <w:p>
      <w:pPr>
        <w:spacing w:line="360" w:lineRule="auto"/>
        <w:ind w:firstLine="480" w:firstLineChars="200"/>
        <w:rPr>
          <w:highlight w:val="none"/>
        </w:rPr>
      </w:pPr>
      <w:r>
        <w:rPr>
          <w:rFonts w:hint="eastAsia"/>
          <w:highlight w:val="none"/>
        </w:rPr>
        <w:t>（十）如遇意外情况发生，应立即保护现场、救治伤员、并拨打保险公司报案电话和报警电话，并上报甲方。</w:t>
      </w:r>
    </w:p>
    <w:p>
      <w:pPr>
        <w:spacing w:line="360" w:lineRule="auto"/>
        <w:ind w:firstLine="480" w:firstLineChars="200"/>
        <w:rPr>
          <w:highlight w:val="none"/>
        </w:rPr>
      </w:pPr>
      <w:r>
        <w:rPr>
          <w:rFonts w:hint="eastAsia"/>
          <w:highlight w:val="none"/>
        </w:rPr>
        <w:t>（十</w:t>
      </w:r>
      <w:r>
        <w:rPr>
          <w:rFonts w:hint="eastAsia"/>
          <w:highlight w:val="none"/>
          <w:lang w:val="en-US" w:eastAsia="zh-CN"/>
        </w:rPr>
        <w:t>一</w:t>
      </w:r>
      <w:r>
        <w:rPr>
          <w:rFonts w:hint="eastAsia"/>
          <w:highlight w:val="none"/>
        </w:rPr>
        <w:t>）遵守劳动法规，依法为环卫工人（包括试用期工人）提供劳动保障。在协议期内，必须与每位环卫工人签订劳动合同。乙方在运营</w:t>
      </w:r>
      <w:r>
        <w:rPr>
          <w:rFonts w:hint="eastAsia"/>
          <w:highlight w:val="none"/>
          <w:lang w:eastAsia="zh-CN"/>
        </w:rPr>
        <w:t>6个月</w:t>
      </w:r>
      <w:r>
        <w:rPr>
          <w:rFonts w:hint="eastAsia"/>
          <w:highlight w:val="none"/>
        </w:rPr>
        <w:t>内不得单方面辞退现有环卫工。</w:t>
      </w:r>
    </w:p>
    <w:p>
      <w:pPr>
        <w:spacing w:line="360" w:lineRule="auto"/>
        <w:ind w:firstLine="480" w:firstLineChars="200"/>
        <w:rPr>
          <w:highlight w:val="none"/>
        </w:rPr>
      </w:pPr>
      <w:r>
        <w:rPr>
          <w:rFonts w:hint="eastAsia"/>
          <w:highlight w:val="none"/>
        </w:rPr>
        <w:t>（十二）严格</w:t>
      </w:r>
      <w:r>
        <w:rPr>
          <w:rFonts w:hint="eastAsia"/>
          <w:highlight w:val="none"/>
          <w:lang w:val="en-US" w:eastAsia="zh-CN"/>
        </w:rPr>
        <w:t>遵</w:t>
      </w:r>
      <w:r>
        <w:rPr>
          <w:rFonts w:hint="eastAsia"/>
          <w:highlight w:val="none"/>
        </w:rPr>
        <w:t>守并执行《</w:t>
      </w:r>
      <w:r>
        <w:rPr>
          <w:rFonts w:hint="eastAsia"/>
          <w:highlight w:val="none"/>
          <w:lang w:eastAsia="zh-CN"/>
        </w:rPr>
        <w:t>县</w:t>
      </w:r>
      <w:r>
        <w:rPr>
          <w:rFonts w:hint="eastAsia"/>
          <w:highlight w:val="none"/>
        </w:rPr>
        <w:t>城区环卫作业托管运营考核办法》。服从甲方对环境卫生质量的检查监督和考核，每次考核的分值作为当月考核依据。乙方切实采取有效措施保证清扫保洁，质量符合全国文明城市、国家卫生县城的标准要求。</w:t>
      </w:r>
    </w:p>
    <w:p>
      <w:pPr>
        <w:spacing w:line="360" w:lineRule="auto"/>
        <w:ind w:firstLine="480" w:firstLineChars="200"/>
        <w:rPr>
          <w:highlight w:val="none"/>
        </w:rPr>
      </w:pPr>
      <w:r>
        <w:rPr>
          <w:rFonts w:hint="eastAsia"/>
          <w:highlight w:val="none"/>
        </w:rPr>
        <w:t>（十三）乙方在清扫保洁过程中，有义务对违反环境</w:t>
      </w:r>
      <w:r>
        <w:rPr>
          <w:rFonts w:hint="eastAsia"/>
          <w:highlight w:val="none"/>
          <w:lang w:eastAsia="zh-CN"/>
        </w:rPr>
        <w:t>卫生</w:t>
      </w:r>
      <w:r>
        <w:rPr>
          <w:rFonts w:hint="eastAsia"/>
          <w:highlight w:val="none"/>
        </w:rPr>
        <w:t>和破坏公共设施的行为进行监督、管理、制止、报告。</w:t>
      </w:r>
    </w:p>
    <w:p>
      <w:pPr>
        <w:spacing w:line="360" w:lineRule="auto"/>
        <w:ind w:firstLine="480" w:firstLineChars="200"/>
        <w:rPr>
          <w:highlight w:val="none"/>
        </w:rPr>
      </w:pPr>
      <w:r>
        <w:rPr>
          <w:rFonts w:hint="eastAsia"/>
          <w:highlight w:val="none"/>
        </w:rPr>
        <w:t>（十四）接受社会及媒体监督，对存在的问题及时整改到位，并将结果上报甲方。</w:t>
      </w:r>
    </w:p>
    <w:p>
      <w:pPr>
        <w:spacing w:line="360" w:lineRule="auto"/>
        <w:ind w:firstLine="480" w:firstLineChars="200"/>
        <w:rPr>
          <w:highlight w:val="none"/>
        </w:rPr>
      </w:pPr>
      <w:r>
        <w:rPr>
          <w:rFonts w:hint="eastAsia"/>
          <w:highlight w:val="none"/>
        </w:rPr>
        <w:t>（十五）准时参加甲方召开的会议，积极完成甲方安排的相关工作。</w:t>
      </w:r>
    </w:p>
    <w:p>
      <w:pPr>
        <w:spacing w:line="360" w:lineRule="auto"/>
        <w:jc w:val="center"/>
        <w:outlineLvl w:val="9"/>
        <w:rPr>
          <w:highlight w:val="none"/>
        </w:rPr>
      </w:pPr>
      <w:r>
        <w:rPr>
          <w:rFonts w:hint="eastAsia" w:ascii="Times New Roman" w:hAnsi="Times New Roman" w:eastAsia="宋体" w:cs="Times New Roman"/>
          <w:b/>
          <w:bCs/>
          <w:kern w:val="2"/>
          <w:sz w:val="24"/>
          <w:szCs w:val="22"/>
          <w:highlight w:val="none"/>
          <w:lang w:val="en-US" w:eastAsia="zh-CN" w:bidi="ar-SA"/>
        </w:rPr>
        <w:t>第五节  协议的变更、解除或终止</w:t>
      </w:r>
    </w:p>
    <w:p>
      <w:pPr>
        <w:spacing w:line="360" w:lineRule="auto"/>
        <w:ind w:firstLine="482" w:firstLineChars="200"/>
        <w:rPr>
          <w:highlight w:val="none"/>
        </w:rPr>
      </w:pPr>
      <w:r>
        <w:rPr>
          <w:rFonts w:hint="eastAsia"/>
          <w:b/>
          <w:bCs/>
          <w:highlight w:val="none"/>
        </w:rPr>
        <w:t>第十四条</w:t>
      </w:r>
      <w:r>
        <w:rPr>
          <w:rFonts w:hint="eastAsia"/>
          <w:highlight w:val="none"/>
        </w:rPr>
        <w:t xml:space="preserve">  本协议需要变更或解除时，须经甲，乙双方协商一致达成新的书面协议，在新的书面协议未达成之前，本协议依然有效。</w:t>
      </w:r>
    </w:p>
    <w:p>
      <w:pPr>
        <w:spacing w:line="360" w:lineRule="auto"/>
        <w:ind w:firstLine="482" w:firstLineChars="200"/>
        <w:rPr>
          <w:highlight w:val="none"/>
        </w:rPr>
      </w:pPr>
      <w:r>
        <w:rPr>
          <w:rFonts w:hint="eastAsia"/>
          <w:b/>
          <w:bCs/>
          <w:highlight w:val="none"/>
        </w:rPr>
        <w:t>第十五条</w:t>
      </w:r>
      <w:r>
        <w:rPr>
          <w:rFonts w:hint="eastAsia"/>
          <w:highlight w:val="none"/>
        </w:rPr>
        <w:t xml:space="preserve">  本协议履行期间，如国家有关政策变化使托管方、运营方任何一方利益受到重大影响时，本协议可以变更，但受到影响的一方需提前一个月提出变更申请</w:t>
      </w:r>
      <w:r>
        <w:rPr>
          <w:rFonts w:hint="eastAsia"/>
          <w:highlight w:val="none"/>
          <w:lang w:eastAsia="zh-CN"/>
        </w:rPr>
        <w:t>；每年服务期满考核合格并同意续签，需提前</w:t>
      </w:r>
      <w:r>
        <w:rPr>
          <w:rFonts w:hint="eastAsia"/>
          <w:highlight w:val="none"/>
          <w:lang w:val="en-US" w:eastAsia="zh-CN"/>
        </w:rPr>
        <w:t>2个月以书面形式告知甲方。如因乙方原因</w:t>
      </w:r>
      <w:r>
        <w:rPr>
          <w:rFonts w:hint="eastAsia"/>
          <w:highlight w:val="none"/>
        </w:rPr>
        <w:t>导致国有资产无法使用并造成重大损失时，甲方有权要求乙方赔偿损失。</w:t>
      </w:r>
    </w:p>
    <w:p>
      <w:pPr>
        <w:spacing w:line="360" w:lineRule="auto"/>
        <w:ind w:firstLine="482" w:firstLineChars="200"/>
        <w:rPr>
          <w:highlight w:val="none"/>
        </w:rPr>
      </w:pPr>
      <w:r>
        <w:rPr>
          <w:rFonts w:hint="eastAsia"/>
          <w:b/>
          <w:bCs/>
          <w:highlight w:val="none"/>
        </w:rPr>
        <w:t>第十六条</w:t>
      </w:r>
      <w:r>
        <w:rPr>
          <w:rFonts w:hint="eastAsia"/>
          <w:highlight w:val="none"/>
        </w:rPr>
        <w:t xml:space="preserve">  乙方应严格按照国、省、市相关政策法规执行劳资、劳保、安全等制度，并高度重视维稳工作，如出现乙方保洁员队伍的非正常上访等情况，造成工作或</w:t>
      </w:r>
      <w:r>
        <w:rPr>
          <w:rFonts w:hint="eastAsia"/>
          <w:highlight w:val="none"/>
          <w:lang w:val="en-US" w:eastAsia="zh-CN"/>
        </w:rPr>
        <w:t>舆论</w:t>
      </w:r>
      <w:r>
        <w:rPr>
          <w:rFonts w:hint="eastAsia"/>
          <w:highlight w:val="none"/>
        </w:rPr>
        <w:t>影响的，甲方有权解除协议。</w:t>
      </w:r>
    </w:p>
    <w:p>
      <w:pPr>
        <w:spacing w:line="360" w:lineRule="auto"/>
        <w:ind w:firstLine="482" w:firstLineChars="200"/>
        <w:rPr>
          <w:highlight w:val="none"/>
        </w:rPr>
      </w:pPr>
      <w:r>
        <w:rPr>
          <w:rFonts w:hint="eastAsia"/>
          <w:b/>
          <w:bCs/>
          <w:highlight w:val="none"/>
        </w:rPr>
        <w:t>第十七条</w:t>
      </w:r>
      <w:r>
        <w:rPr>
          <w:rFonts w:hint="eastAsia"/>
          <w:highlight w:val="none"/>
        </w:rPr>
        <w:t xml:space="preserve">  发现乙方不能足额安排环卫人员或者有意克扣保洁人员工资、福利时，乙方必须在三日内</w:t>
      </w:r>
      <w:r>
        <w:rPr>
          <w:rFonts w:hint="eastAsia"/>
          <w:highlight w:val="none"/>
          <w:lang w:val="en-US" w:eastAsia="zh-CN"/>
        </w:rPr>
        <w:t>补</w:t>
      </w:r>
      <w:r>
        <w:rPr>
          <w:rFonts w:hint="eastAsia"/>
          <w:highlight w:val="none"/>
        </w:rPr>
        <w:t>齐补足，若不按期改正，甲方有权解除协议。</w:t>
      </w:r>
    </w:p>
    <w:p>
      <w:pPr>
        <w:spacing w:line="360" w:lineRule="auto"/>
        <w:ind w:firstLine="482" w:firstLineChars="200"/>
        <w:rPr>
          <w:highlight w:val="none"/>
        </w:rPr>
      </w:pPr>
      <w:r>
        <w:rPr>
          <w:rFonts w:hint="eastAsia"/>
          <w:b/>
          <w:bCs/>
          <w:highlight w:val="none"/>
        </w:rPr>
        <w:t>第十八条</w:t>
      </w:r>
      <w:r>
        <w:rPr>
          <w:rFonts w:hint="eastAsia"/>
          <w:highlight w:val="none"/>
        </w:rPr>
        <w:t xml:space="preserve">  乙方连续两个月环卫工作质量考核不达标的，甲方有权解除协议。</w:t>
      </w:r>
    </w:p>
    <w:p>
      <w:pPr>
        <w:spacing w:line="360" w:lineRule="auto"/>
        <w:ind w:firstLine="482" w:firstLineChars="200"/>
        <w:rPr>
          <w:highlight w:val="none"/>
        </w:rPr>
      </w:pPr>
      <w:r>
        <w:rPr>
          <w:rFonts w:hint="eastAsia"/>
          <w:b/>
          <w:bCs/>
          <w:highlight w:val="none"/>
        </w:rPr>
        <w:t>第十九条</w:t>
      </w:r>
      <w:r>
        <w:rPr>
          <w:rFonts w:hint="eastAsia"/>
          <w:highlight w:val="none"/>
        </w:rPr>
        <w:t xml:space="preserve">  乙方连续两个月未按规定足额安排环卫工人上岗的，甲方有权解除协议。</w:t>
      </w:r>
    </w:p>
    <w:p>
      <w:pPr>
        <w:spacing w:line="360" w:lineRule="auto"/>
        <w:ind w:firstLine="482" w:firstLineChars="200"/>
        <w:rPr>
          <w:highlight w:val="none"/>
        </w:rPr>
      </w:pPr>
      <w:r>
        <w:rPr>
          <w:rFonts w:hint="eastAsia"/>
          <w:b/>
          <w:bCs/>
          <w:highlight w:val="none"/>
        </w:rPr>
        <w:t>第二十条</w:t>
      </w:r>
      <w:r>
        <w:rPr>
          <w:rFonts w:hint="eastAsia"/>
          <w:highlight w:val="none"/>
        </w:rPr>
        <w:t xml:space="preserve">  由于不可抗力的原因使本协议无法履行或无法完全履行时，甲、乙双方协商一致可以变更或解除本协议。</w:t>
      </w:r>
    </w:p>
    <w:p>
      <w:pPr>
        <w:spacing w:line="360" w:lineRule="auto"/>
        <w:ind w:firstLine="482" w:firstLineChars="200"/>
        <w:rPr>
          <w:highlight w:val="none"/>
        </w:rPr>
      </w:pPr>
      <w:r>
        <w:rPr>
          <w:rFonts w:hint="eastAsia"/>
          <w:b/>
          <w:bCs/>
          <w:highlight w:val="none"/>
        </w:rPr>
        <w:t>第二十一条</w:t>
      </w:r>
      <w:r>
        <w:rPr>
          <w:rFonts w:hint="eastAsia"/>
          <w:highlight w:val="none"/>
        </w:rPr>
        <w:t xml:space="preserve">  本协议规定的托管期满，甲乙双方的权利、义务履行完毕后，本协议自行终止。</w:t>
      </w:r>
    </w:p>
    <w:p>
      <w:pPr>
        <w:spacing w:line="360" w:lineRule="auto"/>
        <w:ind w:firstLine="482" w:firstLineChars="200"/>
        <w:rPr>
          <w:highlight w:val="none"/>
        </w:rPr>
      </w:pPr>
      <w:r>
        <w:rPr>
          <w:rFonts w:hint="eastAsia"/>
          <w:b/>
          <w:bCs/>
          <w:highlight w:val="none"/>
        </w:rPr>
        <w:t>第二十二条</w:t>
      </w:r>
      <w:r>
        <w:rPr>
          <w:rFonts w:hint="eastAsia"/>
          <w:highlight w:val="none"/>
        </w:rPr>
        <w:t xml:space="preserve">  乙方擅自将托管运营协议转包或部分分包给第三者，甲方有权解除协议。</w:t>
      </w:r>
    </w:p>
    <w:p>
      <w:pPr>
        <w:spacing w:line="360" w:lineRule="auto"/>
        <w:ind w:firstLine="482" w:firstLineChars="200"/>
        <w:rPr>
          <w:rFonts w:hint="eastAsia"/>
          <w:highlight w:val="none"/>
        </w:rPr>
      </w:pPr>
      <w:r>
        <w:rPr>
          <w:rFonts w:hint="eastAsia"/>
          <w:b/>
          <w:bCs/>
          <w:highlight w:val="none"/>
        </w:rPr>
        <w:t>第二十三条</w:t>
      </w:r>
      <w:r>
        <w:rPr>
          <w:rFonts w:hint="eastAsia"/>
          <w:highlight w:val="none"/>
        </w:rPr>
        <w:t xml:space="preserve">  本合同规定的承包期满后，乙方经甲方考核格次达到优秀，可续签合同。</w:t>
      </w:r>
    </w:p>
    <w:p>
      <w:pPr>
        <w:spacing w:line="360" w:lineRule="auto"/>
        <w:ind w:firstLine="482" w:firstLineChars="200"/>
        <w:rPr>
          <w:highlight w:val="none"/>
        </w:rPr>
      </w:pPr>
      <w:r>
        <w:rPr>
          <w:rFonts w:hint="eastAsia"/>
          <w:b/>
          <w:bCs/>
          <w:highlight w:val="none"/>
        </w:rPr>
        <w:t>第二十</w:t>
      </w:r>
      <w:r>
        <w:rPr>
          <w:rFonts w:hint="eastAsia"/>
          <w:b/>
          <w:bCs/>
          <w:highlight w:val="none"/>
          <w:lang w:eastAsia="zh-CN"/>
        </w:rPr>
        <w:t>四</w:t>
      </w:r>
      <w:r>
        <w:rPr>
          <w:rFonts w:hint="eastAsia"/>
          <w:b/>
          <w:bCs/>
          <w:highlight w:val="none"/>
        </w:rPr>
        <w:t>条</w:t>
      </w:r>
      <w:r>
        <w:rPr>
          <w:rFonts w:hint="eastAsia"/>
          <w:highlight w:val="none"/>
        </w:rPr>
        <w:t xml:space="preserve"> </w:t>
      </w:r>
      <w:r>
        <w:rPr>
          <w:rFonts w:hint="eastAsia"/>
          <w:highlight w:val="none"/>
          <w:lang w:val="en-US" w:eastAsia="zh-CN"/>
        </w:rPr>
        <w:t xml:space="preserve"> </w:t>
      </w:r>
      <w:r>
        <w:rPr>
          <w:rFonts w:hint="eastAsia"/>
          <w:highlight w:val="none"/>
        </w:rPr>
        <w:t>法律规定的其他终止事由。</w:t>
      </w:r>
    </w:p>
    <w:p>
      <w:pPr>
        <w:pStyle w:val="2"/>
        <w:jc w:val="center"/>
        <w:rPr>
          <w:b/>
          <w:bCs/>
          <w:sz w:val="24"/>
          <w:szCs w:val="22"/>
          <w:highlight w:val="none"/>
        </w:rPr>
      </w:pPr>
      <w:r>
        <w:rPr>
          <w:rFonts w:hint="eastAsia"/>
          <w:b/>
          <w:bCs/>
          <w:sz w:val="24"/>
          <w:szCs w:val="22"/>
          <w:highlight w:val="none"/>
        </w:rPr>
        <w:t>第六</w:t>
      </w:r>
      <w:r>
        <w:rPr>
          <w:rFonts w:hint="eastAsia" w:ascii="Times New Roman" w:cs="Times New Roman"/>
          <w:b/>
          <w:bCs/>
          <w:kern w:val="2"/>
          <w:sz w:val="24"/>
          <w:szCs w:val="22"/>
          <w:highlight w:val="none"/>
          <w:lang w:val="en-US" w:eastAsia="zh-CN" w:bidi="ar-SA"/>
        </w:rPr>
        <w:t>节</w:t>
      </w:r>
      <w:r>
        <w:rPr>
          <w:rFonts w:hint="eastAsia"/>
          <w:b/>
          <w:bCs/>
          <w:sz w:val="24"/>
          <w:szCs w:val="22"/>
          <w:highlight w:val="none"/>
        </w:rPr>
        <w:t xml:space="preserve">  争端处理</w:t>
      </w:r>
    </w:p>
    <w:p>
      <w:pPr>
        <w:spacing w:line="360" w:lineRule="auto"/>
        <w:ind w:firstLine="482" w:firstLineChars="200"/>
        <w:rPr>
          <w:rFonts w:hAnsi="宋体" w:cs="宋体"/>
          <w:b/>
          <w:szCs w:val="24"/>
          <w:highlight w:val="none"/>
        </w:rPr>
      </w:pPr>
      <w:r>
        <w:rPr>
          <w:rFonts w:hint="eastAsia" w:hAnsi="宋体" w:cs="宋体"/>
          <w:b/>
          <w:szCs w:val="24"/>
          <w:highlight w:val="none"/>
        </w:rPr>
        <w:t>第二十</w:t>
      </w:r>
      <w:r>
        <w:rPr>
          <w:rFonts w:hint="eastAsia" w:hAnsi="宋体" w:cs="宋体"/>
          <w:b/>
          <w:szCs w:val="24"/>
          <w:highlight w:val="none"/>
          <w:lang w:eastAsia="zh-CN"/>
        </w:rPr>
        <w:t>五</w:t>
      </w:r>
      <w:r>
        <w:rPr>
          <w:rFonts w:hint="eastAsia" w:hAnsi="宋体" w:cs="宋体"/>
          <w:b/>
          <w:szCs w:val="24"/>
          <w:highlight w:val="none"/>
        </w:rPr>
        <w:t xml:space="preserve">条  </w:t>
      </w:r>
      <w:r>
        <w:rPr>
          <w:rFonts w:hint="eastAsia" w:hAnsi="宋体" w:cs="宋体"/>
          <w:bCs/>
          <w:szCs w:val="24"/>
          <w:highlight w:val="none"/>
        </w:rPr>
        <w:t>甲、乙双方在履行本协议中产生争议时，先行协商，协商不成的，任何一方可向人民法院提起诉讼。</w:t>
      </w:r>
    </w:p>
    <w:p>
      <w:pPr>
        <w:pStyle w:val="2"/>
        <w:jc w:val="center"/>
        <w:rPr>
          <w:b/>
          <w:bCs/>
          <w:sz w:val="24"/>
          <w:szCs w:val="22"/>
          <w:highlight w:val="none"/>
        </w:rPr>
      </w:pPr>
      <w:r>
        <w:rPr>
          <w:rFonts w:hint="eastAsia"/>
          <w:b/>
          <w:bCs/>
          <w:sz w:val="24"/>
          <w:szCs w:val="22"/>
          <w:highlight w:val="none"/>
        </w:rPr>
        <w:t>第七</w:t>
      </w:r>
      <w:r>
        <w:rPr>
          <w:rFonts w:hint="eastAsia" w:ascii="Times New Roman" w:cs="Times New Roman"/>
          <w:b/>
          <w:bCs/>
          <w:kern w:val="2"/>
          <w:sz w:val="24"/>
          <w:szCs w:val="22"/>
          <w:highlight w:val="none"/>
          <w:lang w:val="en-US" w:eastAsia="zh-CN" w:bidi="ar-SA"/>
        </w:rPr>
        <w:t>节</w:t>
      </w:r>
      <w:r>
        <w:rPr>
          <w:rFonts w:hint="eastAsia"/>
          <w:b/>
          <w:bCs/>
          <w:sz w:val="24"/>
          <w:szCs w:val="22"/>
          <w:highlight w:val="none"/>
        </w:rPr>
        <w:t xml:space="preserve"> 特殊条款</w:t>
      </w:r>
    </w:p>
    <w:p>
      <w:pPr>
        <w:spacing w:line="360" w:lineRule="auto"/>
        <w:ind w:firstLine="482" w:firstLineChars="200"/>
        <w:rPr>
          <w:rFonts w:hint="eastAsia" w:hAnsi="宋体" w:cs="宋体"/>
          <w:b/>
          <w:szCs w:val="24"/>
          <w:highlight w:val="none"/>
        </w:rPr>
      </w:pPr>
      <w:r>
        <w:rPr>
          <w:rFonts w:hint="eastAsia" w:hAnsi="宋体" w:cs="宋体"/>
          <w:b/>
          <w:szCs w:val="24"/>
          <w:highlight w:val="none"/>
        </w:rPr>
        <w:t>第二十</w:t>
      </w:r>
      <w:r>
        <w:rPr>
          <w:rFonts w:hint="eastAsia" w:hAnsi="宋体" w:cs="宋体"/>
          <w:b/>
          <w:szCs w:val="24"/>
          <w:highlight w:val="none"/>
          <w:lang w:eastAsia="zh-CN"/>
        </w:rPr>
        <w:t>六</w:t>
      </w:r>
      <w:r>
        <w:rPr>
          <w:rFonts w:hint="eastAsia" w:hAnsi="宋体" w:cs="宋体"/>
          <w:b/>
          <w:szCs w:val="24"/>
          <w:highlight w:val="none"/>
        </w:rPr>
        <w:t xml:space="preserve">条  </w:t>
      </w:r>
      <w:r>
        <w:rPr>
          <w:rFonts w:hint="eastAsia" w:hAnsi="宋体" w:cs="宋体"/>
          <w:bCs/>
          <w:szCs w:val="24"/>
          <w:highlight w:val="none"/>
          <w:lang w:eastAsia="zh-CN"/>
        </w:rPr>
        <w:t>特殊处理</w:t>
      </w:r>
      <w:r>
        <w:rPr>
          <w:rFonts w:hint="eastAsia" w:hAnsi="宋体" w:cs="宋体"/>
          <w:bCs/>
          <w:szCs w:val="24"/>
          <w:highlight w:val="none"/>
        </w:rPr>
        <w:t>乙方须优先使用现有承包区域的保洁人员上岗作业，在不违反企业管理制度的情况下不得无故辞退，确保人员平稳过渡和社会稳定</w:t>
      </w:r>
      <w:r>
        <w:rPr>
          <w:rFonts w:hint="eastAsia" w:hAnsi="宋体" w:cs="宋体"/>
          <w:bCs/>
          <w:szCs w:val="24"/>
          <w:highlight w:val="none"/>
          <w:lang w:eastAsia="zh-CN"/>
        </w:rPr>
        <w:t>。</w:t>
      </w:r>
      <w:r>
        <w:rPr>
          <w:rFonts w:hint="eastAsia" w:hAnsi="宋体" w:cs="宋体"/>
          <w:bCs/>
          <w:szCs w:val="24"/>
          <w:highlight w:val="none"/>
        </w:rPr>
        <w:t>6个月后</w:t>
      </w:r>
      <w:r>
        <w:rPr>
          <w:rFonts w:hint="eastAsia" w:hAnsi="宋体" w:cs="宋体"/>
          <w:bCs/>
          <w:szCs w:val="24"/>
          <w:highlight w:val="none"/>
          <w:lang w:val="en-US" w:eastAsia="zh-CN"/>
        </w:rPr>
        <w:t>依据</w:t>
      </w:r>
      <w:r>
        <w:rPr>
          <w:rFonts w:hint="eastAsia" w:hAnsi="宋体" w:cs="宋体"/>
          <w:bCs/>
          <w:szCs w:val="24"/>
          <w:highlight w:val="none"/>
        </w:rPr>
        <w:t>考核结果，可以进行适当调整。签订合同后乙方须接收现有项目地使用的甲方的环卫设备，按照评估价一次性付给设备所有方或者和采购人签订租赁合同。</w:t>
      </w:r>
    </w:p>
    <w:p>
      <w:pPr>
        <w:spacing w:line="360" w:lineRule="auto"/>
        <w:ind w:firstLine="482" w:firstLineChars="200"/>
        <w:rPr>
          <w:rFonts w:hint="eastAsia" w:hAnsi="宋体" w:eastAsia="宋体" w:cs="宋体"/>
          <w:b/>
          <w:highlight w:val="none"/>
          <w:lang w:eastAsia="zh-CN"/>
        </w:rPr>
      </w:pPr>
      <w:r>
        <w:rPr>
          <w:rFonts w:hint="eastAsia" w:hAnsi="宋体" w:cs="宋体"/>
          <w:b/>
          <w:szCs w:val="24"/>
          <w:highlight w:val="none"/>
        </w:rPr>
        <w:t>第二十</w:t>
      </w:r>
      <w:r>
        <w:rPr>
          <w:rFonts w:hint="eastAsia" w:hAnsi="宋体" w:cs="宋体"/>
          <w:b/>
          <w:szCs w:val="24"/>
          <w:highlight w:val="none"/>
          <w:lang w:eastAsia="zh-CN"/>
        </w:rPr>
        <w:t>七</w:t>
      </w:r>
      <w:r>
        <w:rPr>
          <w:rFonts w:hint="eastAsia" w:hAnsi="宋体" w:cs="宋体"/>
          <w:b/>
          <w:szCs w:val="24"/>
          <w:highlight w:val="none"/>
        </w:rPr>
        <w:t>条</w:t>
      </w:r>
      <w:r>
        <w:rPr>
          <w:rFonts w:hint="eastAsia" w:hAnsi="宋体" w:cs="宋体"/>
          <w:b/>
          <w:highlight w:val="none"/>
          <w:lang w:val="en-US" w:eastAsia="zh-CN"/>
        </w:rPr>
        <w:t xml:space="preserve">  </w:t>
      </w:r>
      <w:r>
        <w:rPr>
          <w:rFonts w:hint="eastAsia" w:hAnsi="宋体" w:cs="宋体"/>
          <w:b/>
          <w:szCs w:val="24"/>
          <w:highlight w:val="none"/>
        </w:rPr>
        <w:t>其他（</w:t>
      </w:r>
      <w:r>
        <w:rPr>
          <w:rFonts w:hint="eastAsia" w:hAnsi="宋体" w:cs="宋体"/>
          <w:szCs w:val="24"/>
          <w:highlight w:val="none"/>
        </w:rPr>
        <w:t>在合同中双方自行约定）</w:t>
      </w:r>
    </w:p>
    <w:p>
      <w:pPr>
        <w:spacing w:line="360" w:lineRule="auto"/>
        <w:ind w:firstLine="482" w:firstLineChars="200"/>
        <w:rPr>
          <w:rFonts w:hAnsi="宋体" w:cs="宋体"/>
          <w:b/>
          <w:highlight w:val="none"/>
        </w:rPr>
      </w:pPr>
      <w:r>
        <w:rPr>
          <w:rFonts w:hint="eastAsia" w:hAnsi="宋体" w:cs="宋体"/>
          <w:b/>
          <w:szCs w:val="24"/>
          <w:highlight w:val="none"/>
        </w:rPr>
        <w:t>第二十</w:t>
      </w:r>
      <w:r>
        <w:rPr>
          <w:rFonts w:hint="eastAsia" w:hAnsi="宋体" w:cs="宋体"/>
          <w:b/>
          <w:szCs w:val="24"/>
          <w:highlight w:val="none"/>
          <w:lang w:eastAsia="zh-CN"/>
        </w:rPr>
        <w:t>八</w:t>
      </w:r>
      <w:r>
        <w:rPr>
          <w:rFonts w:hint="eastAsia" w:hAnsi="宋体" w:cs="宋体"/>
          <w:b/>
          <w:szCs w:val="24"/>
          <w:highlight w:val="none"/>
        </w:rPr>
        <w:t>条</w:t>
      </w:r>
      <w:r>
        <w:rPr>
          <w:rFonts w:hint="eastAsia" w:hAnsi="宋体" w:cs="宋体"/>
          <w:b/>
          <w:highlight w:val="none"/>
          <w:lang w:val="en-US" w:eastAsia="zh-CN"/>
        </w:rPr>
        <w:t xml:space="preserve">  </w:t>
      </w:r>
      <w:r>
        <w:rPr>
          <w:rFonts w:hint="eastAsia" w:hAnsi="宋体" w:cs="宋体"/>
          <w:b/>
          <w:highlight w:val="none"/>
        </w:rPr>
        <w:t>合同订立</w:t>
      </w:r>
    </w:p>
    <w:p>
      <w:pPr>
        <w:adjustRightInd w:val="0"/>
        <w:snapToGrid w:val="0"/>
        <w:spacing w:line="360" w:lineRule="auto"/>
        <w:ind w:firstLine="475" w:firstLineChars="198"/>
        <w:rPr>
          <w:rFonts w:hAnsi="宋体" w:cs="宋体"/>
          <w:highlight w:val="none"/>
        </w:rPr>
      </w:pPr>
      <w:r>
        <w:rPr>
          <w:rFonts w:hint="eastAsia" w:hAnsi="宋体" w:cs="宋体"/>
          <w:highlight w:val="none"/>
        </w:rPr>
        <w:t>1. 订立时间：</w:t>
      </w: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pPr>
        <w:adjustRightInd w:val="0"/>
        <w:snapToGrid w:val="0"/>
        <w:spacing w:line="360" w:lineRule="auto"/>
        <w:ind w:firstLine="475" w:firstLineChars="198"/>
        <w:rPr>
          <w:rFonts w:hAnsi="宋体" w:cs="宋体"/>
          <w:highlight w:val="none"/>
        </w:rPr>
      </w:pPr>
      <w:r>
        <w:rPr>
          <w:rFonts w:hint="eastAsia" w:hAnsi="宋体" w:cs="宋体"/>
          <w:highlight w:val="none"/>
        </w:rPr>
        <w:t>2. 订立地点：</w:t>
      </w:r>
      <w:r>
        <w:rPr>
          <w:rFonts w:hint="eastAsia" w:hAnsi="宋体" w:cs="宋体"/>
          <w:highlight w:val="none"/>
          <w:u w:val="single"/>
        </w:rPr>
        <w:t xml:space="preserve">                                 </w:t>
      </w:r>
      <w:r>
        <w:rPr>
          <w:rFonts w:hint="eastAsia" w:hAnsi="宋体" w:cs="宋体"/>
          <w:highlight w:val="none"/>
        </w:rPr>
        <w:t>。</w:t>
      </w:r>
    </w:p>
    <w:p>
      <w:pPr>
        <w:tabs>
          <w:tab w:val="left" w:pos="980"/>
        </w:tabs>
        <w:kinsoku w:val="0"/>
        <w:spacing w:line="360" w:lineRule="auto"/>
        <w:ind w:firstLine="480" w:firstLineChars="200"/>
        <w:rPr>
          <w:rFonts w:hAnsi="宋体" w:cs="宋体"/>
          <w:highlight w:val="none"/>
        </w:rPr>
      </w:pPr>
      <w:r>
        <w:rPr>
          <w:rFonts w:hint="eastAsia" w:hAnsi="宋体" w:cs="宋体"/>
          <w:highlight w:val="none"/>
        </w:rPr>
        <w:t>3. 本合同一式</w:t>
      </w:r>
      <w:r>
        <w:rPr>
          <w:rFonts w:hint="eastAsia" w:hAnsi="宋体" w:cs="宋体"/>
          <w:highlight w:val="none"/>
          <w:u w:val="single"/>
        </w:rPr>
        <w:t xml:space="preserve"> 捌 </w:t>
      </w:r>
      <w:r>
        <w:rPr>
          <w:rFonts w:hint="eastAsia" w:hAnsi="宋体" w:cs="宋体"/>
          <w:highlight w:val="none"/>
        </w:rPr>
        <w:t>份，具有同等法律效力，双方各执</w:t>
      </w:r>
      <w:r>
        <w:rPr>
          <w:rFonts w:hint="eastAsia" w:hAnsi="宋体" w:cs="宋体"/>
          <w:highlight w:val="none"/>
          <w:u w:val="single"/>
        </w:rPr>
        <w:t xml:space="preserve"> 贰 </w:t>
      </w:r>
      <w:r>
        <w:rPr>
          <w:rFonts w:hint="eastAsia" w:hAnsi="宋体" w:cs="宋体"/>
          <w:highlight w:val="none"/>
        </w:rPr>
        <w:t>份，监管部门备案</w:t>
      </w:r>
      <w:r>
        <w:rPr>
          <w:rFonts w:hint="eastAsia" w:hAnsi="宋体" w:cs="宋体"/>
          <w:highlight w:val="none"/>
          <w:u w:val="single"/>
        </w:rPr>
        <w:t xml:space="preserve"> 贰 </w:t>
      </w:r>
      <w:r>
        <w:rPr>
          <w:rFonts w:hint="eastAsia" w:hAnsi="宋体" w:cs="宋体"/>
          <w:highlight w:val="none"/>
        </w:rPr>
        <w:t>份、招标代理机构存档</w:t>
      </w:r>
      <w:r>
        <w:rPr>
          <w:rFonts w:hint="eastAsia" w:hAnsi="宋体" w:cs="宋体"/>
          <w:highlight w:val="none"/>
          <w:u w:val="single"/>
        </w:rPr>
        <w:t xml:space="preserve"> 贰 </w:t>
      </w:r>
      <w:r>
        <w:rPr>
          <w:rFonts w:hint="eastAsia" w:hAnsi="宋体" w:cs="宋体"/>
          <w:highlight w:val="none"/>
        </w:rPr>
        <w:t>份。各方签字盖章后生效，合同执行完毕自动失效。（合同的服务承诺则长期有效）。</w:t>
      </w:r>
    </w:p>
    <w:p>
      <w:pPr>
        <w:rPr>
          <w:rFonts w:hint="eastAsia" w:hAnsi="宋体" w:cs="宋体"/>
          <w:b/>
          <w:highlight w:val="none"/>
        </w:rPr>
      </w:pPr>
    </w:p>
    <w:p>
      <w:pPr>
        <w:rPr>
          <w:rFonts w:hint="eastAsia" w:hAnsi="宋体" w:cs="宋体"/>
          <w:b/>
          <w:highlight w:val="none"/>
        </w:rPr>
      </w:pPr>
    </w:p>
    <w:p>
      <w:pPr>
        <w:rPr>
          <w:rFonts w:hAnsi="宋体" w:cs="宋体"/>
          <w:b/>
          <w:highlight w:val="none"/>
        </w:rPr>
      </w:pPr>
      <w:r>
        <w:rPr>
          <w:rFonts w:hint="eastAsia" w:hAnsi="宋体" w:cs="宋体"/>
          <w:b/>
          <w:highlight w:val="none"/>
        </w:rPr>
        <w:t>甲  方（公章）</w:t>
      </w:r>
      <w:r>
        <w:rPr>
          <w:rFonts w:hint="eastAsia" w:hAnsi="宋体" w:cs="宋体"/>
          <w:highlight w:val="none"/>
        </w:rPr>
        <w:t xml:space="preserve">                         </w:t>
      </w:r>
      <w:r>
        <w:rPr>
          <w:rFonts w:hint="eastAsia" w:hAnsi="宋体" w:cs="宋体"/>
          <w:b/>
          <w:highlight w:val="none"/>
        </w:rPr>
        <w:t xml:space="preserve">乙  方（公章）         </w:t>
      </w:r>
    </w:p>
    <w:p>
      <w:pPr>
        <w:tabs>
          <w:tab w:val="left" w:pos="480"/>
        </w:tabs>
        <w:spacing w:line="360" w:lineRule="auto"/>
        <w:rPr>
          <w:rFonts w:hAnsi="宋体" w:cs="宋体"/>
          <w:highlight w:val="none"/>
        </w:rPr>
      </w:pPr>
    </w:p>
    <w:p>
      <w:pPr>
        <w:tabs>
          <w:tab w:val="left" w:pos="480"/>
        </w:tabs>
        <w:spacing w:line="360" w:lineRule="auto"/>
        <w:rPr>
          <w:rFonts w:hAnsi="宋体" w:cs="宋体"/>
          <w:highlight w:val="none"/>
        </w:rPr>
      </w:pPr>
      <w:r>
        <w:rPr>
          <w:rFonts w:hint="eastAsia" w:hAnsi="宋体" w:cs="宋体"/>
          <w:highlight w:val="none"/>
        </w:rPr>
        <w:t xml:space="preserve">单位名称：                            单位名称：               </w:t>
      </w:r>
    </w:p>
    <w:p>
      <w:pPr>
        <w:tabs>
          <w:tab w:val="left" w:pos="480"/>
        </w:tabs>
        <w:spacing w:line="360" w:lineRule="auto"/>
        <w:rPr>
          <w:rFonts w:hAnsi="宋体" w:cs="宋体"/>
          <w:highlight w:val="none"/>
        </w:rPr>
      </w:pPr>
      <w:r>
        <w:rPr>
          <w:rFonts w:hint="eastAsia" w:hAnsi="宋体" w:cs="宋体"/>
          <w:highlight w:val="none"/>
        </w:rPr>
        <w:t xml:space="preserve">地    址：                            地    址：                </w:t>
      </w:r>
    </w:p>
    <w:p>
      <w:pPr>
        <w:tabs>
          <w:tab w:val="left" w:pos="480"/>
        </w:tabs>
        <w:spacing w:line="360" w:lineRule="auto"/>
        <w:rPr>
          <w:rFonts w:hAnsi="宋体" w:cs="宋体"/>
          <w:highlight w:val="none"/>
        </w:rPr>
      </w:pPr>
      <w:r>
        <w:rPr>
          <w:rFonts w:hint="eastAsia" w:hAnsi="宋体" w:cs="宋体"/>
          <w:highlight w:val="none"/>
        </w:rPr>
        <w:t xml:space="preserve">代 理 人：                            代 理 人：                </w:t>
      </w:r>
    </w:p>
    <w:p>
      <w:pPr>
        <w:tabs>
          <w:tab w:val="left" w:pos="480"/>
        </w:tabs>
        <w:spacing w:line="360" w:lineRule="auto"/>
        <w:rPr>
          <w:rFonts w:hAnsi="宋体" w:cs="宋体"/>
          <w:highlight w:val="none"/>
        </w:rPr>
      </w:pPr>
      <w:r>
        <w:rPr>
          <w:rFonts w:hint="eastAsia" w:hAnsi="宋体" w:cs="宋体"/>
          <w:highlight w:val="none"/>
        </w:rPr>
        <w:t xml:space="preserve">联系电话：                            联系电话：                </w:t>
      </w:r>
    </w:p>
    <w:p>
      <w:pPr>
        <w:tabs>
          <w:tab w:val="left" w:pos="480"/>
        </w:tabs>
        <w:spacing w:line="360" w:lineRule="auto"/>
        <w:rPr>
          <w:rFonts w:hAnsi="宋体" w:cs="宋体"/>
          <w:highlight w:val="none"/>
        </w:rPr>
      </w:pPr>
      <w:r>
        <w:rPr>
          <w:rFonts w:hint="eastAsia" w:hAnsi="宋体" w:cs="宋体"/>
          <w:highlight w:val="none"/>
        </w:rPr>
        <w:t xml:space="preserve">                                      帐    号：</w:t>
      </w:r>
    </w:p>
    <w:p>
      <w:pPr>
        <w:tabs>
          <w:tab w:val="left" w:pos="480"/>
        </w:tabs>
        <w:spacing w:line="360" w:lineRule="auto"/>
        <w:rPr>
          <w:rFonts w:hAnsi="宋体" w:cs="宋体"/>
          <w:highlight w:val="none"/>
        </w:rPr>
      </w:pPr>
      <w:r>
        <w:rPr>
          <w:rFonts w:hint="eastAsia" w:hAnsi="宋体" w:cs="宋体"/>
          <w:highlight w:val="none"/>
        </w:rPr>
        <w:t xml:space="preserve">                                      开户银行： </w:t>
      </w:r>
    </w:p>
    <w:p>
      <w:pPr>
        <w:tabs>
          <w:tab w:val="left" w:pos="480"/>
        </w:tabs>
        <w:spacing w:line="360" w:lineRule="auto"/>
        <w:rPr>
          <w:rFonts w:hAnsi="宋体" w:cs="宋体"/>
          <w:highlight w:val="none"/>
        </w:rPr>
      </w:pPr>
    </w:p>
    <w:p>
      <w:pPr>
        <w:tabs>
          <w:tab w:val="left" w:pos="480"/>
          <w:tab w:val="left" w:pos="3261"/>
        </w:tabs>
        <w:spacing w:line="360" w:lineRule="auto"/>
        <w:rPr>
          <w:rFonts w:hAnsi="宋体" w:cs="宋体"/>
          <w:highlight w:val="none"/>
        </w:rPr>
      </w:pPr>
      <w:r>
        <w:rPr>
          <w:rFonts w:hint="eastAsia" w:hAnsi="宋体" w:cs="宋体"/>
          <w:highlight w:val="none"/>
        </w:rPr>
        <w:t xml:space="preserve">签订日期：                            签订日期：                </w:t>
      </w:r>
    </w:p>
    <w:p>
      <w:pPr>
        <w:spacing w:line="360" w:lineRule="auto"/>
        <w:ind w:firstLine="480" w:firstLineChars="200"/>
        <w:rPr>
          <w:rFonts w:hAnsi="宋体" w:cs="宋体"/>
          <w:szCs w:val="24"/>
          <w:highlight w:val="none"/>
        </w:rPr>
      </w:pPr>
    </w:p>
    <w:p>
      <w:pPr>
        <w:spacing w:line="360" w:lineRule="auto"/>
        <w:ind w:firstLine="480" w:firstLineChars="200"/>
        <w:rPr>
          <w:highlight w:val="none"/>
        </w:rPr>
      </w:pPr>
    </w:p>
    <w:p>
      <w:pPr>
        <w:rPr>
          <w:highlight w:val="none"/>
        </w:rPr>
      </w:pPr>
    </w:p>
    <w:p>
      <w:pPr>
        <w:rPr>
          <w:highlight w:val="none"/>
        </w:rPr>
      </w:pPr>
      <w:bookmarkStart w:id="54" w:name="_Toc31683"/>
      <w:bookmarkStart w:id="55" w:name="_Toc19199"/>
      <w:bookmarkStart w:id="56" w:name="_Toc9053"/>
      <w:bookmarkStart w:id="57" w:name="_Toc426457696"/>
      <w:bookmarkStart w:id="58" w:name="_Toc389582037"/>
      <w:bookmarkStart w:id="59" w:name="_Toc31520"/>
      <w:bookmarkStart w:id="60" w:name="_Toc20230"/>
      <w:bookmarkStart w:id="61" w:name="_Toc19246"/>
      <w:bookmarkStart w:id="62" w:name="_Toc8333"/>
      <w:bookmarkStart w:id="63" w:name="_Toc29888"/>
      <w:bookmarkStart w:id="64" w:name="_Toc26595"/>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r>
        <w:rPr>
          <w:rFonts w:hint="eastAsia"/>
          <w:highlight w:val="none"/>
        </w:rPr>
        <w:br w:type="page"/>
      </w:r>
    </w:p>
    <w:p>
      <w:pPr>
        <w:pStyle w:val="2"/>
        <w:rPr>
          <w:highlight w:val="none"/>
        </w:rPr>
      </w:pPr>
    </w:p>
    <w:p>
      <w:pPr>
        <w:pStyle w:val="4"/>
        <w:numPr>
          <w:ilvl w:val="0"/>
          <w:numId w:val="4"/>
        </w:numPr>
        <w:jc w:val="center"/>
        <w:rPr>
          <w:rFonts w:ascii="宋体" w:eastAsia="宋体" w:cs="宋体"/>
          <w:sz w:val="36"/>
          <w:szCs w:val="36"/>
          <w:highlight w:val="none"/>
        </w:rPr>
      </w:pPr>
      <w:bookmarkStart w:id="65" w:name="_Toc8954"/>
      <w:r>
        <w:rPr>
          <w:rFonts w:hint="eastAsia" w:ascii="宋体" w:eastAsia="宋体" w:cs="宋体"/>
          <w:sz w:val="36"/>
          <w:szCs w:val="36"/>
          <w:highlight w:val="none"/>
        </w:rPr>
        <w:t>采购内容及技术要求</w:t>
      </w:r>
      <w:bookmarkEnd w:id="54"/>
      <w:bookmarkEnd w:id="55"/>
      <w:bookmarkEnd w:id="56"/>
      <w:bookmarkEnd w:id="57"/>
      <w:bookmarkEnd w:id="58"/>
      <w:bookmarkEnd w:id="59"/>
      <w:bookmarkEnd w:id="60"/>
      <w:bookmarkEnd w:id="61"/>
      <w:bookmarkEnd w:id="62"/>
      <w:bookmarkEnd w:id="63"/>
      <w:bookmarkEnd w:id="64"/>
      <w:bookmarkEnd w:id="65"/>
      <w:bookmarkStart w:id="66" w:name="_Toc317530110"/>
      <w:bookmarkStart w:id="67" w:name="_Toc1025"/>
      <w:bookmarkStart w:id="68" w:name="_Toc11450"/>
      <w:bookmarkStart w:id="69" w:name="_Toc20481"/>
      <w:bookmarkStart w:id="70" w:name="_Toc389582038"/>
      <w:bookmarkStart w:id="71" w:name="_Toc23856"/>
      <w:bookmarkStart w:id="72" w:name="_Toc2711"/>
      <w:bookmarkStart w:id="73" w:name="_Toc4053"/>
    </w:p>
    <w:p>
      <w:pPr>
        <w:keepNext w:val="0"/>
        <w:keepLines w:val="0"/>
        <w:pageBreakBefore w:val="0"/>
        <w:widowControl w:val="0"/>
        <w:numPr>
          <w:ilvl w:val="0"/>
          <w:numId w:val="5"/>
        </w:numPr>
        <w:wordWrap/>
        <w:overflowPunct/>
        <w:topLinePunct w:val="0"/>
        <w:bidi w:val="0"/>
        <w:adjustRightInd/>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项目概况</w:t>
      </w:r>
    </w:p>
    <w:p>
      <w:pPr>
        <w:pStyle w:val="2"/>
        <w:keepNext w:val="0"/>
        <w:keepLines w:val="0"/>
        <w:pageBreakBefore w:val="0"/>
        <w:widowControl w:val="0"/>
        <w:numPr>
          <w:ilvl w:val="0"/>
          <w:numId w:val="0"/>
        </w:numPr>
        <w:wordWrap/>
        <w:overflowPunct/>
        <w:topLinePunct w:val="0"/>
        <w:bidi w:val="0"/>
        <w:adjustRightInd/>
        <w:snapToGrid/>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为了进一步加强城市市容卫生管理，为市民创造良好的生活和工作环境，促进城市文明建设，将商南县城区环卫市场化运营项目进行公开招标。</w:t>
      </w:r>
    </w:p>
    <w:p>
      <w:pPr>
        <w:pStyle w:val="2"/>
        <w:keepNext w:val="0"/>
        <w:keepLines w:val="0"/>
        <w:pageBreakBefore w:val="0"/>
        <w:widowControl w:val="0"/>
        <w:numPr>
          <w:ilvl w:val="0"/>
          <w:numId w:val="0"/>
        </w:numPr>
        <w:wordWrap/>
        <w:overflowPunct/>
        <w:topLinePunct w:val="0"/>
        <w:bidi w:val="0"/>
        <w:adjustRightInd/>
        <w:snapToGrid/>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bookmarkStart w:id="74" w:name="_Toc13272"/>
      <w:r>
        <w:rPr>
          <w:rFonts w:hint="eastAsia" w:ascii="宋体" w:hAnsi="宋体" w:eastAsia="宋体" w:cs="宋体"/>
          <w:b w:val="0"/>
          <w:color w:val="auto"/>
          <w:kern w:val="2"/>
          <w:sz w:val="24"/>
          <w:szCs w:val="24"/>
          <w:highlight w:val="none"/>
          <w:lang w:val="en-US" w:eastAsia="zh-CN" w:bidi="ar-SA"/>
        </w:rPr>
        <w:t>二、城区环卫作业范围</w:t>
      </w:r>
      <w:bookmarkEnd w:id="74"/>
    </w:p>
    <w:p>
      <w:pPr>
        <w:pStyle w:val="2"/>
        <w:keepNext w:val="0"/>
        <w:keepLines w:val="0"/>
        <w:pageBreakBefore w:val="0"/>
        <w:widowControl w:val="0"/>
        <w:numPr>
          <w:ilvl w:val="0"/>
          <w:numId w:val="0"/>
        </w:numPr>
        <w:wordWrap/>
        <w:overflowPunct/>
        <w:topLinePunct w:val="0"/>
        <w:bidi w:val="0"/>
        <w:adjustRightInd/>
        <w:snapToGrid/>
        <w:spacing w:line="360" w:lineRule="auto"/>
        <w:ind w:firstLine="480" w:firstLineChars="200"/>
        <w:rPr>
          <w:rFonts w:hint="eastAsia" w:ascii="宋体" w:hAnsi="宋体" w:eastAsia="宋体" w:cs="宋体"/>
          <w:color w:val="auto"/>
          <w:sz w:val="24"/>
          <w:szCs w:val="24"/>
          <w:highlight w:val="none"/>
          <w:lang w:val="en-US" w:eastAsia="zh-CN"/>
        </w:rPr>
      </w:pPr>
      <w:bookmarkStart w:id="75" w:name="_Toc16091"/>
      <w:r>
        <w:rPr>
          <w:rFonts w:hint="eastAsia" w:ascii="宋体" w:hAnsi="宋体" w:eastAsia="宋体" w:cs="宋体"/>
          <w:b w:val="0"/>
          <w:color w:val="auto"/>
          <w:kern w:val="2"/>
          <w:sz w:val="24"/>
          <w:szCs w:val="24"/>
          <w:highlight w:val="none"/>
          <w:lang w:val="en-US" w:eastAsia="zh-CN" w:bidi="ar-SA"/>
        </w:rPr>
        <w:t>1、城区所有道路、花园、公园、</w:t>
      </w:r>
      <w:r>
        <w:rPr>
          <w:rFonts w:hint="eastAsia" w:ascii="宋体" w:hAnsi="宋体" w:eastAsia="宋体" w:cs="宋体"/>
          <w:color w:val="auto"/>
          <w:sz w:val="24"/>
          <w:szCs w:val="24"/>
          <w:highlight w:val="none"/>
          <w:lang w:val="en-US" w:eastAsia="zh-CN"/>
        </w:rPr>
        <w:t>绿地、广场、临街小巷</w:t>
      </w:r>
      <w:bookmarkEnd w:id="75"/>
      <w:r>
        <w:rPr>
          <w:rFonts w:hint="eastAsia" w:ascii="宋体" w:hAnsi="宋体" w:eastAsia="宋体" w:cs="宋体"/>
          <w:color w:val="auto"/>
          <w:sz w:val="24"/>
          <w:szCs w:val="24"/>
          <w:highlight w:val="none"/>
          <w:lang w:val="en-US" w:eastAsia="zh-CN"/>
        </w:rPr>
        <w:t>，清扫保洁面积为1166138.42m</w:t>
      </w:r>
      <w:r>
        <w:rPr>
          <w:rFonts w:hint="eastAsia" w:ascii="宋体" w:hAnsi="宋体" w:eastAsia="宋体" w:cs="宋体"/>
          <w:color w:val="auto"/>
          <w:sz w:val="24"/>
          <w:szCs w:val="24"/>
          <w:highlight w:val="none"/>
          <w:vertAlign w:val="superscript"/>
          <w:lang w:val="en-US" w:eastAsia="zh-CN"/>
        </w:rPr>
        <w:t>2</w:t>
      </w:r>
      <w:r>
        <w:rPr>
          <w:rFonts w:hint="eastAsia" w:ascii="宋体" w:hAnsi="宋体" w:eastAsia="宋体" w:cs="宋体"/>
          <w:color w:val="auto"/>
          <w:sz w:val="24"/>
          <w:szCs w:val="24"/>
          <w:highlight w:val="none"/>
          <w:lang w:val="en-US" w:eastAsia="zh-CN"/>
        </w:rPr>
        <w:t>；</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2、城区内的所有公厕，建成区“七沟一河”（未计入面积），城中村、城乡结合部；</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color w:val="auto"/>
          <w:kern w:val="2"/>
          <w:sz w:val="24"/>
          <w:szCs w:val="24"/>
          <w:highlight w:val="none"/>
          <w:lang w:val="en-US" w:eastAsia="zh-CN" w:bidi="ar-SA"/>
        </w:rPr>
        <w:t>3、商南县迎宾大道（二期）、商陨路、工业大道、沐河路、神州路、秀水路、幸福路（二期）、司法局路、移民路及以及托管区域内河道、公厕、垃圾中转站，清扫保洁面积为380400</w:t>
      </w:r>
      <w:r>
        <w:rPr>
          <w:rFonts w:hint="eastAsia" w:ascii="宋体" w:hAnsi="宋体" w:eastAsia="宋体" w:cs="宋体"/>
          <w:color w:val="auto"/>
          <w:sz w:val="24"/>
          <w:szCs w:val="24"/>
          <w:highlight w:val="none"/>
          <w:lang w:val="en-US" w:eastAsia="zh-CN"/>
        </w:rPr>
        <w:t>m</w:t>
      </w:r>
      <w:r>
        <w:rPr>
          <w:rFonts w:hint="eastAsia" w:ascii="宋体" w:hAnsi="宋体" w:eastAsia="宋体" w:cs="宋体"/>
          <w:color w:val="auto"/>
          <w:sz w:val="24"/>
          <w:szCs w:val="24"/>
          <w:highlight w:val="none"/>
          <w:vertAlign w:val="superscript"/>
          <w:lang w:val="en-US" w:eastAsia="zh-CN"/>
        </w:rPr>
        <w:t>2</w:t>
      </w:r>
      <w:r>
        <w:rPr>
          <w:rFonts w:hint="eastAsia" w:ascii="宋体" w:hAnsi="宋体" w:eastAsia="宋体" w:cs="宋体"/>
          <w:b w:val="0"/>
          <w:color w:val="auto"/>
          <w:kern w:val="2"/>
          <w:sz w:val="24"/>
          <w:szCs w:val="24"/>
          <w:highlight w:val="none"/>
          <w:lang w:val="en-US" w:eastAsia="zh-CN" w:bidi="ar-SA"/>
        </w:rPr>
        <w:t>；</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color w:val="auto"/>
          <w:kern w:val="2"/>
          <w:sz w:val="24"/>
          <w:szCs w:val="24"/>
          <w:highlight w:val="none"/>
          <w:lang w:val="en-US" w:eastAsia="zh-CN" w:bidi="ar-SA"/>
        </w:rPr>
        <w:t>4、西街公共部分中央大街、文卫路、文旅路，包括沿线绿化带、人行道、车行道、广场，清扫保洁面积为50579</w:t>
      </w:r>
      <w:r>
        <w:rPr>
          <w:rFonts w:hint="eastAsia" w:ascii="宋体" w:hAnsi="宋体" w:eastAsia="宋体" w:cs="宋体"/>
          <w:color w:val="auto"/>
          <w:sz w:val="24"/>
          <w:szCs w:val="24"/>
          <w:highlight w:val="none"/>
          <w:lang w:val="en-US" w:eastAsia="zh-CN"/>
        </w:rPr>
        <w:t>m</w:t>
      </w:r>
      <w:r>
        <w:rPr>
          <w:rFonts w:hint="eastAsia" w:ascii="宋体" w:hAnsi="宋体" w:eastAsia="宋体" w:cs="宋体"/>
          <w:color w:val="auto"/>
          <w:sz w:val="24"/>
          <w:szCs w:val="24"/>
          <w:highlight w:val="none"/>
          <w:vertAlign w:val="superscript"/>
          <w:lang w:val="en-US" w:eastAsia="zh-CN"/>
        </w:rPr>
        <w:t>2</w:t>
      </w:r>
      <w:r>
        <w:rPr>
          <w:rFonts w:hint="eastAsia" w:ascii="宋体" w:hAnsi="宋体" w:eastAsia="宋体" w:cs="宋体"/>
          <w:b w:val="0"/>
          <w:color w:val="auto"/>
          <w:kern w:val="2"/>
          <w:sz w:val="24"/>
          <w:szCs w:val="24"/>
          <w:highlight w:val="none"/>
          <w:lang w:val="en-US" w:eastAsia="zh-CN" w:bidi="ar-SA"/>
        </w:rPr>
        <w:t>；</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color w:val="auto"/>
          <w:kern w:val="2"/>
          <w:sz w:val="24"/>
          <w:szCs w:val="24"/>
          <w:highlight w:val="none"/>
          <w:lang w:val="en-US" w:eastAsia="zh-CN" w:bidi="ar-SA"/>
        </w:rPr>
        <w:t>5、G312国道城区段（原县水泥厂大门中心线以东至移民路与G312国道交汇处以西）、永乐街（东兴小学），包括沿线绿化带、人行道、车行道、排水沟，清扫保洁面积为118100</w:t>
      </w:r>
      <w:r>
        <w:rPr>
          <w:rFonts w:hint="eastAsia" w:ascii="宋体" w:hAnsi="宋体" w:eastAsia="宋体" w:cs="宋体"/>
          <w:color w:val="auto"/>
          <w:sz w:val="24"/>
          <w:szCs w:val="24"/>
          <w:highlight w:val="none"/>
          <w:lang w:val="en-US" w:eastAsia="zh-CN"/>
        </w:rPr>
        <w:t>m</w:t>
      </w:r>
      <w:r>
        <w:rPr>
          <w:rFonts w:hint="eastAsia" w:ascii="宋体" w:hAnsi="宋体" w:eastAsia="宋体" w:cs="宋体"/>
          <w:color w:val="auto"/>
          <w:sz w:val="24"/>
          <w:szCs w:val="24"/>
          <w:highlight w:val="none"/>
          <w:vertAlign w:val="superscript"/>
          <w:lang w:val="en-US" w:eastAsia="zh-CN"/>
        </w:rPr>
        <w:t>2</w:t>
      </w:r>
      <w:r>
        <w:rPr>
          <w:rFonts w:hint="eastAsia" w:ascii="宋体" w:hAnsi="宋体" w:eastAsia="宋体" w:cs="宋体"/>
          <w:b w:val="0"/>
          <w:color w:val="auto"/>
          <w:kern w:val="2"/>
          <w:sz w:val="24"/>
          <w:szCs w:val="24"/>
          <w:highlight w:val="none"/>
          <w:lang w:val="en-US" w:eastAsia="zh-CN" w:bidi="ar-SA"/>
        </w:rPr>
        <w:t>；</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以上1、3、4、5项管理清扫保洁面积共计171.52万</w:t>
      </w:r>
      <w:r>
        <w:rPr>
          <w:rFonts w:hint="eastAsia" w:ascii="宋体" w:hAnsi="宋体" w:eastAsia="宋体" w:cs="宋体"/>
          <w:color w:val="auto"/>
          <w:sz w:val="24"/>
          <w:szCs w:val="24"/>
          <w:highlight w:val="none"/>
          <w:lang w:val="en-US" w:eastAsia="zh-CN"/>
        </w:rPr>
        <w:t>m</w:t>
      </w:r>
      <w:r>
        <w:rPr>
          <w:rFonts w:hint="eastAsia" w:ascii="宋体" w:hAnsi="宋体" w:eastAsia="宋体" w:cs="宋体"/>
          <w:color w:val="auto"/>
          <w:sz w:val="24"/>
          <w:szCs w:val="24"/>
          <w:highlight w:val="none"/>
          <w:vertAlign w:val="superscript"/>
          <w:lang w:val="en-US" w:eastAsia="zh-CN"/>
        </w:rPr>
        <w:t>2</w:t>
      </w:r>
      <w:r>
        <w:rPr>
          <w:rFonts w:hint="eastAsia" w:ascii="宋体" w:hAnsi="宋体" w:eastAsia="宋体" w:cs="宋体"/>
          <w:color w:val="auto"/>
          <w:sz w:val="24"/>
          <w:szCs w:val="24"/>
          <w:highlight w:val="none"/>
          <w:lang w:val="en-US" w:eastAsia="zh-CN"/>
        </w:rPr>
        <w:t>。</w:t>
      </w:r>
    </w:p>
    <w:p>
      <w:pPr>
        <w:keepNext w:val="0"/>
        <w:keepLines w:val="0"/>
        <w:pageBreakBefore w:val="0"/>
        <w:widowControl w:val="0"/>
        <w:suppressLineNumbers w:val="0"/>
        <w:kinsoku w:val="0"/>
        <w:wordWrap/>
        <w:overflowPunct/>
        <w:topLinePunct w:val="0"/>
        <w:autoSpaceDE w:val="0"/>
        <w:autoSpaceDN w:val="0"/>
        <w:bidi w:val="0"/>
        <w:adjustRightInd/>
        <w:snapToGrid/>
        <w:spacing w:beforeAutospacing="0" w:after="0" w:afterAutospacing="0" w:line="360" w:lineRule="auto"/>
        <w:ind w:left="0" w:leftChars="0" w:right="0" w:firstLine="480" w:firstLineChars="200"/>
        <w:jc w:val="both"/>
        <w:textAlignment w:val="baseline"/>
        <w:rPr>
          <w:rFonts w:hint="eastAsia" w:ascii="宋体" w:hAnsi="宋体" w:eastAsia="宋体" w:cs="宋体"/>
          <w:snapToGrid/>
          <w:color w:val="auto"/>
          <w:spacing w:val="8"/>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6、滨河东路、福田路、</w:t>
      </w:r>
      <w:r>
        <w:rPr>
          <w:rFonts w:hint="eastAsia" w:ascii="宋体" w:hAnsi="宋体" w:eastAsia="宋体" w:cs="宋体"/>
          <w:snapToGrid/>
          <w:color w:val="auto"/>
          <w:spacing w:val="12"/>
          <w:kern w:val="0"/>
          <w:sz w:val="24"/>
          <w:szCs w:val="24"/>
          <w:highlight w:val="none"/>
          <w:lang w:val="en-US" w:eastAsia="zh-CN" w:bidi="ar"/>
        </w:rPr>
        <w:t>火车站广场、安仁门广场、党校5座新建的公厕及在建的5座公</w:t>
      </w:r>
      <w:r>
        <w:rPr>
          <w:rFonts w:hint="eastAsia" w:ascii="宋体" w:hAnsi="宋体" w:eastAsia="宋体" w:cs="宋体"/>
          <w:snapToGrid/>
          <w:color w:val="auto"/>
          <w:spacing w:val="-2"/>
          <w:kern w:val="0"/>
          <w:sz w:val="24"/>
          <w:szCs w:val="24"/>
          <w:highlight w:val="none"/>
          <w:lang w:val="en-US" w:eastAsia="zh-CN" w:bidi="ar"/>
        </w:rPr>
        <w:t>厕和上河小区、气象局、富家沟安置区、开源路、黄家坡安置区、</w:t>
      </w:r>
      <w:r>
        <w:rPr>
          <w:rFonts w:hint="eastAsia" w:ascii="宋体" w:hAnsi="宋体" w:eastAsia="宋体" w:cs="宋体"/>
          <w:snapToGrid/>
          <w:color w:val="auto"/>
          <w:spacing w:val="9"/>
          <w:kern w:val="0"/>
          <w:sz w:val="24"/>
          <w:szCs w:val="24"/>
          <w:highlight w:val="none"/>
          <w:lang w:val="en-US" w:eastAsia="zh-CN" w:bidi="ar"/>
        </w:rPr>
        <w:t>现代产业园、秦</w:t>
      </w:r>
      <w:r>
        <w:rPr>
          <w:rFonts w:hint="eastAsia" w:ascii="宋体" w:hAnsi="宋体" w:eastAsia="宋体" w:cs="宋体"/>
          <w:snapToGrid/>
          <w:color w:val="auto"/>
          <w:spacing w:val="8"/>
          <w:kern w:val="0"/>
          <w:sz w:val="24"/>
          <w:szCs w:val="24"/>
          <w:highlight w:val="none"/>
          <w:lang w:val="en-US" w:eastAsia="zh-CN" w:bidi="ar"/>
        </w:rPr>
        <w:t>楚印象、朝阳路与城市道路的连接线3.6万</w:t>
      </w:r>
      <w:r>
        <w:rPr>
          <w:rFonts w:hint="eastAsia" w:ascii="宋体" w:hAnsi="宋体" w:eastAsia="宋体" w:cs="宋体"/>
          <w:color w:val="auto"/>
          <w:sz w:val="24"/>
          <w:szCs w:val="24"/>
          <w:highlight w:val="none"/>
          <w:lang w:val="en-US" w:eastAsia="zh-CN"/>
        </w:rPr>
        <w:t>m</w:t>
      </w:r>
      <w:r>
        <w:rPr>
          <w:rFonts w:hint="eastAsia" w:ascii="宋体" w:hAnsi="宋体" w:eastAsia="宋体" w:cs="宋体"/>
          <w:color w:val="auto"/>
          <w:sz w:val="24"/>
          <w:szCs w:val="24"/>
          <w:highlight w:val="none"/>
          <w:vertAlign w:val="superscript"/>
          <w:lang w:val="en-US" w:eastAsia="zh-CN"/>
        </w:rPr>
        <w:t>2</w:t>
      </w:r>
      <w:r>
        <w:rPr>
          <w:rFonts w:hint="eastAsia" w:ascii="宋体" w:hAnsi="宋体" w:eastAsia="宋体" w:cs="宋体"/>
          <w:snapToGrid/>
          <w:color w:val="auto"/>
          <w:spacing w:val="8"/>
          <w:kern w:val="0"/>
          <w:sz w:val="24"/>
          <w:szCs w:val="24"/>
          <w:highlight w:val="none"/>
          <w:lang w:val="en-US" w:eastAsia="zh-CN" w:bidi="ar"/>
        </w:rPr>
        <w:t>。</w:t>
      </w:r>
    </w:p>
    <w:p>
      <w:pPr>
        <w:pStyle w:val="2"/>
        <w:keepNext w:val="0"/>
        <w:keepLines w:val="0"/>
        <w:pageBreakBefore w:val="0"/>
        <w:widowControl w:val="0"/>
        <w:numPr>
          <w:ilvl w:val="0"/>
          <w:numId w:val="0"/>
        </w:numPr>
        <w:wordWrap/>
        <w:overflowPunct/>
        <w:topLinePunct w:val="0"/>
        <w:bidi w:val="0"/>
        <w:adjustRightInd/>
        <w:snapToGrid/>
        <w:spacing w:line="360" w:lineRule="auto"/>
        <w:ind w:firstLine="472" w:firstLineChars="200"/>
        <w:rPr>
          <w:rFonts w:hint="eastAsia" w:ascii="宋体" w:hAnsi="宋体" w:eastAsia="宋体" w:cs="宋体"/>
          <w:snapToGrid/>
          <w:color w:val="auto"/>
          <w:spacing w:val="-2"/>
          <w:kern w:val="0"/>
          <w:sz w:val="24"/>
          <w:szCs w:val="24"/>
          <w:highlight w:val="none"/>
          <w:lang w:val="en-US" w:eastAsia="zh-CN" w:bidi="ar"/>
        </w:rPr>
      </w:pPr>
      <w:r>
        <w:rPr>
          <w:rFonts w:hint="eastAsia" w:ascii="宋体" w:hAnsi="宋体" w:eastAsia="宋体" w:cs="宋体"/>
          <w:snapToGrid/>
          <w:color w:val="auto"/>
          <w:spacing w:val="-2"/>
          <w:kern w:val="0"/>
          <w:sz w:val="24"/>
          <w:szCs w:val="24"/>
          <w:highlight w:val="none"/>
          <w:lang w:val="en-US" w:eastAsia="zh-CN" w:bidi="ar"/>
        </w:rPr>
        <w:t>以上6项管理清扫保洁面积共计175.12万</w:t>
      </w:r>
      <w:r>
        <w:rPr>
          <w:rFonts w:hint="eastAsia" w:ascii="宋体" w:hAnsi="宋体" w:eastAsia="宋体" w:cs="宋体"/>
          <w:color w:val="auto"/>
          <w:sz w:val="24"/>
          <w:szCs w:val="24"/>
          <w:highlight w:val="none"/>
          <w:lang w:val="en-US" w:eastAsia="zh-CN"/>
        </w:rPr>
        <w:t>m</w:t>
      </w:r>
      <w:r>
        <w:rPr>
          <w:rFonts w:hint="eastAsia" w:ascii="宋体" w:hAnsi="宋体" w:eastAsia="宋体" w:cs="宋体"/>
          <w:color w:val="auto"/>
          <w:sz w:val="24"/>
          <w:szCs w:val="24"/>
          <w:highlight w:val="none"/>
          <w:vertAlign w:val="superscript"/>
          <w:lang w:val="en-US" w:eastAsia="zh-CN"/>
        </w:rPr>
        <w:t>2</w:t>
      </w:r>
      <w:r>
        <w:rPr>
          <w:rFonts w:hint="eastAsia" w:ascii="宋体" w:hAnsi="宋体" w:eastAsia="宋体" w:cs="宋体"/>
          <w:snapToGrid/>
          <w:color w:val="auto"/>
          <w:spacing w:val="-2"/>
          <w:kern w:val="0"/>
          <w:sz w:val="24"/>
          <w:szCs w:val="24"/>
          <w:highlight w:val="none"/>
          <w:lang w:val="en-US" w:eastAsia="zh-CN" w:bidi="ar"/>
        </w:rPr>
        <w:t>。</w:t>
      </w:r>
    </w:p>
    <w:p>
      <w:pPr>
        <w:pStyle w:val="2"/>
        <w:keepNext w:val="0"/>
        <w:keepLines w:val="0"/>
        <w:pageBreakBefore w:val="0"/>
        <w:widowControl w:val="0"/>
        <w:numPr>
          <w:ilvl w:val="0"/>
          <w:numId w:val="0"/>
        </w:numPr>
        <w:wordWrap/>
        <w:overflowPunct/>
        <w:topLinePunct w:val="0"/>
        <w:bidi w:val="0"/>
        <w:adjustRightInd/>
        <w:snapToGrid/>
        <w:spacing w:line="360" w:lineRule="auto"/>
        <w:ind w:firstLine="472" w:firstLineChars="200"/>
        <w:rPr>
          <w:rFonts w:hint="eastAsia" w:ascii="宋体" w:hAnsi="宋体" w:eastAsia="宋体" w:cs="宋体"/>
          <w:snapToGrid/>
          <w:color w:val="auto"/>
          <w:spacing w:val="-2"/>
          <w:kern w:val="0"/>
          <w:sz w:val="24"/>
          <w:szCs w:val="24"/>
          <w:highlight w:val="none"/>
          <w:lang w:val="en-US" w:eastAsia="zh-CN" w:bidi="ar"/>
        </w:rPr>
      </w:pPr>
      <w:bookmarkStart w:id="76" w:name="_Toc9933"/>
      <w:r>
        <w:rPr>
          <w:rFonts w:hint="eastAsia" w:ascii="宋体" w:hAnsi="宋体" w:eastAsia="宋体" w:cs="宋体"/>
          <w:snapToGrid/>
          <w:color w:val="auto"/>
          <w:spacing w:val="-2"/>
          <w:kern w:val="0"/>
          <w:sz w:val="24"/>
          <w:szCs w:val="24"/>
          <w:highlight w:val="none"/>
          <w:lang w:val="en-US" w:eastAsia="zh-CN" w:bidi="ar"/>
        </w:rPr>
        <w:t>三、环卫作业内容</w:t>
      </w:r>
      <w:bookmarkEnd w:id="76"/>
    </w:p>
    <w:p>
      <w:pPr>
        <w:pStyle w:val="2"/>
        <w:keepNext w:val="0"/>
        <w:keepLines w:val="0"/>
        <w:pageBreakBefore w:val="0"/>
        <w:widowControl w:val="0"/>
        <w:numPr>
          <w:ilvl w:val="0"/>
          <w:numId w:val="0"/>
        </w:numPr>
        <w:wordWrap/>
        <w:overflowPunct/>
        <w:topLinePunct w:val="0"/>
        <w:bidi w:val="0"/>
        <w:adjustRightInd/>
        <w:snapToGrid/>
        <w:spacing w:line="360" w:lineRule="auto"/>
        <w:ind w:firstLine="47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snapToGrid/>
          <w:color w:val="auto"/>
          <w:spacing w:val="-2"/>
          <w:kern w:val="0"/>
          <w:sz w:val="24"/>
          <w:szCs w:val="24"/>
          <w:highlight w:val="none"/>
          <w:lang w:val="en-US" w:eastAsia="zh-CN" w:bidi="ar"/>
        </w:rPr>
        <w:t>1、作业区域内所有市政道路（含人行道、快慢行车道、公园、花园、广场、绿化带等）的清扫、保洁、洒水、冲洗及垃圾的收集、清运工作（含实行有偿服务的单位及居住区等垃圾清运）。按照市、县清扫要求标准，机械清</w:t>
      </w:r>
      <w:r>
        <w:rPr>
          <w:rFonts w:hint="eastAsia" w:ascii="宋体" w:hAnsi="宋体" w:eastAsia="宋体" w:cs="宋体"/>
          <w:color w:val="auto"/>
          <w:sz w:val="24"/>
          <w:szCs w:val="24"/>
          <w:highlight w:val="none"/>
          <w:lang w:val="en-US" w:eastAsia="zh-CN"/>
        </w:rPr>
        <w:t>扫率必须达到80%以上。</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auto"/>
          <w:sz w:val="24"/>
          <w:szCs w:val="24"/>
          <w:highlight w:val="none"/>
          <w:lang w:val="en-US" w:eastAsia="zh-CN"/>
        </w:rPr>
      </w:pPr>
      <w:bookmarkStart w:id="77" w:name="_Toc28731"/>
      <w:r>
        <w:rPr>
          <w:rFonts w:hint="eastAsia" w:ascii="宋体" w:hAnsi="宋体" w:eastAsia="宋体" w:cs="宋体"/>
          <w:color w:val="auto"/>
          <w:sz w:val="24"/>
          <w:szCs w:val="24"/>
          <w:highlight w:val="none"/>
          <w:lang w:val="en-US" w:eastAsia="zh-CN"/>
        </w:rPr>
        <w:t>2、作业区域范围内的道路隔离带及树坑的环卫保洁工作。</w:t>
      </w:r>
      <w:bookmarkEnd w:id="77"/>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3、作业区域内果皮箱、垃圾桶的保洁，道路零星散落生活垃圾的收集，座椅、路牌、灯杆等市政设施的保洁，张贴栏及野广告清理等工作。</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4、清除道路上暴雨冲带泥沙和积雪积冰等工作。</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5、作业区域河道生活垃圾清除保洁工作。</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6、作业区域内的公厕清扫、保洁、维护。</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7、城管局安排的其他工作。</w:t>
      </w:r>
    </w:p>
    <w:p>
      <w:pPr>
        <w:pStyle w:val="2"/>
        <w:keepNext w:val="0"/>
        <w:keepLines w:val="0"/>
        <w:pageBreakBefore w:val="0"/>
        <w:widowControl w:val="0"/>
        <w:numPr>
          <w:ilvl w:val="0"/>
          <w:numId w:val="0"/>
        </w:numPr>
        <w:wordWrap/>
        <w:overflowPunct/>
        <w:topLinePunct w:val="0"/>
        <w:bidi w:val="0"/>
        <w:adjustRightInd/>
        <w:snapToGrid/>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服务期：</w:t>
      </w:r>
      <w:r>
        <w:rPr>
          <w:rFonts w:hint="eastAsia" w:ascii="宋体" w:hAnsi="宋体" w:cs="宋体"/>
          <w:sz w:val="24"/>
          <w:szCs w:val="24"/>
          <w:highlight w:val="none"/>
          <w:lang w:val="en-US" w:eastAsia="zh-CN"/>
        </w:rPr>
        <w:t>三年</w:t>
      </w:r>
      <w:r>
        <w:rPr>
          <w:rFonts w:hint="eastAsia" w:ascii="宋体" w:hAnsi="宋体" w:eastAsia="宋体" w:cs="宋体"/>
          <w:b w:val="0"/>
          <w:color w:val="auto"/>
          <w:kern w:val="2"/>
          <w:sz w:val="24"/>
          <w:szCs w:val="24"/>
          <w:highlight w:val="none"/>
          <w:lang w:val="en-US" w:eastAsia="zh-CN" w:bidi="ar-SA"/>
        </w:rPr>
        <w:t xml:space="preserve">  </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、道路清扫保洁工作要求及标准</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第一条 运营</w:t>
      </w:r>
      <w:r>
        <w:rPr>
          <w:rFonts w:hint="eastAsia" w:ascii="宋体" w:hAnsi="宋体" w:eastAsia="宋体" w:cs="宋体"/>
          <w:sz w:val="24"/>
          <w:szCs w:val="24"/>
          <w:highlight w:val="none"/>
        </w:rPr>
        <w:t>形式</w:t>
      </w:r>
      <w:r>
        <w:rPr>
          <w:rFonts w:hint="eastAsia" w:ascii="宋体" w:hAnsi="宋体" w:eastAsia="宋体" w:cs="宋体"/>
          <w:sz w:val="24"/>
          <w:szCs w:val="24"/>
          <w:highlight w:val="none"/>
          <w:lang w:eastAsia="zh-CN"/>
        </w:rPr>
        <w:t>：</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采用全托管形式，即管理任务包干、经费包干。甲方将管理任务交给乙方，乙方按甲方的管理要求和标准组织服务和管理工作，并全面接受甲方的指导、监督、检查验收和考核，甲方按约定支付托管费用</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第二条</w:t>
      </w:r>
      <w:r>
        <w:rPr>
          <w:rFonts w:hint="eastAsia" w:ascii="宋体" w:hAnsi="宋体" w:eastAsia="宋体" w:cs="宋体"/>
          <w:sz w:val="24"/>
          <w:szCs w:val="24"/>
          <w:highlight w:val="none"/>
        </w:rPr>
        <w:t xml:space="preserve">  托管费用的结算依据和付款办法：</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（一）结算依据：环卫作业质量标准、工作程序、考核打分，评分结果作为当月付费结算的依据。（考核办法详见附件）</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（二）结算方式：按月结算，月基础结算费用=中标价/12个月；按照评估考核结果计算最终月结算费用。当月最终结算费用次月支付。</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（三）对于新增加的保洁面积，由县财政局、人社局、审计局、城管局及运营公司现场共同实测核定签字确认，核定增加的保洁费用，按本协议约定单价确定保洁费用的支付。</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（四）乙方对“清扫保洁费用结算单”领取确认后，根据清单金额开具合法的正式发票交商南县城市管理局办理结算手续。甲方以银行转账的方式汇入乙方银行账户。</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1、作业要求。道路每天清扫时间为：早上7点前完成。路面全体巡回保洁时间为：夏季7:00-22：00；冬季：7:00-21:00.根据季节不同，每天定期对道路进行洒水。</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2、用工要求</w:t>
      </w:r>
      <w:r>
        <w:rPr>
          <w:rFonts w:hint="eastAsia" w:hAnsi="宋体" w:cs="宋体"/>
          <w:sz w:val="24"/>
          <w:szCs w:val="24"/>
          <w:highlight w:val="none"/>
          <w:lang w:eastAsia="zh-CN"/>
        </w:rPr>
        <w:t>：</w:t>
      </w:r>
      <w:r>
        <w:rPr>
          <w:rFonts w:hint="eastAsia" w:ascii="宋体" w:hAnsi="宋体" w:eastAsia="宋体" w:cs="宋体"/>
          <w:sz w:val="24"/>
          <w:szCs w:val="24"/>
          <w:highlight w:val="none"/>
        </w:rPr>
        <w:t>承包人依据劳动法等相关法律规定自行聘用清扫保洁员（中标单位全部接受现有保洁员</w:t>
      </w:r>
      <w:r>
        <w:rPr>
          <w:rFonts w:hint="eastAsia" w:hAnsi="宋体" w:cs="宋体"/>
          <w:sz w:val="24"/>
          <w:szCs w:val="24"/>
          <w:highlight w:val="none"/>
          <w:lang w:val="en-US" w:eastAsia="zh-CN"/>
        </w:rPr>
        <w:t>及</w:t>
      </w:r>
      <w:r>
        <w:rPr>
          <w:rFonts w:hint="eastAsia" w:hAnsi="宋体" w:cs="宋体"/>
          <w:bCs/>
          <w:szCs w:val="24"/>
          <w:highlight w:val="none"/>
        </w:rPr>
        <w:t>环卫设备</w:t>
      </w:r>
      <w:r>
        <w:rPr>
          <w:rFonts w:hint="eastAsia" w:ascii="宋体" w:hAnsi="宋体" w:eastAsia="宋体" w:cs="宋体"/>
          <w:sz w:val="24"/>
          <w:szCs w:val="24"/>
          <w:highlight w:val="none"/>
        </w:rPr>
        <w:t>，6个月后，对不符合法定用工条件，由承包企业办理解聘手续，不足人员由承包企业自行聘用），签订劳动用工合同，缴纳国家规定的社会保障费用，保证其工资不低于本地公益性岗位工资标准，配备相应的劳动保护用品、环卫服装和劳动工具等，并发放节假日的相应福利。</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3、城管局现有的公益岗人员和社招人员，交由企业按照《陕西省公益岗位开发管理暂行办法》管理考核使用</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4、加强安全教育。承包人要加强对职工的安全生产教育，做到着装上岗，规范作业，凡未按照安全规范要求作业，出现安全责任事故的，由企业承担。</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5、强化检查考核。为全面落实工作责任，城管局将按照《商南县环卫作业质量标准及检查考核办法》全面进行质量考核</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6、劳动保险，承包人必须按照《劳动法》的要求购置响应险种，确保环卫工人的人身安全和施工机械安全。</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、企业管理要求</w:t>
      </w:r>
    </w:p>
    <w:p>
      <w:pPr>
        <w:keepNext w:val="0"/>
        <w:keepLines w:val="0"/>
        <w:pageBreakBefore w:val="0"/>
        <w:widowControl w:val="0"/>
        <w:wordWrap/>
        <w:overflowPunct/>
        <w:topLinePunct w:val="0"/>
        <w:bidi w:val="0"/>
        <w:adjustRightInd/>
        <w:snapToGri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bCs/>
          <w:sz w:val="24"/>
          <w:szCs w:val="24"/>
          <w:highlight w:val="none"/>
        </w:rPr>
        <w:t>投标人须建立规范的企业管理制度，做好所属环卫工人和车辆的安全工作，严格服从所属环卫管理单位交办的各项任务，针对节假日、重大活动及其他临时突发事件应制定相关应急预案，通过GPS、大数据分析等市县环卫管理智能化。</w:t>
      </w:r>
    </w:p>
    <w:p>
      <w:pPr>
        <w:keepNext w:val="0"/>
        <w:keepLines w:val="0"/>
        <w:pageBreakBefore w:val="0"/>
        <w:widowControl w:val="0"/>
        <w:numPr>
          <w:ilvl w:val="0"/>
          <w:numId w:val="0"/>
        </w:numPr>
        <w:wordWrap/>
        <w:overflowPunct/>
        <w:topLinePunct w:val="0"/>
        <w:bidi w:val="0"/>
        <w:adjustRightInd/>
        <w:snapToGrid/>
        <w:spacing w:line="360" w:lineRule="auto"/>
        <w:ind w:firstLine="480" w:firstLineChars="200"/>
        <w:jc w:val="left"/>
        <w:rPr>
          <w:rFonts w:hint="eastAsia" w:ascii="宋体" w:hAnsi="宋体" w:eastAsia="宋体" w:cs="宋体"/>
          <w:bCs/>
          <w:sz w:val="24"/>
          <w:szCs w:val="24"/>
          <w:highlight w:val="none"/>
        </w:rPr>
      </w:pP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本地化服务：</w:t>
      </w:r>
      <w:r>
        <w:rPr>
          <w:rFonts w:hint="eastAsia" w:ascii="宋体" w:hAnsi="宋体" w:eastAsia="宋体" w:cs="宋体"/>
          <w:bCs/>
          <w:sz w:val="24"/>
          <w:szCs w:val="24"/>
          <w:highlight w:val="none"/>
        </w:rPr>
        <w:t>投标人在商南县当地有满足</w:t>
      </w:r>
      <w:r>
        <w:rPr>
          <w:rFonts w:hint="eastAsia" w:ascii="宋体" w:hAnsi="宋体" w:eastAsia="宋体" w:cs="宋体"/>
          <w:bCs/>
          <w:sz w:val="24"/>
          <w:szCs w:val="24"/>
          <w:highlight w:val="none"/>
          <w:lang w:val="en-US" w:eastAsia="zh-CN"/>
        </w:rPr>
        <w:t>实施项目的条件</w:t>
      </w:r>
      <w:r>
        <w:rPr>
          <w:rFonts w:hint="eastAsia" w:ascii="宋体" w:hAnsi="宋体" w:eastAsia="宋体" w:cs="宋体"/>
          <w:bCs/>
          <w:sz w:val="24"/>
          <w:szCs w:val="24"/>
          <w:highlight w:val="none"/>
        </w:rPr>
        <w:t>（</w:t>
      </w:r>
      <w:r>
        <w:rPr>
          <w:rFonts w:hint="eastAsia" w:hAnsi="宋体" w:cs="宋体"/>
          <w:bCs/>
          <w:sz w:val="24"/>
          <w:szCs w:val="24"/>
          <w:highlight w:val="none"/>
          <w:lang w:val="en-US" w:eastAsia="zh-CN"/>
        </w:rPr>
        <w:t>例如：</w:t>
      </w:r>
      <w:r>
        <w:rPr>
          <w:rFonts w:hint="eastAsia" w:ascii="宋体" w:hAnsi="宋体" w:eastAsia="宋体" w:cs="宋体"/>
          <w:bCs/>
          <w:sz w:val="24"/>
          <w:szCs w:val="24"/>
          <w:highlight w:val="none"/>
        </w:rPr>
        <w:t>办公室、停车场、环卫工具存放车间等）</w:t>
      </w:r>
    </w:p>
    <w:p>
      <w:pPr>
        <w:keepNext w:val="0"/>
        <w:keepLines w:val="0"/>
        <w:pageBreakBefore w:val="0"/>
        <w:widowControl w:val="0"/>
        <w:numPr>
          <w:ilvl w:val="0"/>
          <w:numId w:val="0"/>
        </w:numPr>
        <w:wordWrap/>
        <w:overflowPunct/>
        <w:topLinePunct w:val="0"/>
        <w:bidi w:val="0"/>
        <w:adjustRightInd/>
        <w:snapToGri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八、</w:t>
      </w:r>
      <w:r>
        <w:rPr>
          <w:rFonts w:hint="eastAsia" w:ascii="宋体" w:hAnsi="宋体" w:eastAsia="宋体" w:cs="宋体"/>
          <w:sz w:val="24"/>
          <w:szCs w:val="24"/>
          <w:highlight w:val="none"/>
        </w:rPr>
        <w:t>服务承诺：投标人必须保证不拖欠农民工资。</w:t>
      </w:r>
    </w:p>
    <w:p>
      <w:pPr>
        <w:keepNext w:val="0"/>
        <w:keepLines w:val="0"/>
        <w:pageBreakBefore w:val="0"/>
        <w:widowControl w:val="0"/>
        <w:numPr>
          <w:ilvl w:val="0"/>
          <w:numId w:val="0"/>
        </w:numPr>
        <w:wordWrap/>
        <w:overflowPunct/>
        <w:topLinePunct w:val="0"/>
        <w:bidi w:val="0"/>
        <w:adjustRightInd/>
        <w:snapToGrid/>
        <w:spacing w:line="360" w:lineRule="auto"/>
        <w:ind w:firstLine="480" w:firstLineChars="20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九、</w:t>
      </w:r>
      <w:r>
        <w:rPr>
          <w:rFonts w:hint="eastAsia" w:hAnsi="宋体" w:cs="宋体"/>
          <w:sz w:val="24"/>
          <w:szCs w:val="24"/>
          <w:highlight w:val="none"/>
          <w:lang w:val="en-US" w:eastAsia="zh-CN"/>
        </w:rPr>
        <w:t>本项目投入作业人员、机械设备等应满足实施本项目的全部要求。</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sz w:val="24"/>
          <w:szCs w:val="24"/>
          <w:highlight w:val="none"/>
        </w:rPr>
      </w:pPr>
      <w:r>
        <w:rPr>
          <w:rFonts w:hint="eastAsia" w:hAnsi="宋体" w:cs="宋体"/>
          <w:sz w:val="24"/>
          <w:szCs w:val="24"/>
          <w:highlight w:val="none"/>
          <w:lang w:val="en-US" w:eastAsia="zh-CN"/>
        </w:rPr>
        <w:t>十</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附件（考评办法及评分细则）</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附件</w:t>
      </w:r>
    </w:p>
    <w:p>
      <w:pPr>
        <w:keepNext w:val="0"/>
        <w:keepLines w:val="0"/>
        <w:pageBreakBefore w:val="0"/>
        <w:widowControl w:val="0"/>
        <w:wordWrap/>
        <w:overflowPunct/>
        <w:topLinePunct w:val="0"/>
        <w:bidi w:val="0"/>
        <w:adjustRightInd/>
        <w:snapToGrid/>
        <w:spacing w:line="360" w:lineRule="auto"/>
        <w:ind w:firstLine="482" w:firstLineChars="200"/>
        <w:jc w:val="center"/>
        <w:rPr>
          <w:rFonts w:hint="eastAsia" w:ascii="宋体" w:hAnsi="宋体" w:eastAsia="宋体" w:cs="宋体"/>
          <w:b/>
          <w:bCs/>
          <w:highlight w:val="none"/>
        </w:rPr>
      </w:pPr>
      <w:r>
        <w:rPr>
          <w:rFonts w:hint="eastAsia" w:ascii="宋体" w:hAnsi="宋体" w:eastAsia="宋体" w:cs="宋体"/>
          <w:b/>
          <w:bCs/>
          <w:highlight w:val="none"/>
        </w:rPr>
        <w:t>考评办法及评分细则</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为了进一步加强城市市容卫生管理，为市民创造良好的生活和工作环境，促进城市文明建设，根据《陕西省城市市境卫生条例》和《商洛市城市容貌标准》等相关文件精神，结合我县城区环境卫生工作实际，制定本办法。</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一、指导思想</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通过量化责任考核，推动我县城区环卫保洁工作的全面落实，引领全县环卫工作规范化管理，实现“整洁、优美、文明”环境目标。</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二、工作原则</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考核工作坚持“实事求是，客观公正，社会监督，综合考评”的原则。</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三、考核对象</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环卫托管服务公司</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四、组织考核</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商南县城市管理局组织实施。</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五、考核内容</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一）</w:t>
      </w:r>
      <w:r>
        <w:rPr>
          <w:rFonts w:hint="eastAsia" w:ascii="宋体" w:hAnsi="宋体" w:eastAsia="宋体" w:cs="宋体"/>
          <w:highlight w:val="none"/>
        </w:rPr>
        <w:t>机构建设</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运营企业具有合法有效的经营证照，固定的办公场所、健全的管理机构及相关环卫设备，充足的办公人员和环卫工，确保城区清扫保洁工作顺利开展。</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二）</w:t>
      </w:r>
      <w:r>
        <w:rPr>
          <w:rFonts w:hint="eastAsia" w:ascii="宋体" w:hAnsi="宋体" w:eastAsia="宋体" w:cs="宋体"/>
          <w:highlight w:val="none"/>
        </w:rPr>
        <w:t>业务工作</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1、作业区域内所有市政道路（含人行道、快慢行车道、公园、花园、广场、绿化带等）的清扫、保洁、洒水、冲洗及垃圾的收集、清运工作（含实行有偿服务的单位及居住区等垃圾清运）。按照市、县清扫要求标准，机械清扫率必须达到80%以上。</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2、作业区域范围内的道路隔离带及树坑的环卫保洁工作。</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3、作业区域内果皮箱、垃圾桶的保洁，道路零星散落生活垃圾的收集，座椅、路牌、灯杆等市政设施的保洁，张贴栏及野广告清理等工作。</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4、清除道路上暴雨冲带泥沙和积雪积冰等工作。</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5、作业区域河道生活垃圾清除保洁工作。</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6、作业区域内的公厕清扫、保洁、维护。</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lang w:val="en-US" w:eastAsia="zh-CN"/>
        </w:rPr>
        <w:t>7、城管局安排的其他工作。</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(三)环卫工的管理</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1、根据工作需要可设置相应的机构、人事任免和专业技术人员的聘任；依照有关规定奖惩、招用职工和辞退违纪职工。</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2、具有垫付保洁费用的能力，不得拖欠环卫工人工资。</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3、一切劳资纠纷隐患，必须主动积极协调处理，不得推诿，绝不允许发生保洁员上访事件。</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4、严格执行陕西省人民政府发布的企业职工工资最低标准，在符合法律规定的范围内自选工资形式，自定工资标准。</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szCs w:val="24"/>
          <w:highlight w:val="none"/>
          <w:u w:val="single"/>
        </w:rPr>
      </w:pPr>
      <w:r>
        <w:rPr>
          <w:rFonts w:hint="eastAsia" w:ascii="宋体" w:hAnsi="宋体" w:eastAsia="宋体" w:cs="宋体"/>
          <w:highlight w:val="none"/>
        </w:rPr>
        <w:t>5、按期如数缴纳的各种税、费和统筹基金，企业职工工伤、医疗、生育、失业、养老等保险费用。</w:t>
      </w:r>
      <w:r>
        <w:rPr>
          <w:rFonts w:hint="eastAsia" w:ascii="宋体" w:hAnsi="宋体" w:eastAsia="宋体" w:cs="宋体"/>
          <w:szCs w:val="24"/>
          <w:highlight w:val="none"/>
          <w:u w:val="single"/>
        </w:rPr>
        <w:br w:type="textWrapping"/>
      </w:r>
      <w:r>
        <w:rPr>
          <w:rFonts w:hint="eastAsia" w:ascii="宋体" w:hAnsi="宋体" w:eastAsia="宋体" w:cs="宋体"/>
          <w:highlight w:val="none"/>
        </w:rPr>
        <w:t>(四)安全责任</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严格安全生产管理相关规定，健全安全管理机构，制定保洁作业、车辆、用电安全管理制度，落实安全管理人员，定期开展安全知识培训，组织员工学习安全知识和安全法规，加强安全检查，杜绝安全事故的发生。</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2、足额安排环卫人员按时上岗，有环卫人员花名册和人员分布情况。</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3、意外情况发生后应保护现场、</w:t>
      </w:r>
      <w:r>
        <w:rPr>
          <w:rFonts w:hint="eastAsia" w:ascii="宋体" w:hAnsi="宋体" w:eastAsia="宋体" w:cs="宋体"/>
          <w:highlight w:val="none"/>
          <w:lang w:val="en-US" w:eastAsia="zh-CN"/>
        </w:rPr>
        <w:t>救</w:t>
      </w:r>
      <w:r>
        <w:rPr>
          <w:rFonts w:hint="eastAsia" w:ascii="宋体" w:hAnsi="宋体" w:eastAsia="宋体" w:cs="宋体"/>
          <w:highlight w:val="none"/>
        </w:rPr>
        <w:t>治伤员、拨打保险公司报案电话和报警电话，并做好及时上报。</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4、在合同期内，必须与每位环卫工人签订劳动合同，为员工按期如数缴纳应缴纳的各种税，费和养老统筹基金，企业职工工伤、医疗、失业、保险等费用。</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5、安全合理使用专用取水点，并及时维护各项配套设施和承担相关费用。</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六、考核标准</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（一)清扫保洁作业质量标准</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1、道路清扫和保洁</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(1)道路清扫区域早上7:30分必须全面清扫完毕开始保洁，晚上保洁时间至:夏季23:00时，冬季22:00时。</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(2)上班要带齐劳动工具(大、小扫帚、铁锨、抹布等)，清扫要全面到位，街道、人行道干净卫生，无死角死面，无野广告。</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(3)不能丢街甩段、漏扫、花扫。</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(4)工作时问内，不间断进行巡回保洁清扫。主干道、车行道，人行道、公共广场(场所)河堤、桥面等保洁区域果皮、纸屑、塑膜&lt;3处/1000 ㎡，烟蒂、(涕)&lt;5处/1000㎡，乱弃垃圾(袋)</w:t>
      </w:r>
      <w:r>
        <w:rPr>
          <w:rFonts w:hint="eastAsia" w:ascii="宋体" w:hAnsi="宋体" w:eastAsia="宋体" w:cs="宋体"/>
          <w:highlight w:val="none"/>
          <w:lang w:eastAsia="zh-CN"/>
        </w:rPr>
        <w:t>及其他</w:t>
      </w:r>
      <w:r>
        <w:rPr>
          <w:rFonts w:hint="eastAsia" w:ascii="宋体" w:hAnsi="宋体" w:eastAsia="宋体" w:cs="宋体"/>
          <w:highlight w:val="none"/>
        </w:rPr>
        <w:t>污垢&lt;2处/1000㎡;小街小巷道路和公用通道上果皮、纸、塑膜&lt;4处/1000 ㎡，烟蒂、纸痰(涕)&lt;5处(条)/1000 ㎡，乱弃垃圾(袋)</w:t>
      </w:r>
      <w:r>
        <w:rPr>
          <w:rFonts w:hint="eastAsia" w:ascii="宋体" w:hAnsi="宋体" w:eastAsia="宋体" w:cs="宋体"/>
          <w:highlight w:val="none"/>
          <w:lang w:eastAsia="zh-CN"/>
        </w:rPr>
        <w:t>及其他</w:t>
      </w:r>
      <w:r>
        <w:rPr>
          <w:rFonts w:hint="eastAsia" w:ascii="宋体" w:hAnsi="宋体" w:eastAsia="宋体" w:cs="宋体"/>
          <w:highlight w:val="none"/>
        </w:rPr>
        <w:t>污垢&lt;4处(条)/1000 ㎡.</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(5)清扫的</w:t>
      </w:r>
      <w:r>
        <w:rPr>
          <w:rFonts w:hint="eastAsia" w:ascii="宋体" w:hAnsi="宋体" w:eastAsia="宋体" w:cs="宋体"/>
          <w:highlight w:val="none"/>
          <w:lang w:val="en-US" w:eastAsia="zh-CN"/>
        </w:rPr>
        <w:t>垃圾</w:t>
      </w:r>
      <w:r>
        <w:rPr>
          <w:rFonts w:hint="eastAsia" w:ascii="宋体" w:hAnsi="宋体" w:eastAsia="宋体" w:cs="宋体"/>
          <w:highlight w:val="none"/>
        </w:rPr>
        <w:t>应及时清走，不得久堆不清(20分钟内)</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(6)城区道路下水道水算子应保持畅通，表面无堵塞。</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(7)垃圾倾倒在指定的收集点，不得倾倒和扫入河道、水箅子、绿地内；不得焚烧垃圾、树叶。</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(8)被严重污染的路面，应及时进行清扫、清洗，恢复原貌。</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(9)果屑箱、垃圾桶及其他市政设施必须保持外观清洁卫生，垃圾不外溢；周边环境整洁，无灰尘、无污垢.</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2、果屑箱(清掏、擦洗)、垃圾桶(擦洗)</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(1)1每天对果屑箱(清掏、擦洗)垃圾桶(擦洗)1次;做到无痰(涕)迹、无灰尘、无污垢；清洗完后应摆放整齐，盖好盖子，对损坏的果屑箱必在一个工作日内上报以及更换。</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(2)果屑箱内的垃圾应及时清除，清要彻底，无垃圾残留、满溢和散落，箱体周围地面应无</w:t>
      </w:r>
      <w:r>
        <w:rPr>
          <w:rFonts w:hint="eastAsia" w:ascii="宋体" w:hAnsi="宋体" w:eastAsia="宋体" w:cs="宋体"/>
          <w:highlight w:val="none"/>
          <w:lang w:val="en-US" w:eastAsia="zh-CN"/>
        </w:rPr>
        <w:t>抛洒</w:t>
      </w:r>
      <w:r>
        <w:rPr>
          <w:rFonts w:hint="eastAsia" w:ascii="宋体" w:hAnsi="宋体" w:eastAsia="宋体" w:cs="宋体"/>
          <w:highlight w:val="none"/>
        </w:rPr>
        <w:t>、存留垃圾。</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(3)垃圾收集箱要保持干净整洁，摆放整齐，周边无存留垃圾，收集箱装满后，30 分钟内清运到位；中转站要保持干净卫生，及时清运垃圾。</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(4)每年法定节假日及重大活动期间，对分布在各处的垃圾桶(坑)果屑箱、收集点、中转站、公厕，定时喷洒消毒、灭蚊蝇药物，做到安全操作，文明作业，消杀彻底，可视范围内，苍蝇</w:t>
      </w:r>
      <w:r>
        <w:rPr>
          <w:rFonts w:hint="eastAsia" w:ascii="宋体" w:hAnsi="宋体" w:eastAsia="宋体" w:cs="宋体"/>
          <w:highlight w:val="none"/>
          <w:lang w:val="en-US" w:eastAsia="zh-CN"/>
        </w:rPr>
        <w:t>＜</w:t>
      </w:r>
      <w:r>
        <w:rPr>
          <w:rFonts w:hint="eastAsia" w:ascii="宋体" w:hAnsi="宋体" w:eastAsia="宋体" w:cs="宋体"/>
          <w:highlight w:val="none"/>
        </w:rPr>
        <w:t>3只/次·处。</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3、门面垃圾收集</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(1)沿规定线路收集，文明用语，服务规范，不得漏收、拒收。</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(2)收集运输过程中无垃圾扬、撒、拖挂。</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(3)装卸垃圾符合要求，无乱倒、乱卸、乱抛垃圾。</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4、规范作业要求</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(1)上班时穿(戴)环卫工作服(帽)，衣着干净，规范着装.</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(2)保洁三轮车应保持车容车貌整洁，无乱堆乱挂。作业工具及车辆摆放规范、隐蔽，不得影响交通和有碍观瞻。</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(3)工作期间，无扎堆、串岗、离岗、久坐、闲聊等现象;不拾捡废品；不做与工作无关的事。</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(4)文明作业，对恶意破坏环境卫生的行为，清扫人员应耐心劝阻，及时上报</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(二)垃圾收集和清运</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1、垃圾收集和清运</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(1)垃圾收集容器要定点设置，不得妨碍交通；箱体无残、破损，封闭性好，外体干净，摆放整齐；及时清运容器内的垃圾，严防二次污染。</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rPr>
        <w:t>(2)收集车要按时作业，不得迟到、早退，特殊情况必须</w:t>
      </w:r>
      <w:r>
        <w:rPr>
          <w:rFonts w:hint="eastAsia" w:ascii="宋体" w:hAnsi="宋体" w:eastAsia="宋体" w:cs="宋体"/>
          <w:highlight w:val="none"/>
          <w:lang w:val="en-US" w:eastAsia="zh-CN"/>
        </w:rPr>
        <w:t>提前报备。</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(3)街面垃圾收集桶每日早上8:00前必须收集完成，收集过程中应把场地清理干净，并将垃圾桶复位，盖上桶盖，不得有地面零散垃圾，收集点周围应整洁，无散落，存留垃圾。</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(4)清运时应加盖密闭运输，遮盖严实，不得沿街</w:t>
      </w:r>
      <w:r>
        <w:rPr>
          <w:rFonts w:hint="eastAsia" w:ascii="宋体" w:hAnsi="宋体" w:eastAsia="宋体" w:cs="宋体"/>
          <w:highlight w:val="none"/>
          <w:lang w:val="en-US" w:eastAsia="zh-CN"/>
        </w:rPr>
        <w:t>洒落</w:t>
      </w:r>
      <w:r>
        <w:rPr>
          <w:rFonts w:hint="eastAsia" w:ascii="宋体" w:hAnsi="宋体" w:eastAsia="宋体" w:cs="宋体"/>
          <w:highlight w:val="none"/>
        </w:rPr>
        <w:t>，不得抛、冒、滴、漏，垃圾必须倾倒在指定的垃圾场(站)，不得乱倾乱倒。</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(5)上岗时必须穿(戴)工作服(帽)，规范作业。</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(6)不得利用工作之便私自承运单位、小区的垃圾。</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(7)车容整洁，无污物、灰垢，无乱涂乱挂，不乱停乱放，并按车队规定停放在指定位置。礼貌文明行车，遵守《道路交通安全法》。</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2、垃圾转运</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(1)转运站内、外场地应整洁，无</w:t>
      </w:r>
      <w:r>
        <w:rPr>
          <w:rFonts w:hint="eastAsia" w:ascii="宋体" w:hAnsi="宋体" w:eastAsia="宋体" w:cs="宋体"/>
          <w:highlight w:val="none"/>
          <w:lang w:val="en-US" w:eastAsia="zh-CN"/>
        </w:rPr>
        <w:t>洒落</w:t>
      </w:r>
      <w:r>
        <w:rPr>
          <w:rFonts w:hint="eastAsia" w:ascii="宋体" w:hAnsi="宋体" w:eastAsia="宋体" w:cs="宋体"/>
          <w:highlight w:val="none"/>
        </w:rPr>
        <w:t>垃圾和堆积杂物无积留污水</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(2)室内通风应良好，无恶臭，墙壁、窗户应无积尘、蛛网。</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(3)进入站内的垃圾当日应及时转运，堆积的垃圾不得冒箱。</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(4)站内定期消杀灭菌，</w:t>
      </w:r>
      <w:r>
        <w:rPr>
          <w:rFonts w:hint="eastAsia" w:ascii="宋体" w:hAnsi="宋体" w:eastAsia="宋体" w:cs="宋体"/>
          <w:highlight w:val="none"/>
          <w:lang w:eastAsia="zh-CN"/>
        </w:rPr>
        <w:t>蚊蝇滋生</w:t>
      </w:r>
      <w:r>
        <w:rPr>
          <w:rFonts w:hint="eastAsia" w:ascii="宋体" w:hAnsi="宋体" w:eastAsia="宋体" w:cs="宋体"/>
          <w:highlight w:val="none"/>
        </w:rPr>
        <w:t>季节，应每天喷药灭蚊蝇，可视范围内，站内苍蝇&lt;8只/座。</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(5)场地应有专人管理，工具、物品放置有序整洁库倾倒垃圾的要及时制止。</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(6)不得无故阻止清扫工人倾倒垃圾；对单位私自在垃圾库倾倒垃圾的要及时制止。</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(7)严禁作业时翻捡垃圾、废品，不得容留拾废人员。</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3、道路冲洗、洒水</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(1)根据季节变化，定期对县城进行洒水、冲洗，每天洒水不少于2次；洒水、路面冲洗时应鸣报信号，限速行驶。道路冲洗要到位，做到路面、路边、路口、隔离带(城)周围无泥沙和积水。</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(2)车容整洁，礼貌文明行车，遵守《道路交通安全法》。</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(三)公厕管理</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1、按规定时间早7:30分，晚上公厕开放时间，夏季 23:00时，冬季22:00时。公厕制度、责任内容上墙。</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2、公厕周边环境整洁、干净，无乱堆乱放；绿化带内无烟头、纸屑、白色垃圾；阴沟、下水口、粪便管道畅通。</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3、公厕内外墙面、天花板、窗台整洁，门窗和隔板无乱贴乱画、无蛛网、尘埃、污迹&lt;2处/口。</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4、公厕内地面应光洁，无纸</w:t>
      </w:r>
      <w:r>
        <w:rPr>
          <w:rFonts w:hint="eastAsia" w:ascii="宋体" w:hAnsi="宋体" w:eastAsia="宋体" w:cs="宋体"/>
          <w:highlight w:val="none"/>
          <w:lang w:val="en-US" w:eastAsia="zh-CN"/>
        </w:rPr>
        <w:t>张</w:t>
      </w:r>
      <w:r>
        <w:rPr>
          <w:rFonts w:hint="eastAsia" w:ascii="宋体" w:hAnsi="宋体" w:eastAsia="宋体" w:cs="宋体"/>
          <w:highlight w:val="none"/>
        </w:rPr>
        <w:t>、积水、污迹、果屑、烟头等垃圾。</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5、便池畅通，槽内无积粪，小便槽(斗)无尿垢、杂物，沟眼、管道畅通，管道无破损。</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6、公厕内水路通畅。照明及各种配套设施齐全、完好，无积灰、污垢。清洁工具按规定摆放整齐，无乱牵乱挂、乱搭乱放.</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7、定时喷洒灭蚊蝇药物，无蝇&lt;3只/口，无臭味，</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8、化粪池定期清掏，做到粪水不满溢。作业时保持场地清洁卫生，无遗撒粪便。作业结束后，应盖严粪口，并及时清洗场地。</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9.服从日常业务指导和检查；执行上级相关规定；配合各种创建、检查等活动。</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10、定时对公厕进行维护、维修。</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(四)河道清理及保洁</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定期对县城建成区范围“七沟一河”生活垃圾进行清理保洁，每周至少清理两次。</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七、检查考评办法</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每月全面考核评估1次，每周随机抽查考核不少于2次，每次抽查不得少于10条街道，遇重大活动和法定节假日每日必查。</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检查时发现未符合考核标准的，日常随机检查按每条或每款扣0.5-1.5分(垃圾清运投诉易实按日常检查扣分)，综合检查按每条或每款扣1-3分：月日常检查达4次以上，全年综合检查不低于24次；业务工作中未按要求配合的部门，按次扣2-4分;作业区域内相同质量问题在整改时间内重复2次发生，垃圾清运未及时清运(同一地点1天未清运)，月达2次(含2次)经核查属实按次扣3-5分，3次以上当月评定为不达标；群众举报或上级领导检查(含办公室热线电话)指出作业区域内出现质量问题，经核查属实，月达1次，责令立即整改，月达2次(含2次)扣4-6分；领导及单位检查发现的问题通知所在区域责任人未在现场或没有及时把问题整改到位(20分钟)，月达3次(含3次)扣3-5分；新闻媒体或上级领导指出作业区域内存在质量问题，经核查属实扣5-7分；遇重大活动或接通知后落实不力，未按时完成，造成较大影响的，经核查属实，扣7-10分.</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八、奖惩</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1、作业月考评总分均为 100 分，采取百分制倒扣分形式，低于100分，高于90分，每降低1分扣100元；低于90分为作业质量不达标，每降低1分从托管运营费用中扣10000元，同时托管运营单位作出书面检讨并予以整改。</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lang w:eastAsia="zh-CN"/>
        </w:rPr>
      </w:pPr>
      <w:r>
        <w:rPr>
          <w:rFonts w:hint="eastAsia" w:ascii="宋体" w:hAnsi="宋体" w:eastAsia="宋体" w:cs="宋体"/>
          <w:highlight w:val="none"/>
        </w:rPr>
        <w:t>2、托管运营协议中抽取的奖励资金:作业月考评总分达95分(含95分)以上，奖励50000元,90-94分奖30000元，低于90分为作业质量不达标，不予奖励</w:t>
      </w:r>
      <w:r>
        <w:rPr>
          <w:rFonts w:hint="eastAsia" w:ascii="宋体" w:hAnsi="宋体" w:eastAsia="宋体" w:cs="宋体"/>
          <w:highlight w:val="none"/>
          <w:lang w:eastAsia="zh-CN"/>
        </w:rPr>
        <w:t>。</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九、附则</w:t>
      </w:r>
    </w:p>
    <w:p>
      <w:pPr>
        <w:keepNext w:val="0"/>
        <w:keepLines w:val="0"/>
        <w:pageBreakBefore w:val="0"/>
        <w:widowControl w:val="0"/>
        <w:wordWrap/>
        <w:overflowPunct/>
        <w:topLinePunct w:val="0"/>
        <w:bidi w:val="0"/>
        <w:adjustRightInd/>
        <w:snapToGrid/>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本</w:t>
      </w:r>
      <w:r>
        <w:rPr>
          <w:rFonts w:hint="eastAsia" w:ascii="宋体" w:hAnsi="宋体" w:eastAsia="宋体" w:cs="宋体"/>
          <w:highlight w:val="none"/>
          <w:lang w:val="en-US" w:eastAsia="zh-CN"/>
        </w:rPr>
        <w:t>考核</w:t>
      </w:r>
      <w:r>
        <w:rPr>
          <w:rFonts w:hint="eastAsia" w:ascii="宋体" w:hAnsi="宋体" w:eastAsia="宋体" w:cs="宋体"/>
          <w:highlight w:val="none"/>
        </w:rPr>
        <w:t>办法由县城管局负责解释，考核得分情况作为当月支付清扫保洁费用的依据，自托管运营协议签订之日起施行。</w:t>
      </w:r>
    </w:p>
    <w:p>
      <w:pPr>
        <w:rPr>
          <w:rFonts w:hint="default"/>
          <w:highlight w:val="none"/>
          <w:lang w:val="en-US" w:eastAsia="zh-CN"/>
        </w:rPr>
      </w:pPr>
    </w:p>
    <w:bookmarkEnd w:id="66"/>
    <w:p>
      <w:pPr>
        <w:rPr>
          <w:rFonts w:hint="eastAsia" w:ascii="宋体" w:eastAsia="宋体" w:cs="宋体"/>
          <w:sz w:val="36"/>
          <w:szCs w:val="36"/>
          <w:highlight w:val="none"/>
        </w:rPr>
      </w:pPr>
      <w:bookmarkStart w:id="78" w:name="_Toc19952"/>
      <w:bookmarkStart w:id="79" w:name="_Toc25607"/>
      <w:bookmarkStart w:id="80" w:name="_Toc2203"/>
      <w:bookmarkStart w:id="81" w:name="_Toc1462"/>
      <w:bookmarkStart w:id="82" w:name="_Toc426457697"/>
    </w:p>
    <w:p>
      <w:pPr>
        <w:pStyle w:val="4"/>
        <w:jc w:val="both"/>
        <w:rPr>
          <w:rFonts w:hint="eastAsia" w:ascii="宋体" w:eastAsia="宋体" w:cs="宋体"/>
          <w:sz w:val="36"/>
          <w:szCs w:val="36"/>
          <w:highlight w:val="none"/>
        </w:rPr>
        <w:sectPr>
          <w:pgSz w:w="11906" w:h="16838"/>
          <w:pgMar w:top="1417" w:right="1134" w:bottom="1417" w:left="1417" w:header="1134" w:footer="992" w:gutter="0"/>
          <w:pgNumType w:fmt="decimal"/>
          <w:cols w:space="720" w:num="1"/>
          <w:titlePg/>
          <w:docGrid w:type="lines" w:linePitch="333" w:charSpace="0"/>
        </w:sectPr>
      </w:pPr>
    </w:p>
    <w:p>
      <w:pPr>
        <w:pStyle w:val="4"/>
        <w:jc w:val="center"/>
        <w:rPr>
          <w:highlight w:val="none"/>
        </w:rPr>
      </w:pPr>
      <w:r>
        <w:rPr>
          <w:rFonts w:hint="eastAsia" w:ascii="宋体" w:eastAsia="宋体" w:cs="宋体"/>
          <w:sz w:val="36"/>
          <w:szCs w:val="36"/>
          <w:highlight w:val="none"/>
        </w:rPr>
        <w:t>第五章 评标方法</w:t>
      </w:r>
      <w:bookmarkEnd w:id="78"/>
      <w:bookmarkEnd w:id="79"/>
      <w:bookmarkEnd w:id="80"/>
      <w:bookmarkEnd w:id="81"/>
      <w:bookmarkEnd w:id="82"/>
    </w:p>
    <w:p>
      <w:pPr>
        <w:spacing w:line="360" w:lineRule="auto"/>
        <w:rPr>
          <w:rFonts w:hAnsi="宋体" w:cs="宋体"/>
          <w:b/>
          <w:sz w:val="28"/>
          <w:szCs w:val="28"/>
          <w:highlight w:val="none"/>
        </w:rPr>
      </w:pPr>
      <w:bookmarkStart w:id="83" w:name="_Toc363463332"/>
      <w:r>
        <w:rPr>
          <w:rFonts w:hint="eastAsia" w:hAnsi="宋体" w:cs="宋体"/>
          <w:b/>
          <w:sz w:val="28"/>
          <w:szCs w:val="28"/>
          <w:highlight w:val="none"/>
        </w:rPr>
        <w:t>一、评标方法</w:t>
      </w:r>
      <w:bookmarkEnd w:id="83"/>
    </w:p>
    <w:p>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按照</w:t>
      </w:r>
      <w:r>
        <w:rPr>
          <w:rFonts w:hint="eastAsia" w:hAnsi="宋体" w:cs="宋体"/>
          <w:color w:val="000000"/>
          <w:highlight w:val="none"/>
        </w:rPr>
        <w:t>《中华人民共和国政府采购法》及实施条例和</w:t>
      </w:r>
      <w:r>
        <w:rPr>
          <w:rFonts w:hint="eastAsia" w:hAnsi="宋体" w:cs="宋体"/>
          <w:spacing w:val="4"/>
          <w:szCs w:val="24"/>
          <w:highlight w:val="none"/>
        </w:rPr>
        <w:t>中华人民共和国财政部令第87号--《政府采购货物和服务招标投标管理办法》的规定，本次评标采用</w:t>
      </w:r>
      <w:r>
        <w:rPr>
          <w:rFonts w:hint="eastAsia" w:hAnsi="宋体" w:cs="宋体"/>
          <w:b/>
          <w:spacing w:val="4"/>
          <w:szCs w:val="24"/>
          <w:highlight w:val="none"/>
        </w:rPr>
        <w:t>综合评分法</w:t>
      </w:r>
      <w:r>
        <w:rPr>
          <w:rFonts w:hint="eastAsia" w:hAnsi="宋体" w:cs="宋体"/>
          <w:spacing w:val="4"/>
          <w:szCs w:val="24"/>
          <w:highlight w:val="none"/>
        </w:rPr>
        <w:t>，即在最大限度地满足招标文件实质性要求前提下，按照招标文件中规定的各项因素和相应的权重分值进行综合评审后，以总得分最高的投标人作为中标候选人并依次排序（最低报价不是中标的唯一标准）。</w:t>
      </w:r>
    </w:p>
    <w:p>
      <w:pPr>
        <w:spacing w:line="360" w:lineRule="auto"/>
        <w:rPr>
          <w:rFonts w:hAnsi="宋体" w:cs="宋体"/>
          <w:b/>
          <w:sz w:val="28"/>
          <w:szCs w:val="28"/>
          <w:highlight w:val="none"/>
        </w:rPr>
      </w:pPr>
      <w:r>
        <w:rPr>
          <w:rFonts w:hint="eastAsia" w:hAnsi="宋体" w:cs="宋体"/>
          <w:b/>
          <w:sz w:val="28"/>
          <w:szCs w:val="28"/>
          <w:highlight w:val="none"/>
        </w:rPr>
        <w:t>二、评审标准</w:t>
      </w:r>
    </w:p>
    <w:p>
      <w:pPr>
        <w:tabs>
          <w:tab w:val="left" w:pos="0"/>
        </w:tabs>
        <w:adjustRightInd w:val="0"/>
        <w:snapToGrid w:val="0"/>
        <w:spacing w:line="360" w:lineRule="auto"/>
        <w:ind w:firstLine="472" w:firstLineChars="196"/>
        <w:rPr>
          <w:rFonts w:hAnsi="宋体" w:cs="宋体"/>
          <w:b/>
          <w:color w:val="000000"/>
          <w:highlight w:val="none"/>
        </w:rPr>
      </w:pPr>
      <w:r>
        <w:rPr>
          <w:rFonts w:hint="eastAsia" w:hAnsi="宋体" w:cs="宋体"/>
          <w:b/>
          <w:color w:val="000000"/>
          <w:highlight w:val="none"/>
        </w:rPr>
        <w:t>2.1初步评审标准</w:t>
      </w:r>
    </w:p>
    <w:p>
      <w:pPr>
        <w:tabs>
          <w:tab w:val="left" w:pos="0"/>
        </w:tabs>
        <w:adjustRightInd w:val="0"/>
        <w:snapToGrid w:val="0"/>
        <w:spacing w:line="360" w:lineRule="auto"/>
        <w:ind w:firstLine="470" w:firstLineChars="196"/>
        <w:rPr>
          <w:rFonts w:hAnsi="宋体" w:cs="宋体"/>
          <w:color w:val="000000"/>
          <w:highlight w:val="none"/>
        </w:rPr>
      </w:pPr>
      <w:r>
        <w:rPr>
          <w:rFonts w:hint="eastAsia" w:hAnsi="宋体" w:cs="宋体"/>
          <w:color w:val="000000"/>
          <w:highlight w:val="none"/>
        </w:rPr>
        <w:t>2.1.1资格性审查标准：见附件</w:t>
      </w:r>
      <w:r>
        <w:rPr>
          <w:rFonts w:hint="eastAsia" w:hAnsi="宋体" w:cs="宋体"/>
          <w:color w:val="000000"/>
          <w:highlight w:val="none"/>
          <w:lang w:val="en-US" w:eastAsia="zh-CN"/>
        </w:rPr>
        <w:t>2</w:t>
      </w:r>
      <w:r>
        <w:rPr>
          <w:rFonts w:hint="eastAsia" w:hAnsi="宋体" w:cs="宋体"/>
          <w:color w:val="000000"/>
          <w:highlight w:val="none"/>
        </w:rPr>
        <w:t>初步审查要素表</w:t>
      </w:r>
    </w:p>
    <w:p>
      <w:pPr>
        <w:tabs>
          <w:tab w:val="left" w:pos="0"/>
        </w:tabs>
        <w:adjustRightInd w:val="0"/>
        <w:snapToGrid w:val="0"/>
        <w:spacing w:line="360" w:lineRule="auto"/>
        <w:ind w:firstLine="470" w:firstLineChars="196"/>
        <w:rPr>
          <w:rFonts w:hAnsi="宋体" w:cs="宋体"/>
          <w:color w:val="000000"/>
          <w:highlight w:val="none"/>
        </w:rPr>
      </w:pPr>
      <w:r>
        <w:rPr>
          <w:rFonts w:hint="eastAsia" w:hAnsi="宋体" w:cs="宋体"/>
          <w:color w:val="000000"/>
          <w:highlight w:val="none"/>
        </w:rPr>
        <w:t>2.1.2符合性审查标准：见附件</w:t>
      </w:r>
      <w:r>
        <w:rPr>
          <w:rFonts w:hint="eastAsia" w:hAnsi="宋体" w:cs="宋体"/>
          <w:color w:val="000000"/>
          <w:highlight w:val="none"/>
          <w:lang w:val="en-US" w:eastAsia="zh-CN"/>
        </w:rPr>
        <w:t>2</w:t>
      </w:r>
      <w:r>
        <w:rPr>
          <w:rFonts w:hint="eastAsia" w:hAnsi="宋体" w:cs="宋体"/>
          <w:color w:val="000000"/>
          <w:highlight w:val="none"/>
        </w:rPr>
        <w:t>初步审查要素表</w:t>
      </w:r>
    </w:p>
    <w:p>
      <w:pPr>
        <w:tabs>
          <w:tab w:val="left" w:pos="0"/>
        </w:tabs>
        <w:adjustRightInd w:val="0"/>
        <w:snapToGrid w:val="0"/>
        <w:spacing w:line="360" w:lineRule="auto"/>
        <w:ind w:firstLine="472" w:firstLineChars="196"/>
        <w:rPr>
          <w:rFonts w:hAnsi="宋体" w:cs="宋体"/>
          <w:b/>
          <w:color w:val="000000"/>
          <w:szCs w:val="22"/>
          <w:highlight w:val="none"/>
        </w:rPr>
      </w:pPr>
      <w:r>
        <w:rPr>
          <w:rFonts w:hint="eastAsia" w:hAnsi="宋体" w:cs="宋体"/>
          <w:b/>
          <w:color w:val="000000"/>
          <w:szCs w:val="22"/>
          <w:highlight w:val="none"/>
        </w:rPr>
        <w:t>2.2分值构成与评分标准</w:t>
      </w:r>
    </w:p>
    <w:p>
      <w:pPr>
        <w:tabs>
          <w:tab w:val="left" w:pos="0"/>
        </w:tabs>
        <w:adjustRightInd w:val="0"/>
        <w:snapToGrid w:val="0"/>
        <w:spacing w:line="360" w:lineRule="auto"/>
        <w:ind w:firstLine="470" w:firstLineChars="196"/>
        <w:rPr>
          <w:rFonts w:hAnsi="宋体" w:cs="宋体"/>
          <w:bCs/>
          <w:color w:val="000000"/>
          <w:szCs w:val="22"/>
          <w:highlight w:val="none"/>
        </w:rPr>
      </w:pPr>
      <w:r>
        <w:rPr>
          <w:rFonts w:hint="eastAsia" w:hAnsi="宋体" w:cs="宋体"/>
          <w:bCs/>
          <w:color w:val="000000"/>
          <w:szCs w:val="22"/>
          <w:highlight w:val="none"/>
        </w:rPr>
        <w:t>2.2.1 分值构成</w:t>
      </w:r>
    </w:p>
    <w:p>
      <w:pPr>
        <w:tabs>
          <w:tab w:val="left" w:pos="0"/>
        </w:tabs>
        <w:adjustRightInd w:val="0"/>
        <w:snapToGrid w:val="0"/>
        <w:spacing w:line="360" w:lineRule="auto"/>
        <w:ind w:firstLine="470" w:firstLineChars="196"/>
        <w:rPr>
          <w:rFonts w:hAnsi="宋体" w:cs="宋体"/>
          <w:bCs/>
          <w:color w:val="000000"/>
          <w:szCs w:val="22"/>
          <w:highlight w:val="none"/>
        </w:rPr>
      </w:pPr>
      <w:r>
        <w:rPr>
          <w:rFonts w:hint="eastAsia" w:hAnsi="宋体" w:cs="宋体"/>
          <w:bCs/>
          <w:color w:val="000000"/>
          <w:szCs w:val="22"/>
          <w:highlight w:val="none"/>
        </w:rPr>
        <w:t>（1）投标价格：见附件</w:t>
      </w:r>
      <w:r>
        <w:rPr>
          <w:rFonts w:hint="eastAsia" w:hAnsi="宋体" w:cs="宋体"/>
          <w:bCs/>
          <w:color w:val="000000"/>
          <w:szCs w:val="22"/>
          <w:highlight w:val="none"/>
          <w:lang w:val="en-US" w:eastAsia="zh-CN"/>
        </w:rPr>
        <w:t>3</w:t>
      </w:r>
      <w:r>
        <w:rPr>
          <w:rFonts w:hint="eastAsia" w:hAnsi="宋体" w:cs="宋体"/>
          <w:bCs/>
          <w:color w:val="000000"/>
          <w:szCs w:val="22"/>
          <w:highlight w:val="none"/>
        </w:rPr>
        <w:t>评标因素及权重分值表</w:t>
      </w:r>
    </w:p>
    <w:p>
      <w:pPr>
        <w:tabs>
          <w:tab w:val="left" w:pos="0"/>
        </w:tabs>
        <w:adjustRightInd w:val="0"/>
        <w:snapToGrid w:val="0"/>
        <w:spacing w:line="360" w:lineRule="auto"/>
        <w:ind w:firstLine="470" w:firstLineChars="196"/>
        <w:rPr>
          <w:rFonts w:hAnsi="宋体" w:cs="宋体"/>
          <w:bCs/>
          <w:color w:val="000000"/>
          <w:szCs w:val="22"/>
          <w:highlight w:val="none"/>
        </w:rPr>
      </w:pPr>
      <w:r>
        <w:rPr>
          <w:rFonts w:hint="eastAsia" w:hAnsi="宋体" w:cs="宋体"/>
          <w:bCs/>
          <w:color w:val="000000"/>
          <w:szCs w:val="22"/>
          <w:highlight w:val="none"/>
        </w:rPr>
        <w:t>（2）技术</w:t>
      </w:r>
      <w:r>
        <w:rPr>
          <w:rFonts w:hint="eastAsia" w:hAnsi="宋体" w:cs="宋体"/>
          <w:bCs/>
          <w:color w:val="000000"/>
          <w:szCs w:val="22"/>
          <w:highlight w:val="none"/>
          <w:lang w:val="en-US" w:eastAsia="zh-CN"/>
        </w:rPr>
        <w:t>部分</w:t>
      </w:r>
      <w:r>
        <w:rPr>
          <w:rFonts w:hint="eastAsia" w:hAnsi="宋体" w:cs="宋体"/>
          <w:bCs/>
          <w:color w:val="000000"/>
          <w:szCs w:val="22"/>
          <w:highlight w:val="none"/>
        </w:rPr>
        <w:t>：见附件</w:t>
      </w:r>
      <w:r>
        <w:rPr>
          <w:rFonts w:hint="eastAsia" w:hAnsi="宋体" w:cs="宋体"/>
          <w:bCs/>
          <w:color w:val="000000"/>
          <w:szCs w:val="22"/>
          <w:highlight w:val="none"/>
          <w:lang w:val="en-US" w:eastAsia="zh-CN"/>
        </w:rPr>
        <w:t>3</w:t>
      </w:r>
      <w:r>
        <w:rPr>
          <w:rFonts w:hint="eastAsia" w:hAnsi="宋体" w:cs="宋体"/>
          <w:bCs/>
          <w:color w:val="000000"/>
          <w:szCs w:val="22"/>
          <w:highlight w:val="none"/>
        </w:rPr>
        <w:t>评标因素及权重分值表</w:t>
      </w:r>
    </w:p>
    <w:p>
      <w:pPr>
        <w:tabs>
          <w:tab w:val="left" w:pos="0"/>
        </w:tabs>
        <w:adjustRightInd w:val="0"/>
        <w:snapToGrid w:val="0"/>
        <w:spacing w:line="360" w:lineRule="auto"/>
        <w:ind w:firstLine="470" w:firstLineChars="196"/>
        <w:rPr>
          <w:rFonts w:hint="eastAsia" w:hAnsi="宋体" w:cs="宋体"/>
          <w:bCs/>
          <w:color w:val="000000"/>
          <w:szCs w:val="22"/>
          <w:highlight w:val="none"/>
        </w:rPr>
      </w:pPr>
      <w:r>
        <w:rPr>
          <w:rFonts w:hint="eastAsia" w:hAnsi="宋体" w:cs="宋体"/>
          <w:bCs/>
          <w:color w:val="000000"/>
          <w:szCs w:val="22"/>
          <w:highlight w:val="none"/>
        </w:rPr>
        <w:t>（3）履约能力：见附件</w:t>
      </w:r>
      <w:r>
        <w:rPr>
          <w:rFonts w:hint="eastAsia" w:hAnsi="宋体" w:cs="宋体"/>
          <w:bCs/>
          <w:color w:val="000000"/>
          <w:szCs w:val="22"/>
          <w:highlight w:val="none"/>
          <w:lang w:val="en-US" w:eastAsia="zh-CN"/>
        </w:rPr>
        <w:t>3</w:t>
      </w:r>
      <w:r>
        <w:rPr>
          <w:rFonts w:hint="eastAsia" w:hAnsi="宋体" w:cs="宋体"/>
          <w:bCs/>
          <w:color w:val="000000"/>
          <w:szCs w:val="22"/>
          <w:highlight w:val="none"/>
        </w:rPr>
        <w:t>评标因素及权重分值表</w:t>
      </w:r>
    </w:p>
    <w:p>
      <w:pPr>
        <w:tabs>
          <w:tab w:val="left" w:pos="0"/>
        </w:tabs>
        <w:adjustRightInd w:val="0"/>
        <w:snapToGrid w:val="0"/>
        <w:spacing w:line="360" w:lineRule="auto"/>
        <w:ind w:firstLine="470" w:firstLineChars="196"/>
        <w:rPr>
          <w:rFonts w:hint="eastAsia" w:hAnsi="宋体" w:cs="宋体"/>
          <w:bCs/>
          <w:color w:val="000000"/>
          <w:szCs w:val="22"/>
          <w:highlight w:val="none"/>
        </w:rPr>
      </w:pPr>
      <w:r>
        <w:rPr>
          <w:rFonts w:hint="eastAsia" w:hAnsi="宋体" w:cs="宋体"/>
          <w:bCs/>
          <w:color w:val="000000"/>
          <w:szCs w:val="22"/>
          <w:highlight w:val="none"/>
          <w:lang w:eastAsia="zh-CN"/>
        </w:rPr>
        <w:t>（</w:t>
      </w:r>
      <w:r>
        <w:rPr>
          <w:rFonts w:hint="eastAsia" w:hAnsi="宋体" w:cs="宋体"/>
          <w:bCs/>
          <w:color w:val="000000"/>
          <w:szCs w:val="22"/>
          <w:highlight w:val="none"/>
          <w:lang w:val="en-US" w:eastAsia="zh-CN"/>
        </w:rPr>
        <w:t>4</w:t>
      </w:r>
      <w:r>
        <w:rPr>
          <w:rFonts w:hint="eastAsia" w:hAnsi="宋体" w:cs="宋体"/>
          <w:bCs/>
          <w:color w:val="000000"/>
          <w:szCs w:val="22"/>
          <w:highlight w:val="none"/>
          <w:lang w:eastAsia="zh-CN"/>
        </w:rPr>
        <w:t>）</w:t>
      </w:r>
      <w:r>
        <w:rPr>
          <w:rFonts w:hint="eastAsia" w:hAnsi="宋体" w:cs="宋体"/>
          <w:bCs/>
          <w:color w:val="000000"/>
          <w:szCs w:val="22"/>
          <w:highlight w:val="none"/>
        </w:rPr>
        <w:t>承诺、应急预案及迎检方案</w:t>
      </w:r>
      <w:r>
        <w:rPr>
          <w:rFonts w:hint="eastAsia" w:hAnsi="宋体" w:cs="宋体"/>
          <w:bCs/>
          <w:color w:val="000000"/>
          <w:szCs w:val="22"/>
          <w:highlight w:val="none"/>
          <w:lang w:eastAsia="zh-CN"/>
        </w:rPr>
        <w:t>：</w:t>
      </w:r>
      <w:r>
        <w:rPr>
          <w:rFonts w:hint="eastAsia" w:hAnsi="宋体" w:cs="宋体"/>
          <w:bCs/>
          <w:color w:val="000000"/>
          <w:szCs w:val="22"/>
          <w:highlight w:val="none"/>
        </w:rPr>
        <w:t>见附件</w:t>
      </w:r>
      <w:r>
        <w:rPr>
          <w:rFonts w:hint="eastAsia" w:hAnsi="宋体" w:cs="宋体"/>
          <w:bCs/>
          <w:color w:val="000000"/>
          <w:szCs w:val="22"/>
          <w:highlight w:val="none"/>
          <w:lang w:val="en-US" w:eastAsia="zh-CN"/>
        </w:rPr>
        <w:t>3</w:t>
      </w:r>
      <w:r>
        <w:rPr>
          <w:rFonts w:hint="eastAsia" w:hAnsi="宋体" w:cs="宋体"/>
          <w:bCs/>
          <w:color w:val="000000"/>
          <w:szCs w:val="22"/>
          <w:highlight w:val="none"/>
        </w:rPr>
        <w:t>评标因素及权重分值表</w:t>
      </w:r>
    </w:p>
    <w:p>
      <w:pPr>
        <w:tabs>
          <w:tab w:val="left" w:pos="0"/>
        </w:tabs>
        <w:adjustRightInd w:val="0"/>
        <w:snapToGrid w:val="0"/>
        <w:spacing w:line="360" w:lineRule="auto"/>
        <w:ind w:firstLine="470" w:firstLineChars="196"/>
        <w:rPr>
          <w:rFonts w:hint="eastAsia" w:hAnsi="宋体" w:cs="宋体"/>
          <w:bCs/>
          <w:color w:val="000000"/>
          <w:szCs w:val="22"/>
          <w:highlight w:val="none"/>
        </w:rPr>
      </w:pPr>
      <w:r>
        <w:rPr>
          <w:rFonts w:hint="eastAsia" w:hAnsi="宋体" w:cs="宋体"/>
          <w:bCs/>
          <w:color w:val="000000"/>
          <w:szCs w:val="22"/>
          <w:highlight w:val="none"/>
          <w:lang w:eastAsia="zh-CN"/>
        </w:rPr>
        <w:t>（</w:t>
      </w:r>
      <w:r>
        <w:rPr>
          <w:rFonts w:hint="eastAsia" w:hAnsi="宋体" w:cs="宋体"/>
          <w:bCs/>
          <w:color w:val="000000"/>
          <w:szCs w:val="22"/>
          <w:highlight w:val="none"/>
          <w:lang w:val="en-US" w:eastAsia="zh-CN"/>
        </w:rPr>
        <w:t>5</w:t>
      </w:r>
      <w:r>
        <w:rPr>
          <w:rFonts w:hint="eastAsia" w:hAnsi="宋体" w:cs="宋体"/>
          <w:bCs/>
          <w:color w:val="000000"/>
          <w:szCs w:val="22"/>
          <w:highlight w:val="none"/>
          <w:lang w:eastAsia="zh-CN"/>
        </w:rPr>
        <w:t>）</w:t>
      </w:r>
      <w:r>
        <w:rPr>
          <w:rFonts w:hint="eastAsia" w:hAnsi="宋体" w:cs="宋体"/>
          <w:bCs/>
          <w:color w:val="000000"/>
          <w:szCs w:val="22"/>
          <w:highlight w:val="none"/>
        </w:rPr>
        <w:t>合理化建议</w:t>
      </w:r>
      <w:r>
        <w:rPr>
          <w:rFonts w:hint="eastAsia" w:hAnsi="宋体" w:cs="宋体"/>
          <w:bCs/>
          <w:color w:val="000000"/>
          <w:szCs w:val="22"/>
          <w:highlight w:val="none"/>
          <w:lang w:eastAsia="zh-CN"/>
        </w:rPr>
        <w:t>：</w:t>
      </w:r>
      <w:r>
        <w:rPr>
          <w:rFonts w:hint="eastAsia" w:hAnsi="宋体" w:cs="宋体"/>
          <w:bCs/>
          <w:color w:val="000000"/>
          <w:szCs w:val="22"/>
          <w:highlight w:val="none"/>
        </w:rPr>
        <w:t>见附件</w:t>
      </w:r>
      <w:r>
        <w:rPr>
          <w:rFonts w:hint="eastAsia" w:hAnsi="宋体" w:cs="宋体"/>
          <w:bCs/>
          <w:color w:val="000000"/>
          <w:szCs w:val="22"/>
          <w:highlight w:val="none"/>
          <w:lang w:val="en-US" w:eastAsia="zh-CN"/>
        </w:rPr>
        <w:t>3</w:t>
      </w:r>
      <w:r>
        <w:rPr>
          <w:rFonts w:hint="eastAsia" w:hAnsi="宋体" w:cs="宋体"/>
          <w:bCs/>
          <w:color w:val="000000"/>
          <w:szCs w:val="22"/>
          <w:highlight w:val="none"/>
        </w:rPr>
        <w:t>评标因素及权重分值表</w:t>
      </w:r>
    </w:p>
    <w:p>
      <w:pPr>
        <w:tabs>
          <w:tab w:val="left" w:pos="0"/>
        </w:tabs>
        <w:adjustRightInd w:val="0"/>
        <w:snapToGrid w:val="0"/>
        <w:spacing w:line="360" w:lineRule="auto"/>
        <w:ind w:firstLine="470" w:firstLineChars="196"/>
        <w:rPr>
          <w:rFonts w:hint="eastAsia" w:eastAsia="宋体"/>
          <w:highlight w:val="none"/>
          <w:lang w:eastAsia="zh-CN"/>
        </w:rPr>
      </w:pPr>
      <w:r>
        <w:rPr>
          <w:rFonts w:hint="eastAsia" w:hAnsi="宋体" w:cs="宋体"/>
          <w:bCs/>
          <w:color w:val="000000"/>
          <w:szCs w:val="22"/>
          <w:highlight w:val="none"/>
          <w:lang w:eastAsia="zh-CN"/>
        </w:rPr>
        <w:t>（</w:t>
      </w:r>
      <w:r>
        <w:rPr>
          <w:rFonts w:hint="eastAsia" w:hAnsi="宋体" w:cs="宋体"/>
          <w:bCs/>
          <w:color w:val="000000"/>
          <w:szCs w:val="22"/>
          <w:highlight w:val="none"/>
          <w:lang w:val="en-US" w:eastAsia="zh-CN"/>
        </w:rPr>
        <w:t>6</w:t>
      </w:r>
      <w:r>
        <w:rPr>
          <w:rFonts w:hint="eastAsia" w:hAnsi="宋体" w:cs="宋体"/>
          <w:bCs/>
          <w:color w:val="000000"/>
          <w:szCs w:val="22"/>
          <w:highlight w:val="none"/>
          <w:lang w:eastAsia="zh-CN"/>
        </w:rPr>
        <w:t>）</w:t>
      </w:r>
      <w:r>
        <w:rPr>
          <w:rFonts w:hint="eastAsia" w:hAnsi="宋体" w:cs="宋体"/>
          <w:bCs/>
          <w:color w:val="000000"/>
          <w:szCs w:val="22"/>
          <w:highlight w:val="none"/>
        </w:rPr>
        <w:t>业绩</w:t>
      </w:r>
      <w:r>
        <w:rPr>
          <w:rFonts w:hint="eastAsia" w:hAnsi="宋体" w:cs="宋体"/>
          <w:bCs/>
          <w:color w:val="000000"/>
          <w:szCs w:val="22"/>
          <w:highlight w:val="none"/>
          <w:lang w:eastAsia="zh-CN"/>
        </w:rPr>
        <w:t>：</w:t>
      </w:r>
      <w:r>
        <w:rPr>
          <w:rFonts w:hint="eastAsia" w:hAnsi="宋体" w:cs="宋体"/>
          <w:bCs/>
          <w:color w:val="000000"/>
          <w:szCs w:val="22"/>
          <w:highlight w:val="none"/>
        </w:rPr>
        <w:t>见附件</w:t>
      </w:r>
      <w:r>
        <w:rPr>
          <w:rFonts w:hint="eastAsia" w:hAnsi="宋体" w:cs="宋体"/>
          <w:bCs/>
          <w:color w:val="000000"/>
          <w:szCs w:val="22"/>
          <w:highlight w:val="none"/>
          <w:lang w:val="en-US" w:eastAsia="zh-CN"/>
        </w:rPr>
        <w:t>3</w:t>
      </w:r>
      <w:r>
        <w:rPr>
          <w:rFonts w:hint="eastAsia" w:hAnsi="宋体" w:cs="宋体"/>
          <w:bCs/>
          <w:color w:val="000000"/>
          <w:szCs w:val="22"/>
          <w:highlight w:val="none"/>
        </w:rPr>
        <w:t>评标因素及权重分值表</w:t>
      </w:r>
    </w:p>
    <w:p>
      <w:pPr>
        <w:spacing w:line="360" w:lineRule="auto"/>
        <w:rPr>
          <w:rFonts w:hAnsi="宋体" w:cs="宋体"/>
          <w:b/>
          <w:sz w:val="28"/>
          <w:szCs w:val="28"/>
          <w:highlight w:val="none"/>
        </w:rPr>
      </w:pPr>
      <w:bookmarkStart w:id="84" w:name="_Toc363463333"/>
      <w:r>
        <w:rPr>
          <w:rFonts w:hint="eastAsia" w:hAnsi="宋体" w:cs="宋体"/>
          <w:b/>
          <w:sz w:val="28"/>
          <w:szCs w:val="28"/>
          <w:highlight w:val="none"/>
        </w:rPr>
        <w:t>三、评标程序</w:t>
      </w:r>
      <w:bookmarkEnd w:id="84"/>
    </w:p>
    <w:p>
      <w:pPr>
        <w:spacing w:line="360" w:lineRule="auto"/>
        <w:rPr>
          <w:rFonts w:hAnsi="宋体" w:cs="宋体"/>
          <w:b/>
          <w:color w:val="000000"/>
          <w:highlight w:val="none"/>
        </w:rPr>
      </w:pPr>
      <w:r>
        <w:rPr>
          <w:rFonts w:hint="eastAsia" w:hAnsi="宋体" w:cs="宋体"/>
          <w:b/>
          <w:color w:val="000000"/>
          <w:highlight w:val="none"/>
        </w:rPr>
        <w:t>1.本采购项目评标按照下列工作程序进行</w:t>
      </w:r>
      <w:r>
        <w:rPr>
          <w:rFonts w:hint="eastAsia" w:hAnsi="宋体" w:cs="宋体"/>
          <w:bCs/>
          <w:color w:val="000000"/>
          <w:highlight w:val="none"/>
        </w:rPr>
        <w:t>（在上一步评审中被认定无效投标者，不进入下一步的评审）</w:t>
      </w:r>
      <w:r>
        <w:rPr>
          <w:rFonts w:hint="eastAsia" w:hAnsi="宋体" w:cs="宋体"/>
          <w:b/>
          <w:color w:val="000000"/>
          <w:highlight w:val="none"/>
        </w:rPr>
        <w:t>。</w:t>
      </w:r>
    </w:p>
    <w:p>
      <w:pPr>
        <w:spacing w:line="360" w:lineRule="auto"/>
        <w:ind w:firstLine="495"/>
        <w:rPr>
          <w:rFonts w:hAnsi="宋体" w:cs="宋体"/>
          <w:color w:val="000000"/>
          <w:highlight w:val="none"/>
        </w:rPr>
      </w:pPr>
      <w:r>
        <w:rPr>
          <w:rFonts w:hint="eastAsia" w:hAnsi="宋体" w:cs="宋体"/>
          <w:color w:val="000000"/>
          <w:highlight w:val="none"/>
        </w:rPr>
        <w:t>（1）投标文件初审；</w:t>
      </w:r>
    </w:p>
    <w:p>
      <w:pPr>
        <w:spacing w:line="360" w:lineRule="auto"/>
        <w:ind w:firstLine="495"/>
        <w:rPr>
          <w:rFonts w:hAnsi="宋体" w:cs="宋体"/>
          <w:color w:val="000000"/>
          <w:highlight w:val="none"/>
        </w:rPr>
      </w:pPr>
      <w:r>
        <w:rPr>
          <w:rFonts w:hint="eastAsia" w:hAnsi="宋体" w:cs="宋体"/>
          <w:color w:val="000000"/>
          <w:highlight w:val="none"/>
        </w:rPr>
        <w:t>（2）澄清有关问题；</w:t>
      </w:r>
    </w:p>
    <w:p>
      <w:pPr>
        <w:spacing w:line="360" w:lineRule="auto"/>
        <w:ind w:firstLine="495"/>
        <w:rPr>
          <w:rFonts w:hAnsi="宋体" w:cs="宋体"/>
          <w:color w:val="000000"/>
          <w:highlight w:val="none"/>
        </w:rPr>
      </w:pPr>
      <w:r>
        <w:rPr>
          <w:rFonts w:hint="eastAsia" w:hAnsi="宋体" w:cs="宋体"/>
          <w:color w:val="000000"/>
          <w:highlight w:val="none"/>
        </w:rPr>
        <w:t>（3）比较与评价；</w:t>
      </w:r>
    </w:p>
    <w:p>
      <w:pPr>
        <w:spacing w:line="360" w:lineRule="auto"/>
        <w:ind w:firstLine="495"/>
        <w:rPr>
          <w:rFonts w:hAnsi="宋体" w:cs="宋体"/>
          <w:color w:val="000000"/>
          <w:highlight w:val="none"/>
        </w:rPr>
      </w:pPr>
      <w:r>
        <w:rPr>
          <w:rFonts w:hint="eastAsia" w:hAnsi="宋体" w:cs="宋体"/>
          <w:color w:val="000000"/>
          <w:highlight w:val="none"/>
        </w:rPr>
        <w:t>（4）推荐中标候选人名单。</w:t>
      </w:r>
    </w:p>
    <w:p>
      <w:pPr>
        <w:spacing w:before="120" w:after="120" w:line="360" w:lineRule="auto"/>
        <w:rPr>
          <w:rFonts w:hAnsi="宋体" w:cs="宋体"/>
          <w:b/>
          <w:color w:val="000000"/>
          <w:highlight w:val="none"/>
        </w:rPr>
      </w:pPr>
      <w:r>
        <w:rPr>
          <w:rFonts w:hint="eastAsia" w:hAnsi="宋体" w:cs="宋体"/>
          <w:b/>
          <w:color w:val="000000"/>
          <w:highlight w:val="none"/>
        </w:rPr>
        <w:t>2.投标文件初审</w:t>
      </w:r>
    </w:p>
    <w:p>
      <w:pPr>
        <w:tabs>
          <w:tab w:val="left" w:pos="0"/>
        </w:tabs>
        <w:adjustRightInd w:val="0"/>
        <w:snapToGrid w:val="0"/>
        <w:spacing w:line="360" w:lineRule="auto"/>
        <w:ind w:firstLine="472" w:firstLineChars="196"/>
        <w:rPr>
          <w:rFonts w:hAnsi="宋体" w:cs="宋体"/>
          <w:color w:val="000000"/>
          <w:highlight w:val="none"/>
        </w:rPr>
      </w:pPr>
      <w:r>
        <w:rPr>
          <w:rFonts w:hint="eastAsia" w:hAnsi="宋体" w:cs="宋体"/>
          <w:b/>
          <w:bCs/>
          <w:color w:val="000000"/>
          <w:highlight w:val="none"/>
        </w:rPr>
        <w:t>评标委员会根据本章第 2.1 项规定的评审标准对投标文件进行初步评审。有一项不符合评审标准的，评标委员会应当否决其投标。</w:t>
      </w:r>
    </w:p>
    <w:p>
      <w:pPr>
        <w:tabs>
          <w:tab w:val="left" w:pos="0"/>
        </w:tabs>
        <w:adjustRightInd w:val="0"/>
        <w:snapToGrid w:val="0"/>
        <w:spacing w:line="360" w:lineRule="auto"/>
        <w:ind w:firstLine="472" w:firstLineChars="196"/>
        <w:rPr>
          <w:rFonts w:hAnsi="宋体" w:cs="宋体"/>
          <w:b/>
          <w:bCs/>
          <w:color w:val="000000"/>
          <w:highlight w:val="none"/>
        </w:rPr>
      </w:pPr>
      <w:r>
        <w:rPr>
          <w:rFonts w:hint="eastAsia" w:hAnsi="宋体" w:cs="宋体"/>
          <w:b/>
          <w:bCs/>
          <w:color w:val="000000"/>
          <w:highlight w:val="none"/>
        </w:rPr>
        <w:t>在资格性审查阶段，不符合文件要求的，不得进入符合性审查，在资格性审查和符合性审查时未通过的，不得进入后续评审环节。</w:t>
      </w:r>
    </w:p>
    <w:p>
      <w:pPr>
        <w:spacing w:before="120" w:after="120" w:line="360" w:lineRule="auto"/>
        <w:rPr>
          <w:rFonts w:hAnsi="宋体" w:cs="宋体"/>
          <w:b/>
          <w:color w:val="000000"/>
          <w:highlight w:val="none"/>
        </w:rPr>
      </w:pPr>
      <w:r>
        <w:rPr>
          <w:rFonts w:hint="eastAsia" w:hAnsi="宋体" w:cs="宋体"/>
          <w:b/>
          <w:color w:val="000000"/>
          <w:highlight w:val="none"/>
        </w:rPr>
        <w:t>3.投标文件的澄清</w:t>
      </w:r>
    </w:p>
    <w:p>
      <w:pPr>
        <w:spacing w:line="360" w:lineRule="auto"/>
        <w:ind w:firstLine="480" w:firstLineChars="200"/>
        <w:rPr>
          <w:rFonts w:hAnsi="宋体" w:cs="宋体"/>
          <w:color w:val="000000"/>
          <w:highlight w:val="none"/>
        </w:rPr>
      </w:pPr>
      <w:r>
        <w:rPr>
          <w:rFonts w:hint="eastAsia" w:hAnsi="宋体" w:cs="宋体"/>
          <w:color w:val="000000"/>
          <w:highlight w:val="none"/>
        </w:rPr>
        <w:t>3.1为有助于投标文件的审查、比较和评价，评标委员会可要求投标人对其投标文件中非实质性（投标文件中含义不明确、同类问题表述不一致或者有明显文字和计算错误的内容）的有关问题进行澄清、说明或者补正。有关澄清、说明或者补正的要求和答复应以书面形式提交，并由其法定代表人或授权代表签字。投标人的澄清、说明或者补正不得超出投标文件的范围或者改变投标文件的实质性内容。评标委员会不接受投标人主动提出的澄清、说明。</w:t>
      </w:r>
    </w:p>
    <w:p>
      <w:pPr>
        <w:spacing w:line="360" w:lineRule="auto"/>
        <w:ind w:firstLine="480" w:firstLineChars="200"/>
        <w:rPr>
          <w:rFonts w:hAnsi="宋体" w:cs="宋体"/>
          <w:szCs w:val="24"/>
          <w:highlight w:val="none"/>
        </w:rPr>
      </w:pPr>
      <w:r>
        <w:rPr>
          <w:rFonts w:hint="eastAsia" w:hAnsi="宋体" w:cs="宋体"/>
          <w:color w:val="000000"/>
          <w:highlight w:val="none"/>
        </w:rPr>
        <w:t>3.2有效的书面澄清材料，是投标文件的补充材料，成为投标文件的组成部分。</w:t>
      </w:r>
    </w:p>
    <w:p>
      <w:pPr>
        <w:tabs>
          <w:tab w:val="left" w:pos="851"/>
        </w:tabs>
        <w:spacing w:line="360" w:lineRule="auto"/>
        <w:ind w:firstLine="480" w:firstLineChars="200"/>
        <w:rPr>
          <w:rFonts w:hAnsi="宋体" w:cs="宋体"/>
          <w:szCs w:val="24"/>
          <w:highlight w:val="none"/>
        </w:rPr>
      </w:pPr>
      <w:r>
        <w:rPr>
          <w:rFonts w:hint="eastAsia" w:hAnsi="宋体" w:cs="宋体"/>
          <w:szCs w:val="24"/>
          <w:highlight w:val="none"/>
        </w:rPr>
        <w:t>3.3评标委员会认为投标人的报价明显低于其他通过初审合格投标人的报价，有可能影响项目服务质量或者不能诚信履约的，应当要求其在评标现场合理的时间内提供书面说明，必要时提交相关证明材料；投标人不能证明其报价合理性的，评标委员会应当将其作为无效投标处理。</w:t>
      </w:r>
    </w:p>
    <w:p>
      <w:pPr>
        <w:spacing w:before="120" w:after="120" w:line="360" w:lineRule="auto"/>
        <w:jc w:val="left"/>
        <w:rPr>
          <w:rFonts w:hAnsi="宋体" w:cs="宋体"/>
          <w:b/>
          <w:color w:val="000000"/>
          <w:highlight w:val="none"/>
        </w:rPr>
      </w:pPr>
      <w:r>
        <w:rPr>
          <w:rFonts w:hint="eastAsia" w:hAnsi="宋体" w:cs="宋体"/>
          <w:b/>
          <w:color w:val="000000"/>
          <w:highlight w:val="none"/>
        </w:rPr>
        <w:t>4.投标文件比较与评价</w:t>
      </w:r>
    </w:p>
    <w:p>
      <w:pPr>
        <w:tabs>
          <w:tab w:val="left" w:pos="0"/>
        </w:tabs>
        <w:adjustRightInd w:val="0"/>
        <w:snapToGrid w:val="0"/>
        <w:spacing w:before="120" w:line="360" w:lineRule="auto"/>
        <w:ind w:firstLine="480" w:firstLineChars="200"/>
        <w:rPr>
          <w:rFonts w:hAnsi="宋体" w:cs="宋体"/>
          <w:color w:val="000000"/>
          <w:highlight w:val="none"/>
        </w:rPr>
      </w:pPr>
      <w:r>
        <w:rPr>
          <w:rFonts w:hint="eastAsia" w:hAnsi="宋体" w:cs="宋体"/>
          <w:color w:val="000000"/>
          <w:highlight w:val="none"/>
        </w:rPr>
        <w:t>4.1</w:t>
      </w:r>
      <w:r>
        <w:rPr>
          <w:rFonts w:hint="eastAsia" w:hAnsi="宋体" w:cs="宋体"/>
          <w:bCs/>
          <w:color w:val="000000"/>
          <w:highlight w:val="none"/>
        </w:rPr>
        <w:t>评委会应按照招标文件中规定的评标方法</w:t>
      </w:r>
      <w:r>
        <w:rPr>
          <w:rFonts w:hint="eastAsia" w:hAnsi="宋体" w:cs="宋体"/>
          <w:color w:val="000000"/>
          <w:highlight w:val="none"/>
        </w:rPr>
        <w:t>和标准，</w:t>
      </w:r>
      <w:r>
        <w:rPr>
          <w:rFonts w:hint="eastAsia" w:hAnsi="宋体" w:cs="宋体"/>
          <w:bCs/>
          <w:color w:val="000000"/>
          <w:highlight w:val="none"/>
        </w:rPr>
        <w:t>对</w:t>
      </w:r>
      <w:r>
        <w:rPr>
          <w:rFonts w:hint="eastAsia" w:hAnsi="宋体" w:cs="宋体"/>
          <w:color w:val="000000"/>
          <w:highlight w:val="none"/>
        </w:rPr>
        <w:t>资格性检查和符合性检查</w:t>
      </w:r>
      <w:r>
        <w:rPr>
          <w:rFonts w:hint="eastAsia" w:hAnsi="宋体" w:cs="宋体"/>
          <w:bCs/>
          <w:color w:val="000000"/>
          <w:highlight w:val="none"/>
        </w:rPr>
        <w:t>合格的投标文件进行综合比较与评价。</w:t>
      </w:r>
    </w:p>
    <w:p>
      <w:pPr>
        <w:spacing w:line="360" w:lineRule="auto"/>
        <w:ind w:firstLine="470" w:firstLineChars="196"/>
        <w:rPr>
          <w:rFonts w:hAnsi="宋体" w:cs="宋体"/>
          <w:szCs w:val="24"/>
          <w:highlight w:val="none"/>
        </w:rPr>
      </w:pPr>
      <w:r>
        <w:rPr>
          <w:rFonts w:hint="eastAsia" w:hAnsi="宋体" w:cs="宋体"/>
          <w:color w:val="000000"/>
          <w:highlight w:val="none"/>
        </w:rPr>
        <w:t>4.2如果投标文件没有实质性响应招标文件的要求，评委会将予以拒绝。投标人不得通过修正或撤销不合要求的偏离或保留，从而使其投标成为实质性响应的投标。</w:t>
      </w:r>
    </w:p>
    <w:p>
      <w:pPr>
        <w:spacing w:line="360" w:lineRule="auto"/>
        <w:ind w:firstLine="120" w:firstLineChars="50"/>
        <w:rPr>
          <w:rFonts w:hAnsi="宋体" w:cs="宋体"/>
          <w:b/>
          <w:szCs w:val="24"/>
          <w:highlight w:val="none"/>
        </w:rPr>
      </w:pPr>
      <w:r>
        <w:rPr>
          <w:rFonts w:hint="eastAsia" w:hAnsi="宋体" w:cs="宋体"/>
          <w:b/>
          <w:szCs w:val="24"/>
          <w:highlight w:val="none"/>
        </w:rPr>
        <w:t>四、政策性扣减</w:t>
      </w:r>
    </w:p>
    <w:p>
      <w:pPr>
        <w:spacing w:line="600" w:lineRule="exact"/>
        <w:ind w:firstLine="482" w:firstLineChars="200"/>
        <w:rPr>
          <w:rFonts w:hAnsi="宋体" w:cs="宋体"/>
          <w:b/>
          <w:szCs w:val="24"/>
          <w:highlight w:val="none"/>
        </w:rPr>
      </w:pPr>
      <w:r>
        <w:rPr>
          <w:rFonts w:hint="eastAsia" w:hAnsi="宋体" w:cs="宋体"/>
          <w:b/>
          <w:szCs w:val="24"/>
          <w:highlight w:val="none"/>
        </w:rPr>
        <w:t>1、政策性扣减范围</w:t>
      </w:r>
    </w:p>
    <w:p>
      <w:pPr>
        <w:tabs>
          <w:tab w:val="left" w:pos="0"/>
        </w:tabs>
        <w:adjustRightInd w:val="0"/>
        <w:snapToGrid w:val="0"/>
        <w:spacing w:before="120" w:line="360" w:lineRule="auto"/>
        <w:ind w:firstLine="48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1.1供应商符合小型、微型企业或监狱企业、残疾人福利性单位条件的，其投标报价价格评审时将按相应比例进行扣减。</w:t>
      </w:r>
    </w:p>
    <w:p>
      <w:pPr>
        <w:tabs>
          <w:tab w:val="left" w:pos="0"/>
        </w:tabs>
        <w:adjustRightInd w:val="0"/>
        <w:snapToGrid w:val="0"/>
        <w:spacing w:before="120" w:line="360" w:lineRule="auto"/>
        <w:ind w:firstLine="48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1.2依据关于印发《政府采购促进中小企业发展管理办法》的通知（财库〔2020〕46号）的规定，在政府采购活动中，供应商提供的货物、工程或者服务符合下列情形的，享受中小企业扶持政策：</w:t>
      </w:r>
    </w:p>
    <w:p>
      <w:pPr>
        <w:tabs>
          <w:tab w:val="left" w:pos="0"/>
        </w:tabs>
        <w:adjustRightInd w:val="0"/>
        <w:snapToGrid w:val="0"/>
        <w:spacing w:before="120" w:line="360" w:lineRule="auto"/>
        <w:ind w:firstLine="48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1）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w:t>
      </w:r>
      <w:r>
        <w:rPr>
          <w:rFonts w:hint="eastAsia" w:hAnsi="宋体" w:cs="宋体"/>
          <w:bCs/>
          <w:color w:val="000000"/>
          <w:highlight w:val="none"/>
          <w:lang w:val="en-US" w:eastAsia="zh-CN"/>
        </w:rPr>
        <w:t>相关法律法规</w:t>
      </w:r>
      <w:r>
        <w:rPr>
          <w:rFonts w:hint="eastAsia" w:ascii="宋体" w:hAnsi="宋体" w:eastAsia="宋体" w:cs="宋体"/>
          <w:bCs/>
          <w:color w:val="000000"/>
          <w:highlight w:val="none"/>
        </w:rPr>
        <w:t>订立劳动合同的从业人员。</w:t>
      </w:r>
    </w:p>
    <w:p>
      <w:pPr>
        <w:tabs>
          <w:tab w:val="left" w:pos="0"/>
        </w:tabs>
        <w:adjustRightInd w:val="0"/>
        <w:snapToGrid w:val="0"/>
        <w:spacing w:before="120" w:line="360" w:lineRule="auto"/>
        <w:ind w:firstLine="48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（2）在货物采购项目中，供应商提供的货物既有中小企业制造货物，也有大型企业制造货物的，不享受本办法规定的中小企业扶持政策。</w:t>
      </w:r>
    </w:p>
    <w:p>
      <w:pPr>
        <w:tabs>
          <w:tab w:val="left" w:pos="0"/>
        </w:tabs>
        <w:adjustRightInd w:val="0"/>
        <w:snapToGrid w:val="0"/>
        <w:spacing w:before="120" w:line="360" w:lineRule="auto"/>
        <w:ind w:firstLine="48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（3）以联合体形式参加政府采购活动，联合体各方均为中小企业的，联合体视同中小企业。其中，联合体各方均为小微企业的，联合体视同小微企业。</w:t>
      </w:r>
    </w:p>
    <w:p>
      <w:pPr>
        <w:tabs>
          <w:tab w:val="left" w:pos="0"/>
        </w:tabs>
        <w:adjustRightInd w:val="0"/>
        <w:snapToGrid w:val="0"/>
        <w:spacing w:before="120" w:line="360" w:lineRule="auto"/>
        <w:ind w:firstLine="48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w:t>
      </w:r>
      <w:r>
        <w:rPr>
          <w:rFonts w:hint="eastAsia" w:ascii="宋体" w:hAnsi="宋体" w:eastAsia="宋体" w:cs="宋体"/>
          <w:bCs/>
          <w:color w:val="000000"/>
          <w:highlight w:val="none"/>
          <w:lang w:val="en-US" w:eastAsia="zh-CN"/>
        </w:rPr>
        <w:t>4</w:t>
      </w:r>
      <w:r>
        <w:rPr>
          <w:rFonts w:hint="eastAsia" w:ascii="宋体" w:hAnsi="宋体" w:eastAsia="宋体" w:cs="宋体"/>
          <w:bCs/>
          <w:color w:val="000000"/>
          <w:highlight w:val="none"/>
        </w:rPr>
        <w:t>）中小企业参加政府采购活动，应当出具符合财库〔2020〕46号规定的《中小企业声明函》,否则不得享受相关中小企业扶持政策。</w:t>
      </w:r>
    </w:p>
    <w:p>
      <w:pPr>
        <w:tabs>
          <w:tab w:val="left" w:pos="0"/>
        </w:tabs>
        <w:adjustRightInd w:val="0"/>
        <w:snapToGrid w:val="0"/>
        <w:spacing w:before="120" w:line="360" w:lineRule="auto"/>
        <w:ind w:firstLine="48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1.3采购人拟采购产品属于优先采购节能、环境标志产品范围的，应当优先采购节能、环境标志产品；拟采购产品符合政府采购强制采购政策的，实行强制采购。</w:t>
      </w:r>
    </w:p>
    <w:p>
      <w:pPr>
        <w:tabs>
          <w:tab w:val="left" w:pos="0"/>
        </w:tabs>
        <w:adjustRightInd w:val="0"/>
        <w:snapToGrid w:val="0"/>
        <w:spacing w:before="120" w:line="360" w:lineRule="auto"/>
        <w:ind w:firstLine="48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（1）采购人依据节能产品、环境标志产品品目清单和节能、环境标志产品认证证书实施政府优先采购和强制采购。</w:t>
      </w:r>
    </w:p>
    <w:p>
      <w:pPr>
        <w:tabs>
          <w:tab w:val="left" w:pos="0"/>
        </w:tabs>
        <w:adjustRightInd w:val="0"/>
        <w:snapToGrid w:val="0"/>
        <w:spacing w:before="120" w:line="360" w:lineRule="auto"/>
        <w:ind w:firstLine="48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2）采购人拟采购的产品属于品目清单范围的，采购人及其委托的采购代理机构将依据国家确定的认证机构出具的、处于有效期之内的节能、环境标志产品认证证书，对获得证书的产品实施政府优先采购或强制采购。</w:t>
      </w:r>
    </w:p>
    <w:p>
      <w:pPr>
        <w:tabs>
          <w:tab w:val="left" w:pos="0"/>
        </w:tabs>
        <w:adjustRightInd w:val="0"/>
        <w:snapToGrid w:val="0"/>
        <w:spacing w:before="120" w:line="360" w:lineRule="auto"/>
        <w:ind w:firstLine="48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1.4监狱企业参加政府采购活动时，应当提供由省级以上监狱管理局、戒毒管理局(含新疆生产建设兵团)出具的属于监狱企业的证明文件。监狱企业参加政府采购活动时，视同小型、微型企业。</w:t>
      </w:r>
    </w:p>
    <w:p>
      <w:pPr>
        <w:tabs>
          <w:tab w:val="left" w:pos="0"/>
        </w:tabs>
        <w:adjustRightInd w:val="0"/>
        <w:snapToGrid w:val="0"/>
        <w:spacing w:before="120" w:line="360" w:lineRule="auto"/>
        <w:ind w:firstLine="480" w:firstLineChars="200"/>
        <w:rPr>
          <w:rFonts w:hAnsi="宋体" w:cs="宋体"/>
          <w:szCs w:val="24"/>
          <w:highlight w:val="none"/>
        </w:rPr>
      </w:pPr>
      <w:r>
        <w:rPr>
          <w:rFonts w:hint="eastAsia" w:ascii="宋体" w:hAnsi="宋体" w:eastAsia="宋体" w:cs="宋体"/>
          <w:bCs/>
          <w:color w:val="000000"/>
          <w:highlight w:val="none"/>
        </w:rPr>
        <w:t>1.5符合条件的残疾人福利性单位在参加政府采购活动时，应当提供《残疾人福利性单位声明函》，并对声明的真实性负责。残疾人福利性单位参加政府采购活动时，视同小型、微型企业；残疾人福利性单位属于小型、微型企业的，不重复享受政策。</w:t>
      </w:r>
    </w:p>
    <w:p>
      <w:pPr>
        <w:spacing w:line="600" w:lineRule="exact"/>
        <w:ind w:firstLine="482" w:firstLineChars="200"/>
        <w:rPr>
          <w:rFonts w:hAnsi="宋体" w:cs="宋体"/>
          <w:b/>
          <w:szCs w:val="24"/>
          <w:highlight w:val="none"/>
        </w:rPr>
      </w:pPr>
      <w:r>
        <w:rPr>
          <w:rFonts w:hint="eastAsia" w:hAnsi="宋体" w:cs="宋体"/>
          <w:b/>
          <w:szCs w:val="24"/>
          <w:highlight w:val="none"/>
        </w:rPr>
        <w:t>2、政策性扣减方式：</w:t>
      </w:r>
    </w:p>
    <w:p>
      <w:pPr>
        <w:tabs>
          <w:tab w:val="left" w:pos="0"/>
        </w:tabs>
        <w:adjustRightInd w:val="0"/>
        <w:snapToGrid w:val="0"/>
        <w:spacing w:before="120" w:line="360" w:lineRule="auto"/>
        <w:ind w:firstLine="48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2.1对于未预留份额专门面向中小企业采购的采购项目，以及预留份额项目的非预留部分采购包中符合条件的小微企业报价给予10%的扣除。</w:t>
      </w:r>
    </w:p>
    <w:p>
      <w:pPr>
        <w:tabs>
          <w:tab w:val="left" w:pos="0"/>
        </w:tabs>
        <w:adjustRightInd w:val="0"/>
        <w:snapToGrid w:val="0"/>
        <w:spacing w:before="120" w:line="360" w:lineRule="auto"/>
        <w:ind w:firstLine="48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2.2接受大中型企业与小微企业组成联合体或者允许大中型企业向一家或者多家小微企业分包的采购项目，对于联合协议或者分包意向协议约定小微企业的合同份额占到合同总金额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的扣除；组成联合体或者接受分包的小微企业与联合体内其他企业、分包企业之间存在直接控股、管理关系的，不享受价格扣除优惠政策。享受扶持政策获得政府采购合同的，小微企业不得将合同分包给大中型企业，中型企业不得将合同分包给大型企业。</w:t>
      </w:r>
    </w:p>
    <w:p>
      <w:pPr>
        <w:tabs>
          <w:tab w:val="left" w:pos="0"/>
        </w:tabs>
        <w:adjustRightInd w:val="0"/>
        <w:snapToGrid w:val="0"/>
        <w:spacing w:before="120" w:line="360" w:lineRule="auto"/>
        <w:ind w:firstLine="48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2.3监狱企业、残疾人福利性单位视同小微企业，享受预留份额、评审中价格扣除等促进中小企业发展的政府采购政策。监狱企业、残疾人福利性单位属于小微企业的，不重复享受政策。</w:t>
      </w:r>
    </w:p>
    <w:p>
      <w:pPr>
        <w:tabs>
          <w:tab w:val="left" w:pos="0"/>
        </w:tabs>
        <w:adjustRightInd w:val="0"/>
        <w:snapToGrid w:val="0"/>
        <w:spacing w:before="120" w:line="360" w:lineRule="auto"/>
        <w:ind w:firstLine="48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2.4供应商享受支持中小型企业发展政策优惠的，可以同时享受节能、环境标志产品优先采购政策。</w:t>
      </w:r>
    </w:p>
    <w:p>
      <w:pPr>
        <w:spacing w:line="600" w:lineRule="exact"/>
        <w:ind w:firstLine="482" w:firstLineChars="200"/>
        <w:rPr>
          <w:rFonts w:hAnsi="宋体" w:cs="宋体"/>
          <w:b/>
          <w:bCs/>
          <w:szCs w:val="24"/>
          <w:highlight w:val="none"/>
        </w:rPr>
      </w:pPr>
      <w:r>
        <w:rPr>
          <w:rFonts w:hint="eastAsia" w:hAnsi="宋体" w:cs="宋体"/>
          <w:b/>
          <w:bCs/>
          <w:szCs w:val="24"/>
          <w:highlight w:val="none"/>
        </w:rPr>
        <w:t>3、中标价格=中标供应商的有效投标报价。</w:t>
      </w:r>
    </w:p>
    <w:p>
      <w:pPr>
        <w:spacing w:line="600" w:lineRule="exact"/>
        <w:rPr>
          <w:rFonts w:hAnsi="宋体" w:cs="宋体"/>
          <w:szCs w:val="24"/>
          <w:highlight w:val="none"/>
        </w:rPr>
      </w:pPr>
    </w:p>
    <w:p>
      <w:pPr>
        <w:pStyle w:val="2"/>
        <w:rPr>
          <w:rFonts w:ascii="宋体" w:hAnsi="宋体" w:cs="宋体"/>
          <w:szCs w:val="24"/>
          <w:highlight w:val="none"/>
        </w:rPr>
      </w:pPr>
    </w:p>
    <w:p>
      <w:pPr>
        <w:pStyle w:val="2"/>
        <w:rPr>
          <w:rFonts w:ascii="宋体" w:hAnsi="宋体" w:cs="宋体"/>
          <w:szCs w:val="24"/>
          <w:highlight w:val="none"/>
        </w:rPr>
      </w:pPr>
      <w:r>
        <w:rPr>
          <w:rFonts w:hint="eastAsia" w:ascii="宋体" w:hAnsi="宋体" w:cs="宋体"/>
          <w:szCs w:val="24"/>
          <w:highlight w:val="none"/>
        </w:rPr>
        <w:br w:type="page"/>
      </w:r>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2</w:t>
      </w:r>
      <w:r>
        <w:rPr>
          <w:rFonts w:hint="eastAsia" w:ascii="宋体" w:hAnsi="宋体" w:cs="宋体"/>
          <w:b/>
          <w:bCs/>
          <w:sz w:val="24"/>
          <w:szCs w:val="24"/>
          <w:highlight w:val="none"/>
        </w:rPr>
        <w:t>：</w:t>
      </w:r>
    </w:p>
    <w:p>
      <w:pPr>
        <w:pStyle w:val="2"/>
        <w:jc w:val="center"/>
        <w:rPr>
          <w:rFonts w:ascii="宋体" w:hAnsi="宋体" w:cs="宋体"/>
          <w:b/>
          <w:bCs/>
          <w:sz w:val="24"/>
          <w:szCs w:val="24"/>
          <w:highlight w:val="none"/>
        </w:rPr>
      </w:pPr>
      <w:r>
        <w:rPr>
          <w:rFonts w:hint="eastAsia" w:ascii="宋体" w:hAnsi="宋体" w:cs="宋体"/>
          <w:b/>
          <w:bCs/>
          <w:sz w:val="24"/>
          <w:szCs w:val="24"/>
          <w:highlight w:val="none"/>
        </w:rPr>
        <w:t>初步审查要素表</w:t>
      </w:r>
    </w:p>
    <w:tbl>
      <w:tblPr>
        <w:tblStyle w:val="24"/>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600"/>
        <w:gridCol w:w="567"/>
        <w:gridCol w:w="2269"/>
        <w:gridCol w:w="5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364" w:type="dxa"/>
            <w:gridSpan w:val="2"/>
            <w:vAlign w:val="center"/>
          </w:tcPr>
          <w:p>
            <w:pPr>
              <w:tabs>
                <w:tab w:val="left" w:pos="0"/>
              </w:tabs>
              <w:adjustRightInd w:val="0"/>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条款号</w:t>
            </w:r>
          </w:p>
        </w:tc>
        <w:tc>
          <w:tcPr>
            <w:tcW w:w="2836" w:type="dxa"/>
            <w:gridSpan w:val="2"/>
            <w:vAlign w:val="center"/>
          </w:tcPr>
          <w:p>
            <w:pPr>
              <w:tabs>
                <w:tab w:val="left" w:pos="0"/>
              </w:tabs>
              <w:adjustRightInd w:val="0"/>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评审因素</w:t>
            </w:r>
          </w:p>
        </w:tc>
        <w:tc>
          <w:tcPr>
            <w:tcW w:w="5319" w:type="dxa"/>
            <w:vAlign w:val="center"/>
          </w:tcPr>
          <w:p>
            <w:pPr>
              <w:tabs>
                <w:tab w:val="left" w:pos="0"/>
              </w:tabs>
              <w:adjustRightInd w:val="0"/>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64" w:type="dxa"/>
            <w:vMerge w:val="restart"/>
            <w:vAlign w:val="center"/>
          </w:tcPr>
          <w:p>
            <w:pPr>
              <w:tabs>
                <w:tab w:val="left" w:pos="0"/>
              </w:tabs>
              <w:adjustRightInd w:val="0"/>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2.1.1</w:t>
            </w:r>
          </w:p>
        </w:tc>
        <w:tc>
          <w:tcPr>
            <w:tcW w:w="600" w:type="dxa"/>
            <w:vMerge w:val="restart"/>
            <w:vAlign w:val="center"/>
          </w:tcPr>
          <w:p>
            <w:pPr>
              <w:tabs>
                <w:tab w:val="left" w:pos="0"/>
              </w:tabs>
              <w:adjustRightInd w:val="0"/>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资格评审</w:t>
            </w:r>
          </w:p>
          <w:p>
            <w:pPr>
              <w:tabs>
                <w:tab w:val="left" w:pos="0"/>
              </w:tabs>
              <w:adjustRightInd w:val="0"/>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标准</w:t>
            </w:r>
          </w:p>
        </w:tc>
        <w:tc>
          <w:tcPr>
            <w:tcW w:w="2836" w:type="dxa"/>
            <w:gridSpan w:val="2"/>
            <w:vAlign w:val="center"/>
          </w:tcPr>
          <w:p>
            <w:pPr>
              <w:tabs>
                <w:tab w:val="left" w:pos="0"/>
              </w:tabs>
              <w:adjustRightInd w:val="0"/>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营业执照</w:t>
            </w:r>
          </w:p>
        </w:tc>
        <w:tc>
          <w:tcPr>
            <w:tcW w:w="5319" w:type="dxa"/>
            <w:vAlign w:val="center"/>
          </w:tcPr>
          <w:p>
            <w:pPr>
              <w:tabs>
                <w:tab w:val="left" w:pos="0"/>
              </w:tabs>
              <w:adjustRightInd w:val="0"/>
              <w:snapToGrid w:val="0"/>
              <w:jc w:val="left"/>
              <w:rPr>
                <w:rFonts w:hint="eastAsia" w:ascii="宋体" w:hAnsi="宋体" w:eastAsia="宋体" w:cs="宋体"/>
                <w:bCs/>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提供合格有效的法人或者其他组织的营业执照等证明文件，自然人的身份证明；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64" w:type="dxa"/>
            <w:vMerge w:val="continue"/>
            <w:vAlign w:val="center"/>
          </w:tcPr>
          <w:p>
            <w:pPr>
              <w:tabs>
                <w:tab w:val="left" w:pos="0"/>
              </w:tabs>
              <w:adjustRightInd w:val="0"/>
              <w:snapToGrid w:val="0"/>
              <w:jc w:val="center"/>
              <w:rPr>
                <w:rFonts w:hint="eastAsia" w:ascii="宋体" w:hAnsi="宋体" w:eastAsia="宋体" w:cs="宋体"/>
                <w:b/>
                <w:sz w:val="24"/>
                <w:szCs w:val="24"/>
                <w:highlight w:val="none"/>
              </w:rPr>
            </w:pPr>
          </w:p>
        </w:tc>
        <w:tc>
          <w:tcPr>
            <w:tcW w:w="600" w:type="dxa"/>
            <w:vMerge w:val="continue"/>
            <w:vAlign w:val="center"/>
          </w:tcPr>
          <w:p>
            <w:pPr>
              <w:tabs>
                <w:tab w:val="left" w:pos="0"/>
              </w:tabs>
              <w:adjustRightInd w:val="0"/>
              <w:snapToGrid w:val="0"/>
              <w:jc w:val="center"/>
              <w:rPr>
                <w:rFonts w:hint="eastAsia" w:ascii="宋体" w:hAnsi="宋体" w:eastAsia="宋体" w:cs="宋体"/>
                <w:b/>
                <w:sz w:val="24"/>
                <w:szCs w:val="24"/>
                <w:highlight w:val="none"/>
              </w:rPr>
            </w:pPr>
          </w:p>
        </w:tc>
        <w:tc>
          <w:tcPr>
            <w:tcW w:w="2836" w:type="dxa"/>
            <w:gridSpan w:val="2"/>
            <w:vAlign w:val="center"/>
          </w:tcPr>
          <w:p>
            <w:pPr>
              <w:tabs>
                <w:tab w:val="left" w:pos="0"/>
              </w:tabs>
              <w:adjustRightInd w:val="0"/>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法定代表人授权书/法定</w:t>
            </w:r>
          </w:p>
          <w:p>
            <w:pPr>
              <w:tabs>
                <w:tab w:val="left" w:pos="0"/>
              </w:tabs>
              <w:adjustRightInd w:val="0"/>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代表人身份证明</w:t>
            </w:r>
          </w:p>
        </w:tc>
        <w:tc>
          <w:tcPr>
            <w:tcW w:w="5319" w:type="dxa"/>
            <w:vAlign w:val="center"/>
          </w:tcPr>
          <w:p>
            <w:pPr>
              <w:tabs>
                <w:tab w:val="left" w:pos="0"/>
              </w:tabs>
              <w:adjustRightInd w:val="0"/>
              <w:snapToGrid w:val="0"/>
              <w:jc w:val="left"/>
              <w:rPr>
                <w:rFonts w:hint="eastAsia" w:ascii="宋体" w:hAnsi="宋体" w:eastAsia="宋体" w:cs="宋体"/>
                <w:bCs/>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提供法定代表人授权书（附法定代表人、被授权人身份证复印件）法定代表人直接参加投标，须提供法定代表人身份证明及身份证复印件；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764" w:type="dxa"/>
            <w:vMerge w:val="continue"/>
            <w:vAlign w:val="center"/>
          </w:tcPr>
          <w:p>
            <w:pPr>
              <w:tabs>
                <w:tab w:val="left" w:pos="0"/>
              </w:tabs>
              <w:adjustRightInd w:val="0"/>
              <w:snapToGrid w:val="0"/>
              <w:jc w:val="center"/>
              <w:rPr>
                <w:rFonts w:hint="eastAsia" w:ascii="宋体" w:hAnsi="宋体" w:eastAsia="宋体" w:cs="宋体"/>
                <w:b/>
                <w:sz w:val="24"/>
                <w:szCs w:val="24"/>
                <w:highlight w:val="none"/>
              </w:rPr>
            </w:pPr>
          </w:p>
        </w:tc>
        <w:tc>
          <w:tcPr>
            <w:tcW w:w="600" w:type="dxa"/>
            <w:vMerge w:val="continue"/>
            <w:vAlign w:val="center"/>
          </w:tcPr>
          <w:p>
            <w:pPr>
              <w:tabs>
                <w:tab w:val="left" w:pos="0"/>
              </w:tabs>
              <w:adjustRightInd w:val="0"/>
              <w:snapToGrid w:val="0"/>
              <w:jc w:val="center"/>
              <w:rPr>
                <w:rFonts w:hint="eastAsia" w:ascii="宋体" w:hAnsi="宋体" w:eastAsia="宋体" w:cs="宋体"/>
                <w:b/>
                <w:sz w:val="24"/>
                <w:szCs w:val="24"/>
                <w:highlight w:val="none"/>
              </w:rPr>
            </w:pPr>
          </w:p>
        </w:tc>
        <w:tc>
          <w:tcPr>
            <w:tcW w:w="2836" w:type="dxa"/>
            <w:gridSpan w:val="2"/>
            <w:vAlign w:val="center"/>
          </w:tcPr>
          <w:p>
            <w:pPr>
              <w:tabs>
                <w:tab w:val="left" w:pos="0"/>
              </w:tabs>
              <w:adjustRightInd w:val="0"/>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财务状况报告</w:t>
            </w:r>
          </w:p>
        </w:tc>
        <w:tc>
          <w:tcPr>
            <w:tcW w:w="5319" w:type="dxa"/>
            <w:vAlign w:val="center"/>
          </w:tcPr>
          <w:p>
            <w:pPr>
              <w:tabs>
                <w:tab w:val="left" w:pos="0"/>
              </w:tabs>
              <w:adjustRightInd w:val="0"/>
              <w:snapToGrid w:val="0"/>
              <w:jc w:val="left"/>
              <w:rPr>
                <w:rFonts w:hint="eastAsia" w:ascii="宋体" w:hAnsi="宋体" w:eastAsia="宋体" w:cs="宋体"/>
                <w:b/>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提供2022年度经审计的财务审计报告（成立时间至提交投标文件截止时间不足一年的可提供成立后任意时段的资产负债表）或开标时间前六个月内银行出具的资信证明；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764" w:type="dxa"/>
            <w:vMerge w:val="continue"/>
            <w:vAlign w:val="center"/>
          </w:tcPr>
          <w:p>
            <w:pPr>
              <w:tabs>
                <w:tab w:val="left" w:pos="0"/>
              </w:tabs>
              <w:adjustRightInd w:val="0"/>
              <w:snapToGrid w:val="0"/>
              <w:jc w:val="center"/>
              <w:rPr>
                <w:rFonts w:hint="eastAsia" w:ascii="宋体" w:hAnsi="宋体" w:eastAsia="宋体" w:cs="宋体"/>
                <w:b/>
                <w:sz w:val="24"/>
                <w:szCs w:val="24"/>
                <w:highlight w:val="none"/>
              </w:rPr>
            </w:pPr>
          </w:p>
        </w:tc>
        <w:tc>
          <w:tcPr>
            <w:tcW w:w="600" w:type="dxa"/>
            <w:vMerge w:val="continue"/>
            <w:vAlign w:val="center"/>
          </w:tcPr>
          <w:p>
            <w:pPr>
              <w:tabs>
                <w:tab w:val="left" w:pos="0"/>
              </w:tabs>
              <w:adjustRightInd w:val="0"/>
              <w:snapToGrid w:val="0"/>
              <w:jc w:val="center"/>
              <w:rPr>
                <w:rFonts w:hint="eastAsia" w:ascii="宋体" w:hAnsi="宋体" w:eastAsia="宋体" w:cs="宋体"/>
                <w:b/>
                <w:sz w:val="24"/>
                <w:szCs w:val="24"/>
                <w:highlight w:val="none"/>
              </w:rPr>
            </w:pPr>
          </w:p>
        </w:tc>
        <w:tc>
          <w:tcPr>
            <w:tcW w:w="2836" w:type="dxa"/>
            <w:gridSpan w:val="2"/>
            <w:vAlign w:val="center"/>
          </w:tcPr>
          <w:p>
            <w:pPr>
              <w:tabs>
                <w:tab w:val="left" w:pos="0"/>
              </w:tabs>
              <w:adjustRightInd w:val="0"/>
              <w:snapToGrid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税收缴纳证明</w:t>
            </w:r>
          </w:p>
        </w:tc>
        <w:tc>
          <w:tcPr>
            <w:tcW w:w="5319" w:type="dxa"/>
            <w:vAlign w:val="center"/>
          </w:tcPr>
          <w:p>
            <w:pPr>
              <w:tabs>
                <w:tab w:val="left" w:pos="0"/>
              </w:tabs>
              <w:adjustRightInd w:val="0"/>
              <w:snapToGrid w:val="0"/>
              <w:jc w:val="left"/>
              <w:rPr>
                <w:rFonts w:hint="eastAsia" w:ascii="宋体" w:hAnsi="宋体" w:eastAsia="宋体" w:cs="宋体"/>
                <w:b/>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提供2023年度已缴纳的至少一个月纳税证明或完税证明，依法免税或无须缴纳税收的投标人，应提供相应证明文件；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764" w:type="dxa"/>
            <w:vMerge w:val="continue"/>
            <w:vAlign w:val="center"/>
          </w:tcPr>
          <w:p>
            <w:pPr>
              <w:tabs>
                <w:tab w:val="left" w:pos="0"/>
              </w:tabs>
              <w:adjustRightInd w:val="0"/>
              <w:snapToGrid w:val="0"/>
              <w:jc w:val="center"/>
              <w:rPr>
                <w:rFonts w:hint="eastAsia" w:ascii="宋体" w:hAnsi="宋体" w:eastAsia="宋体" w:cs="宋体"/>
                <w:b/>
                <w:sz w:val="24"/>
                <w:szCs w:val="24"/>
                <w:highlight w:val="none"/>
              </w:rPr>
            </w:pPr>
          </w:p>
        </w:tc>
        <w:tc>
          <w:tcPr>
            <w:tcW w:w="600" w:type="dxa"/>
            <w:vMerge w:val="continue"/>
            <w:vAlign w:val="center"/>
          </w:tcPr>
          <w:p>
            <w:pPr>
              <w:tabs>
                <w:tab w:val="left" w:pos="0"/>
              </w:tabs>
              <w:adjustRightInd w:val="0"/>
              <w:snapToGrid w:val="0"/>
              <w:jc w:val="center"/>
              <w:rPr>
                <w:rFonts w:hint="eastAsia" w:ascii="宋体" w:hAnsi="宋体" w:eastAsia="宋体" w:cs="宋体"/>
                <w:b/>
                <w:sz w:val="24"/>
                <w:szCs w:val="24"/>
                <w:highlight w:val="none"/>
              </w:rPr>
            </w:pPr>
          </w:p>
        </w:tc>
        <w:tc>
          <w:tcPr>
            <w:tcW w:w="2836" w:type="dxa"/>
            <w:gridSpan w:val="2"/>
            <w:vAlign w:val="center"/>
          </w:tcPr>
          <w:p>
            <w:pPr>
              <w:tabs>
                <w:tab w:val="left" w:pos="0"/>
              </w:tabs>
              <w:adjustRightInd w:val="0"/>
              <w:snapToGrid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社会保障资金缴纳证明</w:t>
            </w:r>
          </w:p>
        </w:tc>
        <w:tc>
          <w:tcPr>
            <w:tcW w:w="5319" w:type="dxa"/>
            <w:vAlign w:val="center"/>
          </w:tcPr>
          <w:p>
            <w:pPr>
              <w:tabs>
                <w:tab w:val="left" w:pos="0"/>
              </w:tabs>
              <w:adjustRightInd w:val="0"/>
              <w:snapToGrid w:val="0"/>
              <w:jc w:val="left"/>
              <w:rPr>
                <w:rFonts w:hint="eastAsia" w:ascii="宋体" w:hAnsi="宋体" w:eastAsia="宋体" w:cs="宋体"/>
                <w:b/>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提供2023年度已缴存的至少一个月的社会保障资金缴存单据或社保机构开具的社会保险参保缴费情况证明，依法不需要缴纳社会保障资金的单位应提供相关证明材料；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764" w:type="dxa"/>
            <w:vMerge w:val="continue"/>
            <w:vAlign w:val="center"/>
          </w:tcPr>
          <w:p>
            <w:pPr>
              <w:tabs>
                <w:tab w:val="left" w:pos="0"/>
              </w:tabs>
              <w:adjustRightInd w:val="0"/>
              <w:snapToGrid w:val="0"/>
              <w:jc w:val="center"/>
              <w:rPr>
                <w:rFonts w:hint="eastAsia" w:ascii="宋体" w:hAnsi="宋体" w:eastAsia="宋体" w:cs="宋体"/>
                <w:b/>
                <w:sz w:val="24"/>
                <w:szCs w:val="24"/>
                <w:highlight w:val="none"/>
              </w:rPr>
            </w:pPr>
          </w:p>
        </w:tc>
        <w:tc>
          <w:tcPr>
            <w:tcW w:w="600" w:type="dxa"/>
            <w:vMerge w:val="continue"/>
            <w:vAlign w:val="center"/>
          </w:tcPr>
          <w:p>
            <w:pPr>
              <w:tabs>
                <w:tab w:val="left" w:pos="0"/>
              </w:tabs>
              <w:adjustRightInd w:val="0"/>
              <w:snapToGrid w:val="0"/>
              <w:jc w:val="center"/>
              <w:rPr>
                <w:rFonts w:hint="eastAsia" w:ascii="宋体" w:hAnsi="宋体" w:eastAsia="宋体" w:cs="宋体"/>
                <w:b/>
                <w:sz w:val="24"/>
                <w:szCs w:val="24"/>
                <w:highlight w:val="none"/>
              </w:rPr>
            </w:pPr>
          </w:p>
        </w:tc>
        <w:tc>
          <w:tcPr>
            <w:tcW w:w="2836" w:type="dxa"/>
            <w:gridSpan w:val="2"/>
            <w:vAlign w:val="center"/>
          </w:tcPr>
          <w:p>
            <w:pPr>
              <w:tabs>
                <w:tab w:val="left" w:pos="0"/>
              </w:tabs>
              <w:adjustRightInd w:val="0"/>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信用记录</w:t>
            </w:r>
          </w:p>
        </w:tc>
        <w:tc>
          <w:tcPr>
            <w:tcW w:w="5319" w:type="dxa"/>
            <w:vAlign w:val="center"/>
          </w:tcPr>
          <w:p>
            <w:pPr>
              <w:tabs>
                <w:tab w:val="left" w:pos="0"/>
              </w:tabs>
              <w:adjustRightInd w:val="0"/>
              <w:snapToGrid w:val="0"/>
              <w:jc w:val="left"/>
              <w:rPr>
                <w:rFonts w:hint="eastAsia" w:ascii="宋体" w:hAnsi="宋体" w:eastAsia="宋体" w:cs="宋体"/>
                <w:bCs/>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投标人不得为“信用中国”网站（www.creditchina.gov.cn）中列入失信被执行人、重大税收违法案件当事人名单，不得为中国政府采购网（www.ccgp.gov.cn）政府采购严重违法失信行为记录名单中被财政部门禁止参加政府采购活动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64" w:type="dxa"/>
            <w:vMerge w:val="continue"/>
            <w:vAlign w:val="center"/>
          </w:tcPr>
          <w:p>
            <w:pPr>
              <w:tabs>
                <w:tab w:val="left" w:pos="0"/>
              </w:tabs>
              <w:adjustRightInd w:val="0"/>
              <w:snapToGrid w:val="0"/>
              <w:jc w:val="center"/>
              <w:rPr>
                <w:rFonts w:hint="eastAsia" w:ascii="宋体" w:hAnsi="宋体" w:eastAsia="宋体" w:cs="宋体"/>
                <w:b/>
                <w:sz w:val="24"/>
                <w:szCs w:val="24"/>
                <w:highlight w:val="none"/>
              </w:rPr>
            </w:pPr>
          </w:p>
        </w:tc>
        <w:tc>
          <w:tcPr>
            <w:tcW w:w="600" w:type="dxa"/>
            <w:vMerge w:val="continue"/>
            <w:vAlign w:val="center"/>
          </w:tcPr>
          <w:p>
            <w:pPr>
              <w:tabs>
                <w:tab w:val="left" w:pos="0"/>
              </w:tabs>
              <w:adjustRightInd w:val="0"/>
              <w:snapToGrid w:val="0"/>
              <w:jc w:val="center"/>
              <w:rPr>
                <w:rFonts w:hint="eastAsia" w:ascii="宋体" w:hAnsi="宋体" w:eastAsia="宋体" w:cs="宋体"/>
                <w:b/>
                <w:sz w:val="24"/>
                <w:szCs w:val="24"/>
                <w:highlight w:val="none"/>
              </w:rPr>
            </w:pPr>
          </w:p>
        </w:tc>
        <w:tc>
          <w:tcPr>
            <w:tcW w:w="2836" w:type="dxa"/>
            <w:gridSpan w:val="2"/>
            <w:vAlign w:val="center"/>
          </w:tcPr>
          <w:p>
            <w:pPr>
              <w:tabs>
                <w:tab w:val="left" w:pos="0"/>
              </w:tabs>
              <w:adjustRightInd w:val="0"/>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书面声明</w:t>
            </w:r>
          </w:p>
        </w:tc>
        <w:tc>
          <w:tcPr>
            <w:tcW w:w="5319" w:type="dxa"/>
            <w:vAlign w:val="center"/>
          </w:tcPr>
          <w:p>
            <w:pPr>
              <w:tabs>
                <w:tab w:val="left" w:pos="0"/>
              </w:tabs>
              <w:adjustRightInd w:val="0"/>
              <w:snapToGrid w:val="0"/>
              <w:jc w:val="left"/>
              <w:rPr>
                <w:rFonts w:hint="eastAsia" w:ascii="宋体" w:hAnsi="宋体" w:eastAsia="宋体" w:cs="宋体"/>
                <w:bCs/>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64" w:type="dxa"/>
            <w:vMerge w:val="continue"/>
            <w:vAlign w:val="center"/>
          </w:tcPr>
          <w:p>
            <w:pPr>
              <w:tabs>
                <w:tab w:val="left" w:pos="0"/>
              </w:tabs>
              <w:adjustRightInd w:val="0"/>
              <w:snapToGrid w:val="0"/>
              <w:jc w:val="center"/>
              <w:rPr>
                <w:rFonts w:hint="eastAsia" w:ascii="宋体" w:hAnsi="宋体" w:eastAsia="宋体" w:cs="宋体"/>
                <w:b/>
                <w:sz w:val="24"/>
                <w:szCs w:val="24"/>
                <w:highlight w:val="none"/>
              </w:rPr>
            </w:pPr>
          </w:p>
        </w:tc>
        <w:tc>
          <w:tcPr>
            <w:tcW w:w="600" w:type="dxa"/>
            <w:vMerge w:val="continue"/>
            <w:vAlign w:val="center"/>
          </w:tcPr>
          <w:p>
            <w:pPr>
              <w:tabs>
                <w:tab w:val="left" w:pos="0"/>
              </w:tabs>
              <w:adjustRightInd w:val="0"/>
              <w:snapToGrid w:val="0"/>
              <w:jc w:val="center"/>
              <w:rPr>
                <w:rFonts w:hint="eastAsia" w:ascii="宋体" w:hAnsi="宋体" w:eastAsia="宋体" w:cs="宋体"/>
                <w:b/>
                <w:sz w:val="24"/>
                <w:szCs w:val="24"/>
                <w:highlight w:val="none"/>
              </w:rPr>
            </w:pPr>
          </w:p>
        </w:tc>
        <w:tc>
          <w:tcPr>
            <w:tcW w:w="2836" w:type="dxa"/>
            <w:gridSpan w:val="2"/>
            <w:vAlign w:val="center"/>
          </w:tcPr>
          <w:p>
            <w:pPr>
              <w:tabs>
                <w:tab w:val="left" w:pos="0"/>
              </w:tabs>
              <w:adjustRightInd w:val="0"/>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承诺函</w:t>
            </w:r>
          </w:p>
        </w:tc>
        <w:tc>
          <w:tcPr>
            <w:tcW w:w="5319" w:type="dxa"/>
            <w:vAlign w:val="center"/>
          </w:tcPr>
          <w:p>
            <w:pPr>
              <w:tabs>
                <w:tab w:val="left" w:pos="0"/>
              </w:tabs>
              <w:adjustRightInd w:val="0"/>
              <w:snapToGrid w:val="0"/>
              <w:jc w:val="left"/>
              <w:rPr>
                <w:rFonts w:hint="eastAsia" w:ascii="宋体" w:hAnsi="宋体" w:eastAsia="宋体" w:cs="宋体"/>
                <w:bCs/>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提供具有履行合同所必需的设备和专业技术能力的承诺函；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jc w:val="center"/>
              <w:rPr>
                <w:rFonts w:hint="eastAsia" w:ascii="宋体" w:hAnsi="宋体" w:eastAsia="宋体" w:cs="宋体"/>
                <w:b/>
                <w:sz w:val="24"/>
                <w:szCs w:val="24"/>
                <w:highlight w:val="none"/>
              </w:rPr>
            </w:pPr>
          </w:p>
        </w:tc>
        <w:tc>
          <w:tcPr>
            <w:tcW w:w="600" w:type="dxa"/>
            <w:vMerge w:val="continue"/>
            <w:vAlign w:val="center"/>
          </w:tcPr>
          <w:p>
            <w:pPr>
              <w:tabs>
                <w:tab w:val="left" w:pos="0"/>
              </w:tabs>
              <w:adjustRightInd w:val="0"/>
              <w:snapToGrid w:val="0"/>
              <w:jc w:val="center"/>
              <w:rPr>
                <w:rFonts w:hint="eastAsia" w:ascii="宋体" w:hAnsi="宋体" w:eastAsia="宋体" w:cs="宋体"/>
                <w:b/>
                <w:sz w:val="24"/>
                <w:szCs w:val="24"/>
                <w:highlight w:val="none"/>
              </w:rPr>
            </w:pPr>
          </w:p>
        </w:tc>
        <w:tc>
          <w:tcPr>
            <w:tcW w:w="2836" w:type="dxa"/>
            <w:gridSpan w:val="2"/>
            <w:vAlign w:val="center"/>
          </w:tcPr>
          <w:p>
            <w:pPr>
              <w:tabs>
                <w:tab w:val="left" w:pos="0"/>
              </w:tabs>
              <w:adjustRightInd w:val="0"/>
              <w:snapToGrid w:val="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中小企业声明函</w:t>
            </w:r>
          </w:p>
        </w:tc>
        <w:tc>
          <w:tcPr>
            <w:tcW w:w="5319" w:type="dxa"/>
            <w:vAlign w:val="center"/>
          </w:tcPr>
          <w:p>
            <w:pPr>
              <w:tabs>
                <w:tab w:val="left" w:pos="0"/>
              </w:tabs>
              <w:adjustRightInd w:val="0"/>
              <w:snapToGrid w:val="0"/>
              <w:jc w:val="left"/>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投标人提供中小企业声明函；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jc w:val="center"/>
              <w:rPr>
                <w:rFonts w:hint="eastAsia" w:ascii="宋体" w:hAnsi="宋体" w:eastAsia="宋体" w:cs="宋体"/>
                <w:b/>
                <w:sz w:val="24"/>
                <w:szCs w:val="24"/>
                <w:highlight w:val="none"/>
              </w:rPr>
            </w:pPr>
          </w:p>
        </w:tc>
        <w:tc>
          <w:tcPr>
            <w:tcW w:w="600" w:type="dxa"/>
            <w:vMerge w:val="continue"/>
            <w:vAlign w:val="center"/>
          </w:tcPr>
          <w:p>
            <w:pPr>
              <w:tabs>
                <w:tab w:val="left" w:pos="0"/>
              </w:tabs>
              <w:adjustRightInd w:val="0"/>
              <w:snapToGrid w:val="0"/>
              <w:jc w:val="center"/>
              <w:rPr>
                <w:rFonts w:hint="eastAsia" w:ascii="宋体" w:hAnsi="宋体" w:eastAsia="宋体" w:cs="宋体"/>
                <w:b/>
                <w:sz w:val="24"/>
                <w:szCs w:val="24"/>
                <w:highlight w:val="none"/>
              </w:rPr>
            </w:pPr>
          </w:p>
        </w:tc>
        <w:tc>
          <w:tcPr>
            <w:tcW w:w="2836" w:type="dxa"/>
            <w:gridSpan w:val="2"/>
            <w:vAlign w:val="center"/>
          </w:tcPr>
          <w:p>
            <w:pPr>
              <w:tabs>
                <w:tab w:val="left" w:pos="0"/>
              </w:tabs>
              <w:adjustRightInd w:val="0"/>
              <w:snapToGrid w:val="0"/>
              <w:jc w:val="center"/>
              <w:rPr>
                <w:rFonts w:hint="eastAsia" w:ascii="宋体" w:hAnsi="宋体" w:eastAsia="宋体" w:cs="宋体"/>
                <w:b/>
                <w:sz w:val="24"/>
                <w:szCs w:val="24"/>
                <w:highlight w:val="none"/>
                <w:lang w:val="en-US" w:eastAsia="zh-CN"/>
              </w:rPr>
            </w:pPr>
            <w:r>
              <w:rPr>
                <w:rFonts w:hint="eastAsia" w:hAnsi="宋体" w:cs="宋体"/>
                <w:b/>
                <w:sz w:val="24"/>
                <w:szCs w:val="24"/>
                <w:highlight w:val="none"/>
                <w:lang w:val="en-US" w:eastAsia="zh-CN"/>
              </w:rPr>
              <w:t>非联合体</w:t>
            </w:r>
            <w:r>
              <w:rPr>
                <w:rFonts w:hint="eastAsia" w:ascii="宋体" w:hAnsi="宋体" w:eastAsia="宋体" w:cs="宋体"/>
                <w:b/>
                <w:sz w:val="24"/>
                <w:szCs w:val="24"/>
                <w:highlight w:val="none"/>
                <w:lang w:val="en-US" w:eastAsia="zh-CN"/>
              </w:rPr>
              <w:t>承诺书</w:t>
            </w:r>
          </w:p>
        </w:tc>
        <w:tc>
          <w:tcPr>
            <w:tcW w:w="5319" w:type="dxa"/>
            <w:vAlign w:val="center"/>
          </w:tcPr>
          <w:p>
            <w:pPr>
              <w:tabs>
                <w:tab w:val="left" w:pos="0"/>
              </w:tabs>
              <w:adjustRightInd w:val="0"/>
              <w:snapToGrid w:val="0"/>
              <w:jc w:val="left"/>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本项目不接受联合体投标（需提供承诺书）。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19" w:type="dxa"/>
            <w:gridSpan w:val="5"/>
            <w:vAlign w:val="center"/>
          </w:tcPr>
          <w:p>
            <w:pPr>
              <w:tabs>
                <w:tab w:val="left" w:pos="0"/>
              </w:tabs>
              <w:adjustRightInd w:val="0"/>
              <w:snapToGrid w:val="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注：以上为必备资质，缺一项或某项达不到要求，按无效投标处理。资格审查时以投标文件中所附证明材料为准，原件备查。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64" w:type="dxa"/>
            <w:vMerge w:val="restart"/>
            <w:vAlign w:val="center"/>
          </w:tcPr>
          <w:p>
            <w:pPr>
              <w:tabs>
                <w:tab w:val="left" w:pos="0"/>
              </w:tabs>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2.1.2</w:t>
            </w:r>
          </w:p>
        </w:tc>
        <w:tc>
          <w:tcPr>
            <w:tcW w:w="600" w:type="dxa"/>
            <w:vMerge w:val="restart"/>
            <w:vAlign w:val="center"/>
          </w:tcPr>
          <w:p>
            <w:pPr>
              <w:tabs>
                <w:tab w:val="left" w:pos="0"/>
              </w:tabs>
              <w:adjustRightInd w:val="0"/>
              <w:snapToGrid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符合性评审标准</w:t>
            </w:r>
          </w:p>
        </w:tc>
        <w:tc>
          <w:tcPr>
            <w:tcW w:w="567" w:type="dxa"/>
            <w:vMerge w:val="restart"/>
            <w:vAlign w:val="center"/>
          </w:tcPr>
          <w:p>
            <w:pPr>
              <w:tabs>
                <w:tab w:val="left" w:pos="0"/>
              </w:tabs>
              <w:adjustRightInd w:val="0"/>
              <w:snapToGrid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有效性审查</w:t>
            </w:r>
          </w:p>
        </w:tc>
        <w:tc>
          <w:tcPr>
            <w:tcW w:w="2269" w:type="dxa"/>
            <w:vAlign w:val="center"/>
          </w:tcPr>
          <w:p>
            <w:pPr>
              <w:tabs>
                <w:tab w:val="left" w:pos="0"/>
              </w:tabs>
              <w:adjustRightInd w:val="0"/>
              <w:snapToGrid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投标文件的签署盖章</w:t>
            </w:r>
          </w:p>
        </w:tc>
        <w:tc>
          <w:tcPr>
            <w:tcW w:w="5319" w:type="dxa"/>
            <w:vAlign w:val="center"/>
          </w:tcPr>
          <w:p>
            <w:pPr>
              <w:tabs>
                <w:tab w:val="left" w:pos="0"/>
              </w:tabs>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投标文件上法定代表人或其授权代表人的签字齐全并加盖公章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4" w:type="dxa"/>
            <w:vMerge w:val="continue"/>
          </w:tcPr>
          <w:p>
            <w:pPr>
              <w:tabs>
                <w:tab w:val="left" w:pos="0"/>
              </w:tabs>
              <w:adjustRightInd w:val="0"/>
              <w:snapToGrid w:val="0"/>
              <w:spacing w:line="360" w:lineRule="auto"/>
              <w:rPr>
                <w:rFonts w:hint="eastAsia" w:ascii="宋体" w:hAnsi="宋体" w:eastAsia="宋体" w:cs="宋体"/>
                <w:sz w:val="24"/>
                <w:szCs w:val="24"/>
                <w:highlight w:val="none"/>
              </w:rPr>
            </w:pPr>
          </w:p>
        </w:tc>
        <w:tc>
          <w:tcPr>
            <w:tcW w:w="600" w:type="dxa"/>
            <w:vMerge w:val="continue"/>
          </w:tcPr>
          <w:p>
            <w:pPr>
              <w:tabs>
                <w:tab w:val="left" w:pos="0"/>
              </w:tabs>
              <w:adjustRightInd w:val="0"/>
              <w:snapToGrid w:val="0"/>
              <w:spacing w:line="360" w:lineRule="auto"/>
              <w:rPr>
                <w:rFonts w:hint="eastAsia" w:ascii="宋体" w:hAnsi="宋体" w:eastAsia="宋体" w:cs="宋体"/>
                <w:b/>
                <w:bCs/>
                <w:sz w:val="24"/>
                <w:szCs w:val="24"/>
                <w:highlight w:val="none"/>
              </w:rPr>
            </w:pPr>
          </w:p>
        </w:tc>
        <w:tc>
          <w:tcPr>
            <w:tcW w:w="567" w:type="dxa"/>
            <w:vMerge w:val="continue"/>
          </w:tcPr>
          <w:p>
            <w:pPr>
              <w:tabs>
                <w:tab w:val="left" w:pos="0"/>
              </w:tabs>
              <w:adjustRightInd w:val="0"/>
              <w:snapToGrid w:val="0"/>
              <w:spacing w:line="360" w:lineRule="auto"/>
              <w:rPr>
                <w:rFonts w:hint="eastAsia" w:ascii="宋体" w:hAnsi="宋体" w:eastAsia="宋体" w:cs="宋体"/>
                <w:b/>
                <w:bCs/>
                <w:sz w:val="24"/>
                <w:szCs w:val="24"/>
                <w:highlight w:val="none"/>
              </w:rPr>
            </w:pPr>
          </w:p>
        </w:tc>
        <w:tc>
          <w:tcPr>
            <w:tcW w:w="2269" w:type="dxa"/>
            <w:vAlign w:val="center"/>
          </w:tcPr>
          <w:p>
            <w:pPr>
              <w:tabs>
                <w:tab w:val="left" w:pos="0"/>
              </w:tabs>
              <w:adjustRightInd w:val="0"/>
              <w:snapToGrid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投标文件格式</w:t>
            </w:r>
          </w:p>
        </w:tc>
        <w:tc>
          <w:tcPr>
            <w:tcW w:w="5319" w:type="dxa"/>
            <w:vAlign w:val="center"/>
          </w:tcPr>
          <w:p>
            <w:pPr>
              <w:tabs>
                <w:tab w:val="left" w:pos="0"/>
              </w:tabs>
              <w:adjustRightInd w:val="0"/>
              <w:snapToGrid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应符合“投标文件格式”</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64" w:type="dxa"/>
            <w:vMerge w:val="continue"/>
          </w:tcPr>
          <w:p>
            <w:pPr>
              <w:tabs>
                <w:tab w:val="left" w:pos="0"/>
              </w:tabs>
              <w:adjustRightInd w:val="0"/>
              <w:snapToGrid w:val="0"/>
              <w:spacing w:line="360" w:lineRule="auto"/>
              <w:rPr>
                <w:rFonts w:hint="eastAsia" w:ascii="宋体" w:hAnsi="宋体" w:eastAsia="宋体" w:cs="宋体"/>
                <w:sz w:val="24"/>
                <w:szCs w:val="24"/>
                <w:highlight w:val="none"/>
              </w:rPr>
            </w:pPr>
          </w:p>
        </w:tc>
        <w:tc>
          <w:tcPr>
            <w:tcW w:w="600" w:type="dxa"/>
            <w:vMerge w:val="continue"/>
          </w:tcPr>
          <w:p>
            <w:pPr>
              <w:tabs>
                <w:tab w:val="left" w:pos="0"/>
              </w:tabs>
              <w:adjustRightInd w:val="0"/>
              <w:snapToGrid w:val="0"/>
              <w:spacing w:line="360" w:lineRule="auto"/>
              <w:rPr>
                <w:rFonts w:hint="eastAsia" w:ascii="宋体" w:hAnsi="宋体" w:eastAsia="宋体" w:cs="宋体"/>
                <w:b/>
                <w:bCs/>
                <w:sz w:val="24"/>
                <w:szCs w:val="24"/>
                <w:highlight w:val="none"/>
              </w:rPr>
            </w:pPr>
          </w:p>
        </w:tc>
        <w:tc>
          <w:tcPr>
            <w:tcW w:w="567" w:type="dxa"/>
            <w:vMerge w:val="continue"/>
          </w:tcPr>
          <w:p>
            <w:pPr>
              <w:tabs>
                <w:tab w:val="left" w:pos="0"/>
              </w:tabs>
              <w:adjustRightInd w:val="0"/>
              <w:snapToGrid w:val="0"/>
              <w:spacing w:line="360" w:lineRule="auto"/>
              <w:rPr>
                <w:rFonts w:hint="eastAsia" w:ascii="宋体" w:hAnsi="宋体" w:eastAsia="宋体" w:cs="宋体"/>
                <w:b/>
                <w:bCs/>
                <w:sz w:val="24"/>
                <w:szCs w:val="24"/>
                <w:highlight w:val="none"/>
              </w:rPr>
            </w:pPr>
          </w:p>
        </w:tc>
        <w:tc>
          <w:tcPr>
            <w:tcW w:w="2269" w:type="dxa"/>
            <w:vAlign w:val="center"/>
          </w:tcPr>
          <w:p>
            <w:pPr>
              <w:tabs>
                <w:tab w:val="left" w:pos="0"/>
              </w:tabs>
              <w:adjustRightInd w:val="0"/>
              <w:snapToGrid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报价唯一</w:t>
            </w:r>
          </w:p>
        </w:tc>
        <w:tc>
          <w:tcPr>
            <w:tcW w:w="5319" w:type="dxa"/>
            <w:vAlign w:val="center"/>
          </w:tcPr>
          <w:p>
            <w:pPr>
              <w:tabs>
                <w:tab w:val="left" w:pos="0"/>
              </w:tabs>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只能有一个有效报价，不得提交选择性报价，且报价不超过采购预算金额或最高限价。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64" w:type="dxa"/>
            <w:vMerge w:val="continue"/>
            <w:vAlign w:val="center"/>
          </w:tcPr>
          <w:p>
            <w:pPr>
              <w:tabs>
                <w:tab w:val="left" w:pos="0"/>
              </w:tabs>
              <w:adjustRightInd w:val="0"/>
              <w:snapToGrid w:val="0"/>
              <w:spacing w:line="360" w:lineRule="auto"/>
              <w:jc w:val="center"/>
              <w:rPr>
                <w:rFonts w:hint="eastAsia" w:ascii="宋体" w:hAnsi="宋体" w:eastAsia="宋体" w:cs="宋体"/>
                <w:sz w:val="24"/>
                <w:szCs w:val="24"/>
                <w:highlight w:val="none"/>
              </w:rPr>
            </w:pPr>
          </w:p>
        </w:tc>
        <w:tc>
          <w:tcPr>
            <w:tcW w:w="600" w:type="dxa"/>
            <w:vMerge w:val="continue"/>
            <w:vAlign w:val="center"/>
          </w:tcPr>
          <w:p>
            <w:pPr>
              <w:tabs>
                <w:tab w:val="left" w:pos="0"/>
              </w:tabs>
              <w:adjustRightInd w:val="0"/>
              <w:snapToGrid w:val="0"/>
              <w:jc w:val="center"/>
              <w:rPr>
                <w:rFonts w:hint="eastAsia" w:ascii="宋体" w:hAnsi="宋体" w:eastAsia="宋体" w:cs="宋体"/>
                <w:b/>
                <w:bCs/>
                <w:sz w:val="24"/>
                <w:szCs w:val="24"/>
                <w:highlight w:val="none"/>
              </w:rPr>
            </w:pPr>
          </w:p>
        </w:tc>
        <w:tc>
          <w:tcPr>
            <w:tcW w:w="567" w:type="dxa"/>
            <w:vMerge w:val="restart"/>
            <w:vAlign w:val="center"/>
          </w:tcPr>
          <w:p>
            <w:pPr>
              <w:tabs>
                <w:tab w:val="left" w:pos="0"/>
              </w:tabs>
              <w:adjustRightInd w:val="0"/>
              <w:snapToGrid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完整性审查</w:t>
            </w:r>
          </w:p>
        </w:tc>
        <w:tc>
          <w:tcPr>
            <w:tcW w:w="2269" w:type="dxa"/>
            <w:vAlign w:val="center"/>
          </w:tcPr>
          <w:p>
            <w:pPr>
              <w:tabs>
                <w:tab w:val="left" w:pos="0"/>
              </w:tabs>
              <w:adjustRightInd w:val="0"/>
              <w:snapToGrid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投标文件份数</w:t>
            </w:r>
          </w:p>
        </w:tc>
        <w:tc>
          <w:tcPr>
            <w:tcW w:w="5319" w:type="dxa"/>
            <w:vAlign w:val="center"/>
          </w:tcPr>
          <w:p>
            <w:pPr>
              <w:tabs>
                <w:tab w:val="left" w:pos="0"/>
              </w:tabs>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正本的份数：壹份；副本的份数：</w:t>
            </w:r>
            <w:r>
              <w:rPr>
                <w:rFonts w:hint="eastAsia" w:ascii="宋体" w:hAnsi="宋体" w:eastAsia="宋体" w:cs="宋体"/>
                <w:sz w:val="24"/>
                <w:szCs w:val="24"/>
                <w:highlight w:val="none"/>
                <w:lang w:val="en-US" w:eastAsia="zh-CN"/>
              </w:rPr>
              <w:t>贰</w:t>
            </w:r>
            <w:r>
              <w:rPr>
                <w:rFonts w:hint="eastAsia" w:ascii="宋体" w:hAnsi="宋体" w:eastAsia="宋体" w:cs="宋体"/>
                <w:sz w:val="24"/>
                <w:szCs w:val="24"/>
                <w:highlight w:val="none"/>
              </w:rPr>
              <w:t>份；开标一览表；壹份；电子版（U盘）：</w:t>
            </w:r>
            <w:r>
              <w:rPr>
                <w:rFonts w:hint="eastAsia" w:ascii="宋体" w:hAnsi="宋体" w:eastAsia="宋体" w:cs="宋体"/>
                <w:sz w:val="24"/>
                <w:szCs w:val="24"/>
                <w:highlight w:val="none"/>
                <w:lang w:val="en-US" w:eastAsia="zh-CN"/>
              </w:rPr>
              <w:t>壹</w:t>
            </w:r>
            <w:r>
              <w:rPr>
                <w:rFonts w:hint="eastAsia" w:ascii="宋体" w:hAnsi="宋体" w:eastAsia="宋体" w:cs="宋体"/>
                <w:sz w:val="24"/>
                <w:szCs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64" w:type="dxa"/>
            <w:vMerge w:val="continue"/>
          </w:tcPr>
          <w:p>
            <w:pPr>
              <w:tabs>
                <w:tab w:val="left" w:pos="0"/>
              </w:tabs>
              <w:adjustRightInd w:val="0"/>
              <w:snapToGrid w:val="0"/>
              <w:spacing w:line="360" w:lineRule="auto"/>
              <w:rPr>
                <w:rFonts w:hint="eastAsia" w:ascii="宋体" w:hAnsi="宋体" w:eastAsia="宋体" w:cs="宋体"/>
                <w:sz w:val="24"/>
                <w:szCs w:val="24"/>
                <w:highlight w:val="none"/>
              </w:rPr>
            </w:pPr>
          </w:p>
        </w:tc>
        <w:tc>
          <w:tcPr>
            <w:tcW w:w="600" w:type="dxa"/>
            <w:vMerge w:val="continue"/>
          </w:tcPr>
          <w:p>
            <w:pPr>
              <w:tabs>
                <w:tab w:val="left" w:pos="0"/>
              </w:tabs>
              <w:adjustRightInd w:val="0"/>
              <w:snapToGrid w:val="0"/>
              <w:spacing w:line="360" w:lineRule="auto"/>
              <w:rPr>
                <w:rFonts w:hint="eastAsia" w:ascii="宋体" w:hAnsi="宋体" w:eastAsia="宋体" w:cs="宋体"/>
                <w:b/>
                <w:bCs/>
                <w:sz w:val="24"/>
                <w:szCs w:val="24"/>
                <w:highlight w:val="none"/>
              </w:rPr>
            </w:pPr>
          </w:p>
        </w:tc>
        <w:tc>
          <w:tcPr>
            <w:tcW w:w="567" w:type="dxa"/>
            <w:vMerge w:val="continue"/>
          </w:tcPr>
          <w:p>
            <w:pPr>
              <w:tabs>
                <w:tab w:val="left" w:pos="0"/>
              </w:tabs>
              <w:adjustRightInd w:val="0"/>
              <w:snapToGrid w:val="0"/>
              <w:spacing w:line="360" w:lineRule="auto"/>
              <w:rPr>
                <w:rFonts w:hint="eastAsia" w:ascii="宋体" w:hAnsi="宋体" w:eastAsia="宋体" w:cs="宋体"/>
                <w:b/>
                <w:bCs/>
                <w:sz w:val="24"/>
                <w:szCs w:val="24"/>
                <w:highlight w:val="none"/>
              </w:rPr>
            </w:pPr>
          </w:p>
        </w:tc>
        <w:tc>
          <w:tcPr>
            <w:tcW w:w="2269" w:type="dxa"/>
            <w:vAlign w:val="center"/>
          </w:tcPr>
          <w:p>
            <w:pPr>
              <w:tabs>
                <w:tab w:val="left" w:pos="0"/>
              </w:tabs>
              <w:adjustRightInd w:val="0"/>
              <w:snapToGrid w:val="0"/>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投标文件内容</w:t>
            </w:r>
          </w:p>
        </w:tc>
        <w:tc>
          <w:tcPr>
            <w:tcW w:w="5319" w:type="dxa"/>
            <w:vAlign w:val="center"/>
          </w:tcPr>
          <w:p>
            <w:pPr>
              <w:tabs>
                <w:tab w:val="left" w:pos="0"/>
              </w:tabs>
              <w:adjustRightInd w:val="0"/>
              <w:snapToGrid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64" w:type="dxa"/>
            <w:vMerge w:val="continue"/>
            <w:vAlign w:val="center"/>
          </w:tcPr>
          <w:p>
            <w:pPr>
              <w:tabs>
                <w:tab w:val="left" w:pos="0"/>
              </w:tabs>
              <w:adjustRightInd w:val="0"/>
              <w:snapToGrid w:val="0"/>
              <w:spacing w:line="360" w:lineRule="auto"/>
              <w:jc w:val="center"/>
              <w:rPr>
                <w:rFonts w:hint="eastAsia" w:ascii="宋体" w:hAnsi="宋体" w:eastAsia="宋体" w:cs="宋体"/>
                <w:sz w:val="24"/>
                <w:szCs w:val="24"/>
                <w:highlight w:val="none"/>
              </w:rPr>
            </w:pPr>
          </w:p>
        </w:tc>
        <w:tc>
          <w:tcPr>
            <w:tcW w:w="600" w:type="dxa"/>
            <w:vMerge w:val="continue"/>
            <w:vAlign w:val="center"/>
          </w:tcPr>
          <w:p>
            <w:pPr>
              <w:tabs>
                <w:tab w:val="left" w:pos="0"/>
              </w:tabs>
              <w:adjustRightInd w:val="0"/>
              <w:snapToGrid w:val="0"/>
              <w:jc w:val="center"/>
              <w:rPr>
                <w:rFonts w:hint="eastAsia" w:ascii="宋体" w:hAnsi="宋体" w:eastAsia="宋体" w:cs="宋体"/>
                <w:b/>
                <w:bCs/>
                <w:sz w:val="24"/>
                <w:szCs w:val="24"/>
                <w:highlight w:val="none"/>
              </w:rPr>
            </w:pPr>
          </w:p>
        </w:tc>
        <w:tc>
          <w:tcPr>
            <w:tcW w:w="567" w:type="dxa"/>
            <w:vMerge w:val="restart"/>
            <w:vAlign w:val="center"/>
          </w:tcPr>
          <w:p>
            <w:pPr>
              <w:tabs>
                <w:tab w:val="left" w:pos="0"/>
              </w:tabs>
              <w:adjustRightInd w:val="0"/>
              <w:snapToGrid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响应性审查</w:t>
            </w:r>
          </w:p>
        </w:tc>
        <w:tc>
          <w:tcPr>
            <w:tcW w:w="2269" w:type="dxa"/>
            <w:vAlign w:val="center"/>
          </w:tcPr>
          <w:p>
            <w:pPr>
              <w:tabs>
                <w:tab w:val="left" w:pos="0"/>
              </w:tabs>
              <w:adjustRightInd w:val="0"/>
              <w:snapToGrid w:val="0"/>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对招标文件响应程度</w:t>
            </w:r>
          </w:p>
        </w:tc>
        <w:tc>
          <w:tcPr>
            <w:tcW w:w="5319" w:type="dxa"/>
            <w:vAlign w:val="center"/>
          </w:tcPr>
          <w:p>
            <w:pPr>
              <w:tabs>
                <w:tab w:val="left" w:pos="0"/>
              </w:tabs>
              <w:adjustRightInd w:val="0"/>
              <w:snapToGrid w:val="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投标人技术和商务是否实质性</w:t>
            </w: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eastAsia="zh-CN"/>
              </w:rPr>
              <w:t>了投标文件的要求</w:t>
            </w:r>
            <w:r>
              <w:rPr>
                <w:rFonts w:hint="eastAsia" w:ascii="宋体" w:hAnsi="宋体" w:eastAsia="宋体" w:cs="宋体"/>
                <w:sz w:val="24"/>
                <w:szCs w:val="24"/>
                <w:highlight w:val="none"/>
              </w:rPr>
              <w:t>，不能有采购人不能接受的</w:t>
            </w:r>
            <w:r>
              <w:rPr>
                <w:rFonts w:hint="eastAsia" w:ascii="宋体" w:hAnsi="宋体" w:eastAsia="宋体" w:cs="宋体"/>
                <w:sz w:val="24"/>
                <w:szCs w:val="24"/>
                <w:highlight w:val="none"/>
                <w:lang w:eastAsia="zh-CN"/>
              </w:rPr>
              <w:t>重大偏离或</w:t>
            </w:r>
            <w:r>
              <w:rPr>
                <w:rFonts w:hint="eastAsia" w:ascii="宋体" w:hAnsi="宋体" w:eastAsia="宋体" w:cs="宋体"/>
                <w:sz w:val="24"/>
                <w:szCs w:val="24"/>
                <w:highlight w:val="none"/>
              </w:rPr>
              <w:t>附加条件</w:t>
            </w:r>
            <w:r>
              <w:rPr>
                <w:rFonts w:hint="eastAsia" w:ascii="宋体" w:hAnsi="宋体" w:eastAsia="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64" w:type="dxa"/>
            <w:vMerge w:val="continue"/>
          </w:tcPr>
          <w:p>
            <w:pPr>
              <w:tabs>
                <w:tab w:val="left" w:pos="0"/>
              </w:tabs>
              <w:adjustRightInd w:val="0"/>
              <w:snapToGrid w:val="0"/>
              <w:spacing w:line="360" w:lineRule="auto"/>
              <w:rPr>
                <w:rFonts w:hint="eastAsia" w:ascii="宋体" w:hAnsi="宋体" w:eastAsia="宋体" w:cs="宋体"/>
                <w:sz w:val="24"/>
                <w:szCs w:val="24"/>
                <w:highlight w:val="none"/>
              </w:rPr>
            </w:pPr>
          </w:p>
        </w:tc>
        <w:tc>
          <w:tcPr>
            <w:tcW w:w="600" w:type="dxa"/>
            <w:vMerge w:val="continue"/>
          </w:tcPr>
          <w:p>
            <w:pPr>
              <w:tabs>
                <w:tab w:val="left" w:pos="0"/>
              </w:tabs>
              <w:adjustRightInd w:val="0"/>
              <w:snapToGrid w:val="0"/>
              <w:spacing w:line="360" w:lineRule="auto"/>
              <w:rPr>
                <w:rFonts w:hint="eastAsia" w:ascii="宋体" w:hAnsi="宋体" w:eastAsia="宋体" w:cs="宋体"/>
                <w:b/>
                <w:bCs/>
                <w:sz w:val="24"/>
                <w:szCs w:val="24"/>
                <w:highlight w:val="none"/>
              </w:rPr>
            </w:pPr>
          </w:p>
        </w:tc>
        <w:tc>
          <w:tcPr>
            <w:tcW w:w="567" w:type="dxa"/>
            <w:vMerge w:val="continue"/>
          </w:tcPr>
          <w:p>
            <w:pPr>
              <w:tabs>
                <w:tab w:val="left" w:pos="0"/>
              </w:tabs>
              <w:adjustRightInd w:val="0"/>
              <w:snapToGrid w:val="0"/>
              <w:spacing w:line="360" w:lineRule="auto"/>
              <w:rPr>
                <w:rFonts w:hint="eastAsia" w:ascii="宋体" w:hAnsi="宋体" w:eastAsia="宋体" w:cs="宋体"/>
                <w:b/>
                <w:bCs/>
                <w:sz w:val="24"/>
                <w:szCs w:val="24"/>
                <w:highlight w:val="none"/>
              </w:rPr>
            </w:pPr>
          </w:p>
        </w:tc>
        <w:tc>
          <w:tcPr>
            <w:tcW w:w="2269" w:type="dxa"/>
            <w:vAlign w:val="center"/>
          </w:tcPr>
          <w:p>
            <w:pPr>
              <w:tabs>
                <w:tab w:val="left" w:pos="0"/>
              </w:tabs>
              <w:adjustRightInd w:val="0"/>
              <w:snapToGrid w:val="0"/>
              <w:jc w:val="both"/>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服务期</w:t>
            </w:r>
          </w:p>
        </w:tc>
        <w:tc>
          <w:tcPr>
            <w:tcW w:w="5319" w:type="dxa"/>
            <w:vAlign w:val="center"/>
          </w:tcPr>
          <w:p>
            <w:pPr>
              <w:tabs>
                <w:tab w:val="left" w:pos="0"/>
              </w:tabs>
              <w:adjustRightInd w:val="0"/>
              <w:snapToGrid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应满足招标文件中要求的服务期限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64" w:type="dxa"/>
            <w:vMerge w:val="continue"/>
          </w:tcPr>
          <w:p>
            <w:pPr>
              <w:tabs>
                <w:tab w:val="left" w:pos="0"/>
              </w:tabs>
              <w:adjustRightInd w:val="0"/>
              <w:snapToGrid w:val="0"/>
              <w:spacing w:line="360" w:lineRule="auto"/>
              <w:rPr>
                <w:rFonts w:hint="eastAsia" w:ascii="宋体" w:hAnsi="宋体" w:eastAsia="宋体" w:cs="宋体"/>
                <w:sz w:val="24"/>
                <w:szCs w:val="24"/>
                <w:highlight w:val="none"/>
              </w:rPr>
            </w:pPr>
          </w:p>
        </w:tc>
        <w:tc>
          <w:tcPr>
            <w:tcW w:w="600" w:type="dxa"/>
            <w:vMerge w:val="continue"/>
          </w:tcPr>
          <w:p>
            <w:pPr>
              <w:tabs>
                <w:tab w:val="left" w:pos="0"/>
              </w:tabs>
              <w:adjustRightInd w:val="0"/>
              <w:snapToGrid w:val="0"/>
              <w:spacing w:line="360" w:lineRule="auto"/>
              <w:rPr>
                <w:rFonts w:hint="eastAsia" w:ascii="宋体" w:hAnsi="宋体" w:eastAsia="宋体" w:cs="宋体"/>
                <w:b/>
                <w:bCs/>
                <w:sz w:val="24"/>
                <w:szCs w:val="24"/>
                <w:highlight w:val="none"/>
              </w:rPr>
            </w:pPr>
          </w:p>
        </w:tc>
        <w:tc>
          <w:tcPr>
            <w:tcW w:w="567" w:type="dxa"/>
            <w:vMerge w:val="continue"/>
          </w:tcPr>
          <w:p>
            <w:pPr>
              <w:tabs>
                <w:tab w:val="left" w:pos="0"/>
              </w:tabs>
              <w:adjustRightInd w:val="0"/>
              <w:snapToGrid w:val="0"/>
              <w:spacing w:line="360" w:lineRule="auto"/>
              <w:rPr>
                <w:rFonts w:hint="eastAsia" w:ascii="宋体" w:hAnsi="宋体" w:eastAsia="宋体" w:cs="宋体"/>
                <w:b/>
                <w:bCs/>
                <w:sz w:val="24"/>
                <w:szCs w:val="24"/>
                <w:highlight w:val="none"/>
              </w:rPr>
            </w:pPr>
          </w:p>
        </w:tc>
        <w:tc>
          <w:tcPr>
            <w:tcW w:w="2269" w:type="dxa"/>
            <w:vAlign w:val="center"/>
          </w:tcPr>
          <w:p>
            <w:pPr>
              <w:tabs>
                <w:tab w:val="left" w:pos="0"/>
              </w:tabs>
              <w:adjustRightInd w:val="0"/>
              <w:snapToGrid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投标有效期</w:t>
            </w:r>
          </w:p>
        </w:tc>
        <w:tc>
          <w:tcPr>
            <w:tcW w:w="5319" w:type="dxa"/>
            <w:vAlign w:val="center"/>
          </w:tcPr>
          <w:p>
            <w:pPr>
              <w:tabs>
                <w:tab w:val="left" w:pos="0"/>
              </w:tabs>
              <w:adjustRightInd w:val="0"/>
              <w:snapToGrid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投标文件的截止之日起90天</w:t>
            </w:r>
          </w:p>
        </w:tc>
      </w:tr>
    </w:tbl>
    <w:p>
      <w:pPr>
        <w:spacing w:line="560" w:lineRule="exact"/>
        <w:rPr>
          <w:rFonts w:hAnsi="宋体" w:cs="宋体"/>
          <w:b/>
          <w:sz w:val="28"/>
          <w:szCs w:val="28"/>
          <w:highlight w:val="none"/>
        </w:rPr>
      </w:pPr>
      <w:r>
        <w:rPr>
          <w:rFonts w:hint="eastAsia" w:hAnsi="宋体" w:cs="宋体"/>
          <w:b/>
          <w:sz w:val="28"/>
          <w:szCs w:val="28"/>
          <w:highlight w:val="none"/>
        </w:rPr>
        <w:br w:type="page"/>
      </w:r>
      <w:r>
        <w:rPr>
          <w:rFonts w:hint="eastAsia" w:hAnsi="宋体" w:cs="宋体"/>
          <w:b/>
          <w:sz w:val="28"/>
          <w:szCs w:val="28"/>
          <w:highlight w:val="none"/>
        </w:rPr>
        <w:t>附件</w:t>
      </w:r>
      <w:r>
        <w:rPr>
          <w:rFonts w:hint="eastAsia" w:hAnsi="宋体" w:cs="宋体"/>
          <w:b/>
          <w:sz w:val="28"/>
          <w:szCs w:val="28"/>
          <w:highlight w:val="none"/>
          <w:lang w:val="en-US" w:eastAsia="zh-CN"/>
        </w:rPr>
        <w:t>3</w:t>
      </w:r>
      <w:r>
        <w:rPr>
          <w:rFonts w:hint="eastAsia" w:hAnsi="宋体" w:cs="宋体"/>
          <w:b/>
          <w:sz w:val="28"/>
          <w:szCs w:val="28"/>
          <w:highlight w:val="none"/>
        </w:rPr>
        <w:t>：</w:t>
      </w:r>
    </w:p>
    <w:p>
      <w:pPr>
        <w:spacing w:line="560" w:lineRule="exact"/>
        <w:jc w:val="center"/>
        <w:rPr>
          <w:rFonts w:hAnsi="宋体" w:cs="宋体"/>
          <w:b/>
          <w:szCs w:val="24"/>
          <w:highlight w:val="none"/>
        </w:rPr>
      </w:pPr>
      <w:r>
        <w:rPr>
          <w:rFonts w:hint="eastAsia" w:hAnsi="宋体" w:cs="宋体"/>
          <w:b/>
          <w:szCs w:val="24"/>
          <w:highlight w:val="none"/>
        </w:rPr>
        <w:t>评标因素及权重分值表</w:t>
      </w:r>
    </w:p>
    <w:p>
      <w:pPr>
        <w:spacing w:line="560" w:lineRule="exact"/>
        <w:ind w:firstLine="480" w:firstLineChars="200"/>
        <w:rPr>
          <w:rFonts w:hAnsi="宋体" w:cs="宋体"/>
          <w:szCs w:val="24"/>
          <w:highlight w:val="none"/>
        </w:rPr>
      </w:pPr>
      <w:r>
        <w:rPr>
          <w:rFonts w:hint="eastAsia" w:hAnsi="宋体" w:cs="宋体"/>
          <w:szCs w:val="24"/>
          <w:highlight w:val="none"/>
        </w:rPr>
        <w:t>评价和比较以投标响应文件为依据，从“投标价格”、“技术</w:t>
      </w:r>
      <w:r>
        <w:rPr>
          <w:rFonts w:hint="eastAsia" w:hAnsi="宋体" w:cs="宋体"/>
          <w:szCs w:val="24"/>
          <w:highlight w:val="none"/>
          <w:lang w:val="en-US" w:eastAsia="zh-CN"/>
        </w:rPr>
        <w:t>部分</w:t>
      </w:r>
      <w:r>
        <w:rPr>
          <w:rFonts w:hint="eastAsia" w:hAnsi="宋体" w:cs="宋体"/>
          <w:szCs w:val="24"/>
          <w:highlight w:val="none"/>
        </w:rPr>
        <w:t>”、“履约能力”</w:t>
      </w:r>
      <w:r>
        <w:rPr>
          <w:rFonts w:hint="eastAsia" w:hAnsi="宋体" w:cs="宋体"/>
          <w:szCs w:val="24"/>
          <w:highlight w:val="none"/>
          <w:lang w:eastAsia="zh-CN"/>
        </w:rPr>
        <w:t>、“</w:t>
      </w:r>
      <w:r>
        <w:rPr>
          <w:rFonts w:hint="eastAsia" w:hAnsi="宋体" w:cs="宋体"/>
          <w:szCs w:val="24"/>
          <w:highlight w:val="none"/>
        </w:rPr>
        <w:t>承诺、应急预案及迎检方案</w:t>
      </w:r>
      <w:r>
        <w:rPr>
          <w:rFonts w:hint="eastAsia" w:hAnsi="宋体" w:cs="宋体"/>
          <w:szCs w:val="24"/>
          <w:highlight w:val="none"/>
          <w:lang w:eastAsia="zh-CN"/>
        </w:rPr>
        <w:t>”、“</w:t>
      </w:r>
      <w:r>
        <w:rPr>
          <w:rFonts w:hint="eastAsia" w:hAnsi="宋体" w:cs="宋体"/>
          <w:szCs w:val="24"/>
          <w:highlight w:val="none"/>
        </w:rPr>
        <w:t>合理化建议</w:t>
      </w:r>
      <w:r>
        <w:rPr>
          <w:rFonts w:hint="eastAsia" w:hAnsi="宋体" w:cs="宋体"/>
          <w:szCs w:val="24"/>
          <w:highlight w:val="none"/>
          <w:lang w:eastAsia="zh-CN"/>
        </w:rPr>
        <w:t>”、“</w:t>
      </w:r>
      <w:r>
        <w:rPr>
          <w:rFonts w:hint="eastAsia" w:hAnsi="宋体" w:cs="宋体"/>
          <w:szCs w:val="24"/>
          <w:highlight w:val="none"/>
          <w:lang w:val="en-US" w:eastAsia="zh-CN"/>
        </w:rPr>
        <w:t>业绩</w:t>
      </w:r>
      <w:r>
        <w:rPr>
          <w:rFonts w:hint="eastAsia" w:hAnsi="宋体" w:cs="宋体"/>
          <w:szCs w:val="24"/>
          <w:highlight w:val="none"/>
          <w:lang w:eastAsia="zh-CN"/>
        </w:rPr>
        <w:t>”</w:t>
      </w:r>
      <w:r>
        <w:rPr>
          <w:rFonts w:hint="eastAsia" w:hAnsi="宋体" w:cs="宋体"/>
          <w:szCs w:val="24"/>
          <w:highlight w:val="none"/>
          <w:lang w:val="en-US" w:eastAsia="zh-CN"/>
        </w:rPr>
        <w:t>六</w:t>
      </w:r>
      <w:r>
        <w:rPr>
          <w:rFonts w:hint="eastAsia" w:hAnsi="宋体" w:cs="宋体"/>
          <w:szCs w:val="24"/>
          <w:highlight w:val="none"/>
        </w:rPr>
        <w:t>个方面进行评审并按照百分制进行赋分。</w:t>
      </w:r>
    </w:p>
    <w:tbl>
      <w:tblPr>
        <w:tblStyle w:val="24"/>
        <w:tblW w:w="9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4"/>
        <w:gridCol w:w="1021"/>
        <w:gridCol w:w="5671"/>
        <w:gridCol w:w="1425"/>
        <w:gridCol w:w="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评审</w:t>
            </w:r>
          </w:p>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分项</w:t>
            </w:r>
          </w:p>
        </w:tc>
        <w:tc>
          <w:tcPr>
            <w:tcW w:w="5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评审因素</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分值</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（100分）</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3"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投标</w:t>
            </w:r>
          </w:p>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报价</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
              </w:numPr>
              <w:suppressLineNumbers w:val="0"/>
              <w:jc w:val="left"/>
              <w:textAlignment w:val="center"/>
              <w:rPr>
                <w:rFonts w:hint="eastAsia" w:hAnsi="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经初审合格的投标文件，其投标报价为有效投标报价，并对有效投标报价进行政策性扣减，并依据扣减后的价格(评审价格)进行价格评审。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2.满足招标文件实质性要求且最终报价最低的投标人的价格为投标基准价，其价格分为满分 10 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3.投标报价得分=(投标基准价/投标报价)x10 的公式计算得分。</w:t>
            </w:r>
            <w:r>
              <w:rPr>
                <w:rFonts w:hint="eastAsia" w:hAnsi="宋体" w:cs="宋体"/>
                <w:i w:val="0"/>
                <w:iCs w:val="0"/>
                <w:color w:val="000000"/>
                <w:kern w:val="0"/>
                <w:sz w:val="24"/>
                <w:szCs w:val="24"/>
                <w:highlight w:val="none"/>
                <w:u w:val="none"/>
                <w:lang w:val="en-US" w:eastAsia="zh-CN" w:bidi="ar"/>
              </w:rPr>
              <w:t>（本项目专门面向中小企业，价格分不再进行扣减）</w:t>
            </w:r>
          </w:p>
          <w:p>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eastAsia" w:hAnsi="宋体" w:cs="宋体"/>
                <w:i w:val="0"/>
                <w:iCs w:val="0"/>
                <w:color w:val="000000"/>
                <w:kern w:val="0"/>
                <w:sz w:val="24"/>
                <w:szCs w:val="24"/>
                <w:highlight w:val="none"/>
                <w:u w:val="none"/>
                <w:lang w:val="en-US" w:eastAsia="zh-CN" w:bidi="ar"/>
              </w:rPr>
              <w:t>经评标委员会认定，投标人的投标总报价低于公认市场成本，应作出书面说明并提供相关证明材料。投标人不能合理说明或者不能提供相关证明材料的，由评标委员会认定该投标人以低于成本报价竞标，其投标应作无效处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0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技术</w:t>
            </w:r>
          </w:p>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部分</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针对本项目的作业方案评审。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①方案详细具体、切实可行计(8-12)分；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②方案简要，基本可行计(4-8)分；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③方案简陋，操作性差计(0-4)分；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未进行说明计0分</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针对本项目的服务质量评审。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①方案详细具体、切实可行计(8-12)分；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②方案简要，基本可行计(4-8)分；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③方案简陋，操作性差计(0-4)分；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未进行说明计0分</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针对本项目的服务人员作业安全措施。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①方案详细具体、切实可行计(8-12)分；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②方案简要，基本可行计(4-8)分；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③方案简陋，操作性差计(0-4)分；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未进行说明计0分</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针对本项目的培训方案，根据投标人内部管理人员培训方案是否科学合理。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①方案详细具体、切实可行计(8-12)分；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②方案简要，基本可行计(4-8)分；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③方案简陋，操作性差计(0-4)分；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未进行说明计0分</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管理方案：根据本项目特点提出合理的日常清扫保洁服务方案，投标人的管理模式能够切合实际，具体可行。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①方案详细具体、切实可行计(6-9)分；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②方案简要，基本可行计(3-6)分；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③方案简陋，操作性差计(0-3)分；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未进行说明计 0 分。</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0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履约</w:t>
            </w:r>
          </w:p>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能力</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针对本项目人员的配备方案：对本项目拟派管理人员与作业人员配置数量和素质、自有人员和待聘续调人员的配置方案是否合理全面，投入人员的数量及专业程度。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①方案完善，切实可行计(3-5)分；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②方案一般，基本可行计(0-3)分；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无方案内容计0分</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作业配套车辆、设备、工具投入情况：制定作业配套车辆、设备、工具配备方案及存放车辆、设备能力情况(根据本项目工作内容的需求，投入的车辆、设备)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①方案完善，切实可行计(3-5)分；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②方案一般，基本可行计(0-3)分；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无方案内容计0分</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承诺、应急预案及迎检方案</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投标人根据招标文件要求和采购需求，对本项目做出的承诺：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①方案完善，切实可行计(3-5)分；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②方案一般，基本可行计(0-3)分；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无方案内容计0分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投标人针对本项目突发事件应急保障措施及迎检方案(包含恶劣天气影响、自然灾害、重大节假日等特殊情况制定应急处置方案等)：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①方案完善，切实可行计(3-5)分；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②方案一般，基本可行计(0-3)分；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无方案内容计0分</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合理化建议</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投标人针对本项目提出有利于采购人的合理化建议。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①方案完善，切实可行计(4-8)分；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②方案一般，基本可行计(0-4)分；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无方案内容计0分</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业绩</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投标人近年类似项目业绩(以合同或中标通知书形式提供,合同签订时间或中标(成交)通知书发放时间在2020年01月以后)，每具有一个类似项目业绩得1分，最高得5分。(提供合同或中标通知书加盖单位公章的复印件)</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95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1）各评审小组成员独立打分。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若出现综合得分并列时，比较价格得分，此分项得分高者排序在前；若价格得分仍相同，比较技术得分，此分项得分高者排序在前；若技术得分仍相同，则由全体评审小组成员无记名投票，得票高者排序在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3）各种计算数字均“四舍五入”保留2位小数。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4）评审过程中，若出现特殊情况时，由评审小组决定暂停评审，并提出具体处理意见。</w:t>
            </w:r>
          </w:p>
        </w:tc>
      </w:tr>
    </w:tbl>
    <w:p>
      <w:pPr>
        <w:spacing w:line="360" w:lineRule="auto"/>
        <w:rPr>
          <w:rFonts w:hAnsi="宋体" w:cs="宋体"/>
          <w:b/>
          <w:spacing w:val="4"/>
          <w:szCs w:val="24"/>
          <w:highlight w:val="none"/>
        </w:rPr>
      </w:pPr>
      <w:r>
        <w:rPr>
          <w:rFonts w:hint="eastAsia" w:hAnsi="宋体" w:cs="宋体"/>
          <w:b/>
          <w:spacing w:val="4"/>
          <w:szCs w:val="24"/>
          <w:highlight w:val="none"/>
        </w:rPr>
        <w:t>五、定标：</w:t>
      </w:r>
    </w:p>
    <w:p>
      <w:pPr>
        <w:spacing w:line="360" w:lineRule="auto"/>
        <w:ind w:firstLine="496" w:firstLineChars="200"/>
        <w:rPr>
          <w:rFonts w:hAnsi="宋体" w:cs="宋体"/>
          <w:spacing w:val="4"/>
          <w:szCs w:val="24"/>
          <w:highlight w:val="none"/>
        </w:rPr>
      </w:pPr>
      <w:r>
        <w:rPr>
          <w:rFonts w:hint="eastAsia" w:hAnsi="宋体" w:cs="宋体"/>
          <w:spacing w:val="4"/>
          <w:szCs w:val="24"/>
          <w:highlight w:val="none"/>
        </w:rPr>
        <w:t>1、评标结果由全体</w:t>
      </w:r>
      <w:r>
        <w:rPr>
          <w:rFonts w:hint="eastAsia" w:hAnsi="宋体" w:cs="宋体"/>
          <w:szCs w:val="24"/>
          <w:highlight w:val="none"/>
        </w:rPr>
        <w:t>评标委员会成员</w:t>
      </w:r>
      <w:r>
        <w:rPr>
          <w:rFonts w:hint="eastAsia" w:hAnsi="宋体" w:cs="宋体"/>
          <w:spacing w:val="4"/>
          <w:szCs w:val="24"/>
          <w:highlight w:val="none"/>
        </w:rPr>
        <w:t>签字确认。</w:t>
      </w:r>
    </w:p>
    <w:p>
      <w:pPr>
        <w:spacing w:line="360" w:lineRule="auto"/>
        <w:ind w:firstLine="496" w:firstLineChars="200"/>
        <w:rPr>
          <w:rFonts w:hAnsi="宋体" w:cs="宋体"/>
          <w:spacing w:val="4"/>
          <w:szCs w:val="24"/>
          <w:highlight w:val="none"/>
        </w:rPr>
      </w:pPr>
      <w:r>
        <w:rPr>
          <w:rFonts w:hint="eastAsia" w:hAnsi="宋体" w:cs="宋体"/>
          <w:spacing w:val="4"/>
          <w:szCs w:val="24"/>
          <w:highlight w:val="none"/>
        </w:rPr>
        <w:t>2、</w:t>
      </w:r>
      <w:r>
        <w:rPr>
          <w:rFonts w:hint="eastAsia" w:hAnsi="宋体" w:cs="宋体"/>
          <w:spacing w:val="4"/>
          <w:szCs w:val="24"/>
          <w:highlight w:val="none"/>
          <w:lang w:val="en-US" w:eastAsia="zh-CN"/>
        </w:rPr>
        <w:t>招标</w:t>
      </w:r>
      <w:r>
        <w:rPr>
          <w:rFonts w:hint="eastAsia" w:hAnsi="宋体" w:cs="宋体"/>
          <w:spacing w:val="4"/>
          <w:szCs w:val="24"/>
          <w:highlight w:val="none"/>
        </w:rPr>
        <w:t>人根据评标报告中推荐的中标候选人排列顺序确定中标人，以复函通知采购代理机构。</w:t>
      </w:r>
    </w:p>
    <w:bookmarkEnd w:id="44"/>
    <w:bookmarkEnd w:id="67"/>
    <w:bookmarkEnd w:id="68"/>
    <w:bookmarkEnd w:id="69"/>
    <w:bookmarkEnd w:id="70"/>
    <w:bookmarkEnd w:id="71"/>
    <w:bookmarkEnd w:id="72"/>
    <w:bookmarkEnd w:id="73"/>
    <w:p>
      <w:pPr>
        <w:spacing w:line="360" w:lineRule="auto"/>
        <w:rPr>
          <w:rFonts w:hAnsi="宋体" w:cs="宋体"/>
          <w:bCs/>
          <w:sz w:val="36"/>
          <w:szCs w:val="36"/>
          <w:highlight w:val="none"/>
        </w:rPr>
      </w:pPr>
      <w:bookmarkStart w:id="85" w:name="_Toc363474025"/>
      <w:bookmarkStart w:id="86" w:name="_Toc426457698"/>
    </w:p>
    <w:p>
      <w:pPr>
        <w:pStyle w:val="4"/>
        <w:spacing w:line="360" w:lineRule="auto"/>
        <w:jc w:val="center"/>
        <w:rPr>
          <w:rFonts w:ascii="宋体" w:eastAsia="宋体" w:cs="宋体"/>
          <w:bCs/>
          <w:sz w:val="36"/>
          <w:szCs w:val="36"/>
          <w:highlight w:val="none"/>
        </w:rPr>
      </w:pPr>
      <w:bookmarkStart w:id="87" w:name="_Toc8830"/>
      <w:bookmarkStart w:id="88" w:name="_Toc28411"/>
      <w:bookmarkStart w:id="89" w:name="_Toc22538"/>
      <w:r>
        <w:rPr>
          <w:rFonts w:hint="eastAsia" w:ascii="宋体" w:eastAsia="宋体" w:cs="宋体"/>
          <w:bCs/>
          <w:sz w:val="36"/>
          <w:szCs w:val="36"/>
          <w:highlight w:val="none"/>
        </w:rPr>
        <w:br w:type="page"/>
      </w:r>
      <w:bookmarkStart w:id="90" w:name="_Toc8126"/>
      <w:r>
        <w:rPr>
          <w:rFonts w:hint="eastAsia" w:ascii="宋体" w:eastAsia="宋体" w:cs="宋体"/>
          <w:bCs/>
          <w:sz w:val="36"/>
          <w:szCs w:val="36"/>
          <w:highlight w:val="none"/>
        </w:rPr>
        <w:t>第六章 投标文件构成及格式</w:t>
      </w:r>
      <w:bookmarkEnd w:id="85"/>
      <w:bookmarkEnd w:id="86"/>
      <w:bookmarkEnd w:id="87"/>
      <w:bookmarkEnd w:id="88"/>
      <w:bookmarkEnd w:id="89"/>
      <w:bookmarkEnd w:id="90"/>
    </w:p>
    <w:p>
      <w:pPr>
        <w:rPr>
          <w:rFonts w:hAnsi="宋体" w:cs="宋体"/>
          <w:highlight w:val="none"/>
        </w:rPr>
      </w:pPr>
    </w:p>
    <w:p>
      <w:pPr>
        <w:rPr>
          <w:rFonts w:hint="eastAsia" w:hAnsi="宋体" w:eastAsia="宋体" w:cs="宋体"/>
          <w:b/>
          <w:color w:val="FF0000"/>
          <w:sz w:val="32"/>
          <w:szCs w:val="32"/>
          <w:highlight w:val="none"/>
          <w:lang w:eastAsia="zh-CN"/>
        </w:rPr>
      </w:pPr>
      <w:r>
        <w:rPr>
          <w:rFonts w:hint="eastAsia" w:hAnsi="宋体" w:cs="宋体"/>
          <w:b/>
          <w:sz w:val="32"/>
          <w:szCs w:val="32"/>
          <w:highlight w:val="none"/>
        </w:rPr>
        <w:t>项目编号：</w:t>
      </w:r>
      <w:r>
        <w:rPr>
          <w:rFonts w:hint="eastAsia" w:hAnsi="宋体" w:cs="宋体"/>
          <w:b/>
          <w:sz w:val="32"/>
          <w:szCs w:val="32"/>
          <w:highlight w:val="none"/>
          <w:lang w:eastAsia="zh-CN"/>
        </w:rPr>
        <w:t>SXZCZB2024-ZCGK-0116</w:t>
      </w:r>
    </w:p>
    <w:p>
      <w:pPr>
        <w:jc w:val="right"/>
        <w:rPr>
          <w:rFonts w:hAnsi="宋体" w:cs="宋体"/>
          <w:b/>
          <w:sz w:val="32"/>
          <w:szCs w:val="32"/>
          <w:highlight w:val="none"/>
        </w:rPr>
      </w:pPr>
      <w:r>
        <w:rPr>
          <w:rFonts w:hint="eastAsia" w:hAnsi="宋体" w:cs="宋体"/>
          <w:b/>
          <w:sz w:val="32"/>
          <w:szCs w:val="32"/>
          <w:highlight w:val="none"/>
        </w:rPr>
        <w:t>（</w:t>
      </w:r>
      <w:bookmarkStart w:id="160" w:name="_GoBack"/>
      <w:r>
        <w:rPr>
          <w:rFonts w:hint="eastAsia" w:hAnsi="宋体" w:cs="宋体"/>
          <w:b/>
          <w:sz w:val="32"/>
          <w:szCs w:val="32"/>
          <w:highlight w:val="none"/>
        </w:rPr>
        <w:t>正本</w:t>
      </w:r>
      <w:bookmarkEnd w:id="160"/>
      <w:r>
        <w:rPr>
          <w:rFonts w:hint="eastAsia" w:hAnsi="宋体" w:cs="宋体"/>
          <w:b/>
          <w:sz w:val="32"/>
          <w:szCs w:val="32"/>
          <w:highlight w:val="none"/>
        </w:rPr>
        <w:t>或副本）</w:t>
      </w:r>
    </w:p>
    <w:p>
      <w:pPr>
        <w:jc w:val="center"/>
        <w:rPr>
          <w:rFonts w:hAnsi="宋体" w:cs="宋体"/>
          <w:b/>
          <w:sz w:val="36"/>
          <w:szCs w:val="36"/>
          <w:highlight w:val="none"/>
        </w:rPr>
      </w:pPr>
    </w:p>
    <w:p>
      <w:pPr>
        <w:rPr>
          <w:rFonts w:hAnsi="宋体" w:cs="宋体"/>
          <w:b/>
          <w:sz w:val="52"/>
          <w:szCs w:val="52"/>
          <w:highlight w:val="none"/>
        </w:rPr>
      </w:pPr>
    </w:p>
    <w:p>
      <w:pPr>
        <w:jc w:val="center"/>
        <w:rPr>
          <w:rFonts w:hint="eastAsia" w:hAnsi="宋体" w:eastAsia="宋体" w:cs="宋体"/>
          <w:b/>
          <w:sz w:val="48"/>
          <w:szCs w:val="48"/>
          <w:highlight w:val="none"/>
          <w:lang w:eastAsia="zh-CN"/>
        </w:rPr>
      </w:pPr>
      <w:r>
        <w:rPr>
          <w:rFonts w:hint="eastAsia" w:hAnsi="宋体" w:cs="宋体"/>
          <w:b/>
          <w:sz w:val="48"/>
          <w:szCs w:val="48"/>
          <w:highlight w:val="none"/>
          <w:lang w:eastAsia="zh-CN"/>
        </w:rPr>
        <w:t>商南县城区环卫市场化运营项目</w:t>
      </w:r>
    </w:p>
    <w:p>
      <w:pPr>
        <w:rPr>
          <w:rFonts w:hAnsi="宋体" w:cs="宋体"/>
          <w:b/>
          <w:sz w:val="48"/>
          <w:szCs w:val="48"/>
          <w:highlight w:val="none"/>
        </w:rPr>
      </w:pPr>
    </w:p>
    <w:p>
      <w:pPr>
        <w:rPr>
          <w:rFonts w:hAnsi="宋体" w:cs="宋体"/>
          <w:b/>
          <w:sz w:val="48"/>
          <w:szCs w:val="48"/>
          <w:highlight w:val="none"/>
        </w:rPr>
      </w:pPr>
    </w:p>
    <w:p>
      <w:pPr>
        <w:jc w:val="center"/>
        <w:rPr>
          <w:rFonts w:hAnsi="宋体" w:cs="宋体"/>
          <w:b/>
          <w:sz w:val="72"/>
          <w:szCs w:val="72"/>
          <w:highlight w:val="none"/>
        </w:rPr>
      </w:pPr>
      <w:r>
        <w:rPr>
          <w:rFonts w:hint="eastAsia" w:hAnsi="宋体" w:cs="宋体"/>
          <w:b/>
          <w:sz w:val="72"/>
          <w:szCs w:val="72"/>
          <w:highlight w:val="none"/>
        </w:rPr>
        <w:t>投 标 文 件</w:t>
      </w:r>
    </w:p>
    <w:p>
      <w:pPr>
        <w:jc w:val="center"/>
        <w:rPr>
          <w:rFonts w:hAnsi="宋体" w:cs="宋体"/>
          <w:b/>
          <w:sz w:val="72"/>
          <w:szCs w:val="72"/>
          <w:highlight w:val="none"/>
        </w:rPr>
      </w:pPr>
    </w:p>
    <w:p>
      <w:pPr>
        <w:rPr>
          <w:rFonts w:hAnsi="宋体" w:cs="宋体"/>
          <w:b/>
          <w:sz w:val="36"/>
          <w:szCs w:val="36"/>
          <w:highlight w:val="none"/>
        </w:rPr>
      </w:pPr>
    </w:p>
    <w:p>
      <w:pPr>
        <w:tabs>
          <w:tab w:val="center" w:pos="5346"/>
        </w:tabs>
        <w:spacing w:line="720" w:lineRule="auto"/>
        <w:jc w:val="center"/>
        <w:rPr>
          <w:rFonts w:hAnsi="宋体" w:cs="宋体"/>
          <w:b/>
          <w:sz w:val="32"/>
          <w:szCs w:val="32"/>
          <w:highlight w:val="none"/>
        </w:rPr>
      </w:pPr>
      <w:r>
        <w:rPr>
          <w:rFonts w:hint="eastAsia" w:hAnsi="宋体" w:cs="宋体"/>
          <w:b/>
          <w:sz w:val="32"/>
          <w:szCs w:val="32"/>
          <w:highlight w:val="none"/>
        </w:rPr>
        <w:t xml:space="preserve"> 投标人名称（公章）</w:t>
      </w:r>
    </w:p>
    <w:p>
      <w:pPr>
        <w:spacing w:line="720" w:lineRule="auto"/>
        <w:jc w:val="center"/>
        <w:rPr>
          <w:rFonts w:hAnsi="宋体" w:cs="宋体"/>
          <w:sz w:val="32"/>
          <w:szCs w:val="32"/>
          <w:highlight w:val="none"/>
        </w:rPr>
      </w:pPr>
      <w:r>
        <w:rPr>
          <w:rFonts w:hint="eastAsia" w:hAnsi="宋体" w:cs="宋体"/>
          <w:b/>
          <w:sz w:val="32"/>
          <w:szCs w:val="32"/>
          <w:highlight w:val="none"/>
        </w:rPr>
        <w:t xml:space="preserve">  年   月</w:t>
      </w:r>
      <w:r>
        <w:rPr>
          <w:rFonts w:hint="eastAsia" w:hAnsi="宋体" w:cs="宋体"/>
          <w:b/>
          <w:sz w:val="32"/>
          <w:szCs w:val="32"/>
          <w:highlight w:val="none"/>
          <w:lang w:val="en-US" w:eastAsia="zh-CN"/>
        </w:rPr>
        <w:t xml:space="preserve">   日</w:t>
      </w:r>
      <w:r>
        <w:rPr>
          <w:rFonts w:hint="eastAsia" w:hAnsi="宋体" w:cs="宋体"/>
          <w:b/>
          <w:sz w:val="36"/>
          <w:szCs w:val="36"/>
          <w:highlight w:val="none"/>
        </w:rPr>
        <w:br w:type="page"/>
      </w:r>
      <w:bookmarkStart w:id="91" w:name="_Toc23267"/>
      <w:bookmarkStart w:id="92" w:name="_Toc403077647"/>
      <w:bookmarkStart w:id="93" w:name="_Toc23850"/>
      <w:bookmarkStart w:id="94" w:name="_Toc426457699"/>
      <w:bookmarkStart w:id="95" w:name="_Toc363474026"/>
      <w:bookmarkStart w:id="96" w:name="_Toc17702"/>
      <w:bookmarkStart w:id="97" w:name="_Toc22537"/>
      <w:bookmarkStart w:id="98" w:name="_Toc30983"/>
      <w:r>
        <w:rPr>
          <w:rFonts w:hint="eastAsia" w:hAnsi="宋体" w:cs="宋体"/>
          <w:sz w:val="32"/>
          <w:szCs w:val="32"/>
          <w:highlight w:val="none"/>
        </w:rPr>
        <w:t>目    录</w:t>
      </w:r>
      <w:bookmarkEnd w:id="91"/>
      <w:bookmarkEnd w:id="92"/>
      <w:bookmarkEnd w:id="93"/>
      <w:bookmarkEnd w:id="94"/>
      <w:bookmarkEnd w:id="95"/>
      <w:bookmarkEnd w:id="96"/>
      <w:bookmarkEnd w:id="97"/>
      <w:bookmarkEnd w:id="98"/>
    </w:p>
    <w:p>
      <w:pPr>
        <w:rPr>
          <w:rFonts w:hAnsi="宋体" w:cs="宋体"/>
          <w:highlight w:val="none"/>
        </w:rPr>
      </w:pPr>
    </w:p>
    <w:p>
      <w:pPr>
        <w:numPr>
          <w:ilvl w:val="0"/>
          <w:numId w:val="7"/>
        </w:numPr>
        <w:tabs>
          <w:tab w:val="left" w:pos="1418"/>
        </w:tabs>
        <w:spacing w:line="720" w:lineRule="auto"/>
        <w:ind w:left="831"/>
        <w:rPr>
          <w:rFonts w:hAnsi="宋体" w:cs="宋体"/>
          <w:spacing w:val="4"/>
          <w:szCs w:val="24"/>
          <w:highlight w:val="none"/>
        </w:rPr>
      </w:pPr>
      <w:r>
        <w:rPr>
          <w:rFonts w:hint="eastAsia" w:hAnsi="宋体" w:cs="宋体"/>
          <w:spacing w:val="4"/>
          <w:szCs w:val="24"/>
          <w:highlight w:val="none"/>
        </w:rPr>
        <w:t>投标函</w:t>
      </w:r>
    </w:p>
    <w:p>
      <w:pPr>
        <w:numPr>
          <w:ilvl w:val="0"/>
          <w:numId w:val="7"/>
        </w:numPr>
        <w:tabs>
          <w:tab w:val="left" w:pos="1418"/>
        </w:tabs>
        <w:spacing w:line="720" w:lineRule="auto"/>
        <w:ind w:left="831"/>
        <w:rPr>
          <w:rFonts w:hAnsi="宋体" w:cs="宋体"/>
          <w:spacing w:val="4"/>
          <w:szCs w:val="24"/>
          <w:highlight w:val="none"/>
        </w:rPr>
      </w:pPr>
      <w:r>
        <w:rPr>
          <w:rFonts w:hint="eastAsia" w:hAnsi="宋体" w:cs="宋体"/>
          <w:spacing w:val="4"/>
          <w:szCs w:val="24"/>
          <w:highlight w:val="none"/>
        </w:rPr>
        <w:t>投标报价表</w:t>
      </w:r>
    </w:p>
    <w:p>
      <w:pPr>
        <w:numPr>
          <w:ilvl w:val="0"/>
          <w:numId w:val="7"/>
        </w:numPr>
        <w:tabs>
          <w:tab w:val="left" w:pos="1418"/>
        </w:tabs>
        <w:spacing w:line="720" w:lineRule="auto"/>
        <w:ind w:left="831"/>
        <w:rPr>
          <w:rFonts w:hAnsi="宋体" w:cs="宋体"/>
          <w:spacing w:val="4"/>
          <w:szCs w:val="24"/>
          <w:highlight w:val="none"/>
        </w:rPr>
      </w:pPr>
      <w:r>
        <w:rPr>
          <w:rFonts w:hint="eastAsia" w:hAnsi="宋体" w:cs="宋体"/>
          <w:szCs w:val="24"/>
          <w:highlight w:val="none"/>
        </w:rPr>
        <w:t>投标方案说明书</w:t>
      </w:r>
    </w:p>
    <w:p>
      <w:pPr>
        <w:numPr>
          <w:ilvl w:val="0"/>
          <w:numId w:val="7"/>
        </w:numPr>
        <w:tabs>
          <w:tab w:val="left" w:pos="1418"/>
        </w:tabs>
        <w:spacing w:line="720" w:lineRule="auto"/>
        <w:ind w:left="831"/>
        <w:rPr>
          <w:rFonts w:hAnsi="宋体" w:cs="宋体"/>
          <w:spacing w:val="4"/>
          <w:szCs w:val="24"/>
          <w:highlight w:val="none"/>
        </w:rPr>
      </w:pPr>
      <w:r>
        <w:rPr>
          <w:rFonts w:hint="eastAsia" w:hAnsi="宋体" w:cs="宋体"/>
          <w:szCs w:val="24"/>
          <w:highlight w:val="none"/>
        </w:rPr>
        <w:t>商务条款偏离表</w:t>
      </w:r>
    </w:p>
    <w:p>
      <w:pPr>
        <w:numPr>
          <w:ilvl w:val="0"/>
          <w:numId w:val="7"/>
        </w:numPr>
        <w:tabs>
          <w:tab w:val="left" w:pos="1418"/>
        </w:tabs>
        <w:spacing w:line="720" w:lineRule="auto"/>
        <w:ind w:left="831"/>
        <w:rPr>
          <w:rFonts w:hAnsi="宋体" w:cs="宋体"/>
          <w:spacing w:val="4"/>
          <w:szCs w:val="24"/>
          <w:highlight w:val="none"/>
        </w:rPr>
      </w:pPr>
      <w:r>
        <w:rPr>
          <w:rFonts w:hint="eastAsia" w:hAnsi="宋体" w:cs="宋体"/>
          <w:spacing w:val="4"/>
          <w:szCs w:val="24"/>
          <w:highlight w:val="none"/>
        </w:rPr>
        <w:t>陕西省政府采购投标人拒绝政府采购领域商业贿赂承诺书</w:t>
      </w:r>
    </w:p>
    <w:p>
      <w:pPr>
        <w:numPr>
          <w:ilvl w:val="0"/>
          <w:numId w:val="7"/>
        </w:numPr>
        <w:tabs>
          <w:tab w:val="left" w:pos="1418"/>
        </w:tabs>
        <w:spacing w:line="720" w:lineRule="auto"/>
        <w:ind w:left="831"/>
        <w:rPr>
          <w:rFonts w:hAnsi="宋体" w:cs="宋体"/>
          <w:spacing w:val="4"/>
          <w:szCs w:val="24"/>
          <w:highlight w:val="none"/>
        </w:rPr>
      </w:pPr>
      <w:r>
        <w:rPr>
          <w:rFonts w:hint="eastAsia" w:hAnsi="宋体" w:cs="宋体"/>
          <w:szCs w:val="24"/>
          <w:highlight w:val="none"/>
        </w:rPr>
        <w:t>资格证明文件</w:t>
      </w:r>
    </w:p>
    <w:p>
      <w:pPr>
        <w:spacing w:line="480" w:lineRule="auto"/>
        <w:ind w:firstLine="1574" w:firstLineChars="635"/>
        <w:rPr>
          <w:rFonts w:hAnsi="宋体" w:cs="宋体"/>
          <w:spacing w:val="4"/>
          <w:szCs w:val="24"/>
          <w:highlight w:val="none"/>
        </w:rPr>
      </w:pPr>
    </w:p>
    <w:p>
      <w:pPr>
        <w:spacing w:line="480" w:lineRule="auto"/>
        <w:ind w:left="105"/>
        <w:rPr>
          <w:rFonts w:hAnsi="宋体" w:cs="宋体"/>
          <w:spacing w:val="4"/>
          <w:szCs w:val="24"/>
          <w:highlight w:val="none"/>
        </w:rPr>
      </w:pPr>
    </w:p>
    <w:p>
      <w:pPr>
        <w:pStyle w:val="6"/>
        <w:spacing w:before="333" w:beforeLines="100"/>
        <w:rPr>
          <w:rFonts w:ascii="宋体" w:hAnsi="宋体" w:cs="宋体"/>
          <w:sz w:val="32"/>
          <w:szCs w:val="32"/>
          <w:highlight w:val="none"/>
        </w:rPr>
      </w:pPr>
      <w:r>
        <w:rPr>
          <w:rFonts w:hint="eastAsia" w:ascii="宋体" w:hAnsi="宋体" w:cs="宋体"/>
          <w:sz w:val="28"/>
          <w:highlight w:val="none"/>
        </w:rPr>
        <w:br w:type="page"/>
      </w:r>
      <w:bookmarkStart w:id="99" w:name="_Toc403077648"/>
      <w:bookmarkStart w:id="100" w:name="_Toc363474027"/>
      <w:bookmarkStart w:id="101" w:name="_Toc426457700"/>
      <w:bookmarkStart w:id="102" w:name="_Toc14057"/>
      <w:bookmarkStart w:id="103" w:name="_Toc28404"/>
      <w:bookmarkStart w:id="104" w:name="_Toc23702"/>
      <w:bookmarkStart w:id="105" w:name="_Toc24231"/>
      <w:bookmarkStart w:id="106" w:name="_Toc4930"/>
      <w:bookmarkStart w:id="107" w:name="_Toc24564"/>
      <w:r>
        <w:rPr>
          <w:rFonts w:hint="eastAsia" w:ascii="宋体" w:hAnsi="宋体" w:cs="宋体"/>
          <w:sz w:val="32"/>
          <w:szCs w:val="32"/>
          <w:highlight w:val="none"/>
        </w:rPr>
        <w:t>一、投标</w:t>
      </w:r>
      <w:bookmarkEnd w:id="99"/>
      <w:bookmarkEnd w:id="100"/>
      <w:r>
        <w:rPr>
          <w:rFonts w:hint="eastAsia" w:ascii="宋体" w:hAnsi="宋体" w:cs="宋体"/>
          <w:sz w:val="32"/>
          <w:szCs w:val="32"/>
          <w:highlight w:val="none"/>
        </w:rPr>
        <w:t>函</w:t>
      </w:r>
      <w:bookmarkEnd w:id="101"/>
      <w:bookmarkEnd w:id="102"/>
      <w:bookmarkEnd w:id="103"/>
      <w:bookmarkEnd w:id="104"/>
      <w:bookmarkEnd w:id="105"/>
      <w:bookmarkEnd w:id="106"/>
      <w:bookmarkEnd w:id="107"/>
    </w:p>
    <w:p>
      <w:pPr>
        <w:rPr>
          <w:rFonts w:hAnsi="宋体" w:cs="宋体"/>
          <w:highlight w:val="none"/>
        </w:rPr>
      </w:pPr>
    </w:p>
    <w:p>
      <w:pPr>
        <w:spacing w:line="500" w:lineRule="exact"/>
        <w:jc w:val="left"/>
        <w:rPr>
          <w:rFonts w:hint="eastAsia" w:hAnsi="宋体" w:eastAsia="宋体" w:cs="宋体"/>
          <w:spacing w:val="4"/>
          <w:szCs w:val="24"/>
          <w:highlight w:val="none"/>
          <w:u w:val="single"/>
          <w:lang w:eastAsia="zh-CN"/>
        </w:rPr>
      </w:pPr>
      <w:r>
        <w:rPr>
          <w:rFonts w:hint="eastAsia" w:hAnsi="宋体" w:cs="宋体"/>
          <w:b/>
          <w:spacing w:val="4"/>
          <w:szCs w:val="24"/>
          <w:highlight w:val="none"/>
        </w:rPr>
        <w:t>致</w:t>
      </w:r>
      <w:r>
        <w:rPr>
          <w:rFonts w:hint="eastAsia" w:hAnsi="宋体" w:cs="宋体"/>
          <w:b/>
          <w:spacing w:val="4"/>
          <w:szCs w:val="24"/>
          <w:highlight w:val="none"/>
          <w:u w:val="single"/>
        </w:rPr>
        <w:t>：</w:t>
      </w:r>
      <w:r>
        <w:rPr>
          <w:rFonts w:hint="eastAsia" w:hAnsi="宋体" w:cs="宋体"/>
          <w:b/>
          <w:spacing w:val="4"/>
          <w:szCs w:val="24"/>
          <w:highlight w:val="none"/>
          <w:u w:val="single"/>
          <w:lang w:eastAsia="zh-CN"/>
        </w:rPr>
        <w:t>陕西至诚项目管理集团有限公司</w:t>
      </w:r>
    </w:p>
    <w:p>
      <w:pPr>
        <w:spacing w:line="500" w:lineRule="exact"/>
        <w:ind w:firstLine="496" w:firstLineChars="200"/>
        <w:rPr>
          <w:rFonts w:hAnsi="宋体" w:cs="宋体"/>
          <w:spacing w:val="4"/>
          <w:highlight w:val="none"/>
        </w:rPr>
      </w:pPr>
      <w:r>
        <w:rPr>
          <w:rFonts w:hint="eastAsia" w:hAnsi="宋体" w:cs="宋体"/>
          <w:spacing w:val="4"/>
          <w:highlight w:val="none"/>
        </w:rPr>
        <w:t xml:space="preserve">根据贵方“ </w:t>
      </w:r>
      <w:r>
        <w:rPr>
          <w:rFonts w:hint="eastAsia" w:hAnsi="宋体" w:cs="宋体"/>
          <w:spacing w:val="4"/>
          <w:highlight w:val="none"/>
          <w:u w:val="single"/>
        </w:rPr>
        <w:t xml:space="preserve">                     </w:t>
      </w:r>
      <w:r>
        <w:rPr>
          <w:rFonts w:hint="eastAsia" w:hAnsi="宋体" w:cs="宋体"/>
          <w:spacing w:val="4"/>
          <w:highlight w:val="none"/>
        </w:rPr>
        <w:t>”项目的投标邀请</w:t>
      </w:r>
      <w:r>
        <w:rPr>
          <w:rFonts w:hint="eastAsia" w:hAnsi="宋体" w:cs="宋体"/>
          <w:spacing w:val="4"/>
          <w:highlight w:val="none"/>
          <w:u w:val="single"/>
        </w:rPr>
        <w:t>(编号：        )</w:t>
      </w:r>
      <w:r>
        <w:rPr>
          <w:rFonts w:hint="eastAsia" w:hAnsi="宋体" w:cs="宋体"/>
          <w:spacing w:val="4"/>
          <w:highlight w:val="none"/>
        </w:rPr>
        <w:t>，签字代表</w:t>
      </w:r>
      <w:r>
        <w:rPr>
          <w:rFonts w:hint="eastAsia" w:hAnsi="宋体" w:cs="宋体"/>
          <w:spacing w:val="4"/>
          <w:highlight w:val="none"/>
          <w:u w:val="single"/>
        </w:rPr>
        <w:t>（全名、职务）</w:t>
      </w:r>
      <w:r>
        <w:rPr>
          <w:rFonts w:hint="eastAsia" w:hAnsi="宋体" w:cs="宋体"/>
          <w:spacing w:val="4"/>
          <w:highlight w:val="none"/>
        </w:rPr>
        <w:t>经正式授权并代表投标人</w:t>
      </w:r>
      <w:r>
        <w:rPr>
          <w:rFonts w:hint="eastAsia" w:hAnsi="宋体" w:cs="宋体"/>
          <w:spacing w:val="4"/>
          <w:highlight w:val="none"/>
          <w:u w:val="single"/>
        </w:rPr>
        <w:t>(投标人名称、地址)</w:t>
      </w:r>
      <w:r>
        <w:rPr>
          <w:rFonts w:hint="eastAsia" w:hAnsi="宋体" w:cs="宋体"/>
          <w:spacing w:val="4"/>
          <w:highlight w:val="none"/>
        </w:rPr>
        <w:t xml:space="preserve"> 提交投标文件正本壹份、副本一式</w:t>
      </w:r>
      <w:r>
        <w:rPr>
          <w:rFonts w:hint="eastAsia" w:hAnsi="宋体" w:cs="宋体"/>
          <w:spacing w:val="4"/>
          <w:highlight w:val="none"/>
          <w:u w:val="single"/>
        </w:rPr>
        <w:t xml:space="preserve">    </w:t>
      </w:r>
      <w:r>
        <w:rPr>
          <w:rFonts w:hint="eastAsia" w:hAnsi="宋体" w:cs="宋体"/>
          <w:spacing w:val="4"/>
          <w:highlight w:val="none"/>
        </w:rPr>
        <w:t>份、电子版</w:t>
      </w:r>
      <w:r>
        <w:rPr>
          <w:rFonts w:hint="eastAsia" w:hAnsi="宋体" w:cs="宋体"/>
          <w:spacing w:val="4"/>
          <w:highlight w:val="none"/>
          <w:u w:val="single"/>
        </w:rPr>
        <w:t xml:space="preserve">    </w:t>
      </w:r>
      <w:r>
        <w:rPr>
          <w:rFonts w:hint="eastAsia" w:hAnsi="宋体" w:cs="宋体"/>
          <w:spacing w:val="4"/>
          <w:highlight w:val="none"/>
        </w:rPr>
        <w:t>份、开标一览表</w:t>
      </w:r>
      <w:r>
        <w:rPr>
          <w:rFonts w:hint="eastAsia" w:hAnsi="宋体" w:cs="宋体"/>
          <w:spacing w:val="4"/>
          <w:highlight w:val="none"/>
          <w:u w:val="single"/>
        </w:rPr>
        <w:t xml:space="preserve">    </w:t>
      </w:r>
      <w:r>
        <w:rPr>
          <w:rFonts w:hint="eastAsia" w:hAnsi="宋体" w:cs="宋体"/>
          <w:spacing w:val="4"/>
          <w:highlight w:val="none"/>
        </w:rPr>
        <w:t>份。</w:t>
      </w:r>
    </w:p>
    <w:p>
      <w:pPr>
        <w:spacing w:line="500" w:lineRule="exact"/>
        <w:ind w:left="624" w:leftChars="251" w:hanging="22" w:hangingChars="9"/>
        <w:jc w:val="left"/>
        <w:rPr>
          <w:rFonts w:hAnsi="宋体" w:cs="宋体"/>
          <w:spacing w:val="4"/>
          <w:highlight w:val="none"/>
        </w:rPr>
      </w:pPr>
      <w:r>
        <w:rPr>
          <w:rFonts w:hint="eastAsia" w:hAnsi="宋体" w:cs="宋体"/>
          <w:spacing w:val="4"/>
          <w:highlight w:val="none"/>
        </w:rPr>
        <w:t>我方承诺如下：</w:t>
      </w:r>
    </w:p>
    <w:p>
      <w:pPr>
        <w:numPr>
          <w:ilvl w:val="0"/>
          <w:numId w:val="8"/>
        </w:numPr>
        <w:tabs>
          <w:tab w:val="left" w:pos="2160"/>
        </w:tabs>
        <w:spacing w:line="500" w:lineRule="exact"/>
        <w:ind w:left="0" w:firstLine="0"/>
        <w:jc w:val="left"/>
        <w:rPr>
          <w:rFonts w:hAnsi="宋体" w:cs="宋体"/>
          <w:spacing w:val="4"/>
          <w:highlight w:val="none"/>
        </w:rPr>
      </w:pPr>
      <w:r>
        <w:rPr>
          <w:rFonts w:hint="eastAsia" w:hAnsi="宋体" w:cs="宋体"/>
          <w:spacing w:val="4"/>
          <w:highlight w:val="none"/>
        </w:rPr>
        <w:t xml:space="preserve">投标报价为小写： </w:t>
      </w:r>
      <w:r>
        <w:rPr>
          <w:rFonts w:hint="eastAsia" w:hAnsi="宋体" w:cs="宋体"/>
          <w:spacing w:val="4"/>
          <w:highlight w:val="none"/>
          <w:u w:val="single"/>
        </w:rPr>
        <w:t xml:space="preserve">        </w:t>
      </w:r>
      <w:r>
        <w:rPr>
          <w:rFonts w:hint="eastAsia" w:hAnsi="宋体" w:cs="宋体"/>
          <w:spacing w:val="4"/>
          <w:highlight w:val="none"/>
        </w:rPr>
        <w:t>（大写：</w:t>
      </w:r>
      <w:r>
        <w:rPr>
          <w:rFonts w:hint="eastAsia" w:hAnsi="宋体" w:cs="宋体"/>
          <w:spacing w:val="4"/>
          <w:highlight w:val="none"/>
          <w:u w:val="single"/>
        </w:rPr>
        <w:t xml:space="preserve">         </w:t>
      </w:r>
      <w:r>
        <w:rPr>
          <w:rFonts w:hint="eastAsia" w:hAnsi="宋体" w:cs="宋体"/>
          <w:spacing w:val="4"/>
          <w:highlight w:val="none"/>
        </w:rPr>
        <w:t>）。</w:t>
      </w:r>
    </w:p>
    <w:p>
      <w:pPr>
        <w:numPr>
          <w:ilvl w:val="0"/>
          <w:numId w:val="8"/>
        </w:numPr>
        <w:tabs>
          <w:tab w:val="left" w:pos="2160"/>
        </w:tabs>
        <w:spacing w:line="500" w:lineRule="exact"/>
        <w:ind w:left="0" w:firstLine="0"/>
        <w:jc w:val="left"/>
        <w:rPr>
          <w:rFonts w:hAnsi="宋体" w:cs="宋体"/>
          <w:spacing w:val="4"/>
          <w:highlight w:val="none"/>
        </w:rPr>
      </w:pPr>
      <w:r>
        <w:rPr>
          <w:rFonts w:hint="eastAsia" w:hAnsi="宋体" w:cs="宋体"/>
          <w:spacing w:val="4"/>
          <w:highlight w:val="none"/>
        </w:rPr>
        <w:t>如果中标，我们根据招标文件的规定，履行合同的责任和义务。</w:t>
      </w:r>
    </w:p>
    <w:p>
      <w:pPr>
        <w:numPr>
          <w:ilvl w:val="0"/>
          <w:numId w:val="8"/>
        </w:numPr>
        <w:tabs>
          <w:tab w:val="left" w:pos="2160"/>
        </w:tabs>
        <w:spacing w:line="500" w:lineRule="exact"/>
        <w:ind w:left="0" w:firstLine="0"/>
        <w:jc w:val="left"/>
        <w:rPr>
          <w:rFonts w:hAnsi="宋体" w:cs="宋体"/>
          <w:spacing w:val="4"/>
          <w:highlight w:val="none"/>
        </w:rPr>
      </w:pPr>
      <w:r>
        <w:rPr>
          <w:rFonts w:hint="eastAsia" w:hAnsi="宋体" w:cs="宋体"/>
          <w:spacing w:val="4"/>
          <w:highlight w:val="none"/>
        </w:rPr>
        <w:t>我们已详细阅读和审核全部招标文件（含修改部分，如有的话）及有关附件，我们知道必须放弃提出含糊不清或误解的问题的权利。</w:t>
      </w:r>
    </w:p>
    <w:p>
      <w:pPr>
        <w:numPr>
          <w:ilvl w:val="0"/>
          <w:numId w:val="8"/>
        </w:numPr>
        <w:tabs>
          <w:tab w:val="left" w:pos="2160"/>
        </w:tabs>
        <w:spacing w:line="500" w:lineRule="exact"/>
        <w:ind w:left="0" w:firstLine="0"/>
        <w:jc w:val="left"/>
        <w:rPr>
          <w:rFonts w:hAnsi="宋体" w:cs="宋体"/>
          <w:spacing w:val="4"/>
          <w:highlight w:val="none"/>
        </w:rPr>
      </w:pPr>
      <w:r>
        <w:rPr>
          <w:rFonts w:hint="eastAsia" w:hAnsi="宋体" w:cs="宋体"/>
          <w:spacing w:val="4"/>
          <w:highlight w:val="none"/>
        </w:rPr>
        <w:t>我们同意在投标有效期内（</w:t>
      </w:r>
      <w:r>
        <w:rPr>
          <w:rFonts w:hint="eastAsia" w:hAnsi="宋体" w:cs="宋体"/>
          <w:szCs w:val="24"/>
          <w:highlight w:val="none"/>
        </w:rPr>
        <w:t>投标文件的截止之日起</w:t>
      </w:r>
      <w:r>
        <w:rPr>
          <w:rFonts w:hint="eastAsia" w:hAnsi="宋体" w:cs="宋体"/>
          <w:szCs w:val="24"/>
          <w:highlight w:val="none"/>
          <w:u w:val="single"/>
          <w:lang w:val="en-US" w:eastAsia="zh-CN"/>
        </w:rPr>
        <w:t xml:space="preserve"> </w:t>
      </w:r>
      <w:r>
        <w:rPr>
          <w:rFonts w:hint="eastAsia" w:hAnsi="宋体" w:cs="宋体"/>
          <w:szCs w:val="24"/>
          <w:highlight w:val="none"/>
          <w:u w:val="single"/>
        </w:rPr>
        <w:t>90</w:t>
      </w:r>
      <w:r>
        <w:rPr>
          <w:rFonts w:hint="eastAsia" w:hAnsi="宋体" w:cs="宋体"/>
          <w:szCs w:val="24"/>
          <w:highlight w:val="none"/>
          <w:u w:val="single"/>
          <w:lang w:val="en-US" w:eastAsia="zh-CN"/>
        </w:rPr>
        <w:t xml:space="preserve"> </w:t>
      </w:r>
      <w:r>
        <w:rPr>
          <w:rFonts w:hint="eastAsia" w:hAnsi="宋体" w:cs="宋体"/>
          <w:szCs w:val="24"/>
          <w:highlight w:val="none"/>
        </w:rPr>
        <w:t>天</w:t>
      </w:r>
      <w:r>
        <w:rPr>
          <w:rFonts w:hint="eastAsia" w:hAnsi="宋体" w:cs="宋体"/>
          <w:spacing w:val="4"/>
          <w:highlight w:val="none"/>
        </w:rPr>
        <w:t>），本投标函对我方具有约束力。</w:t>
      </w:r>
    </w:p>
    <w:p>
      <w:pPr>
        <w:numPr>
          <w:ilvl w:val="0"/>
          <w:numId w:val="8"/>
        </w:numPr>
        <w:tabs>
          <w:tab w:val="left" w:pos="2160"/>
        </w:tabs>
        <w:spacing w:line="500" w:lineRule="exact"/>
        <w:ind w:left="0" w:firstLine="0"/>
        <w:jc w:val="left"/>
        <w:rPr>
          <w:rFonts w:hAnsi="宋体" w:cs="宋体"/>
          <w:spacing w:val="4"/>
          <w:highlight w:val="none"/>
        </w:rPr>
      </w:pPr>
      <w:r>
        <w:rPr>
          <w:rFonts w:hint="eastAsia" w:hAnsi="宋体" w:cs="宋体"/>
          <w:spacing w:val="4"/>
          <w:highlight w:val="none"/>
        </w:rPr>
        <w:t>如果在开标后规定的投标有效期内撤回投标，我们的投标保证金可被贵方没收。</w:t>
      </w:r>
    </w:p>
    <w:p>
      <w:pPr>
        <w:numPr>
          <w:ilvl w:val="0"/>
          <w:numId w:val="8"/>
        </w:numPr>
        <w:tabs>
          <w:tab w:val="left" w:pos="2160"/>
        </w:tabs>
        <w:spacing w:line="500" w:lineRule="exact"/>
        <w:ind w:left="0" w:firstLine="0"/>
        <w:jc w:val="left"/>
        <w:rPr>
          <w:rFonts w:hAnsi="宋体" w:cs="宋体"/>
          <w:spacing w:val="4"/>
          <w:highlight w:val="none"/>
        </w:rPr>
      </w:pPr>
      <w:r>
        <w:rPr>
          <w:rFonts w:hint="eastAsia" w:hAnsi="宋体" w:cs="宋体"/>
          <w:spacing w:val="4"/>
          <w:highlight w:val="none"/>
        </w:rPr>
        <w:t xml:space="preserve">同意提供贵方可能另外要求的与本投标有关的任何证据和资料。 </w:t>
      </w:r>
    </w:p>
    <w:p>
      <w:pPr>
        <w:numPr>
          <w:ilvl w:val="0"/>
          <w:numId w:val="8"/>
        </w:numPr>
        <w:tabs>
          <w:tab w:val="left" w:pos="2160"/>
        </w:tabs>
        <w:spacing w:line="500" w:lineRule="exact"/>
        <w:ind w:left="0" w:firstLine="0"/>
        <w:jc w:val="left"/>
        <w:rPr>
          <w:rFonts w:hAnsi="宋体" w:cs="宋体"/>
          <w:spacing w:val="4"/>
          <w:highlight w:val="none"/>
        </w:rPr>
      </w:pPr>
      <w:r>
        <w:rPr>
          <w:rFonts w:hint="eastAsia" w:hAnsi="宋体" w:cs="宋体"/>
          <w:spacing w:val="4"/>
          <w:highlight w:val="none"/>
        </w:rPr>
        <w:t>我们同意，如果中标，向</w:t>
      </w:r>
      <w:r>
        <w:rPr>
          <w:rFonts w:hint="eastAsia" w:hAnsi="宋体" w:cs="宋体"/>
          <w:spacing w:val="4"/>
          <w:highlight w:val="none"/>
          <w:lang w:eastAsia="zh-CN"/>
        </w:rPr>
        <w:t>陕西至诚项目管理集团有限公司</w:t>
      </w:r>
      <w:r>
        <w:rPr>
          <w:rFonts w:hint="eastAsia" w:hAnsi="宋体" w:cs="宋体"/>
          <w:spacing w:val="4"/>
          <w:highlight w:val="none"/>
        </w:rPr>
        <w:t>交纳招标代理服务费。</w:t>
      </w:r>
    </w:p>
    <w:p>
      <w:pPr>
        <w:numPr>
          <w:ilvl w:val="0"/>
          <w:numId w:val="8"/>
        </w:numPr>
        <w:tabs>
          <w:tab w:val="left" w:pos="2160"/>
        </w:tabs>
        <w:spacing w:line="500" w:lineRule="exact"/>
        <w:ind w:left="0" w:firstLine="0"/>
        <w:jc w:val="left"/>
        <w:rPr>
          <w:rFonts w:hAnsi="宋体" w:cs="宋体"/>
          <w:spacing w:val="4"/>
          <w:highlight w:val="none"/>
        </w:rPr>
      </w:pPr>
      <w:r>
        <w:rPr>
          <w:rFonts w:hint="eastAsia" w:hAnsi="宋体" w:cs="宋体"/>
          <w:spacing w:val="4"/>
          <w:highlight w:val="none"/>
        </w:rPr>
        <w:t>与本投标有关的一切正式往来通讯为：</w:t>
      </w:r>
    </w:p>
    <w:p>
      <w:pPr>
        <w:spacing w:line="500" w:lineRule="exact"/>
        <w:ind w:firstLine="1240" w:firstLineChars="500"/>
        <w:jc w:val="left"/>
        <w:rPr>
          <w:rFonts w:hAnsi="宋体" w:cs="宋体"/>
          <w:spacing w:val="4"/>
          <w:highlight w:val="none"/>
        </w:rPr>
      </w:pPr>
      <w:r>
        <w:rPr>
          <w:rFonts w:hint="eastAsia" w:hAnsi="宋体" w:cs="宋体"/>
          <w:spacing w:val="4"/>
          <w:highlight w:val="none"/>
        </w:rPr>
        <w:t>联系地址：</w:t>
      </w:r>
    </w:p>
    <w:p>
      <w:pPr>
        <w:spacing w:line="500" w:lineRule="exact"/>
        <w:ind w:firstLine="1240" w:firstLineChars="500"/>
        <w:jc w:val="left"/>
        <w:rPr>
          <w:rFonts w:hAnsi="宋体" w:cs="宋体"/>
          <w:spacing w:val="4"/>
          <w:highlight w:val="none"/>
        </w:rPr>
      </w:pPr>
      <w:r>
        <w:rPr>
          <w:rFonts w:hint="eastAsia" w:hAnsi="宋体" w:cs="宋体"/>
          <w:spacing w:val="4"/>
          <w:highlight w:val="none"/>
        </w:rPr>
        <w:t>邮政编码：</w:t>
      </w:r>
    </w:p>
    <w:p>
      <w:pPr>
        <w:spacing w:line="500" w:lineRule="exact"/>
        <w:ind w:firstLine="1240" w:firstLineChars="500"/>
        <w:jc w:val="left"/>
        <w:rPr>
          <w:rFonts w:hAnsi="宋体" w:cs="宋体"/>
          <w:spacing w:val="4"/>
          <w:highlight w:val="none"/>
        </w:rPr>
      </w:pPr>
      <w:r>
        <w:rPr>
          <w:rFonts w:hint="eastAsia" w:hAnsi="宋体" w:cs="宋体"/>
          <w:spacing w:val="4"/>
          <w:highlight w:val="none"/>
        </w:rPr>
        <w:t>电    话：</w:t>
      </w:r>
    </w:p>
    <w:p>
      <w:pPr>
        <w:spacing w:line="500" w:lineRule="exact"/>
        <w:ind w:firstLine="1240" w:firstLineChars="500"/>
        <w:jc w:val="left"/>
        <w:rPr>
          <w:rFonts w:hAnsi="宋体" w:cs="宋体"/>
          <w:spacing w:val="4"/>
          <w:highlight w:val="none"/>
        </w:rPr>
      </w:pPr>
      <w:r>
        <w:rPr>
          <w:rFonts w:hint="eastAsia" w:hAnsi="宋体" w:cs="宋体"/>
          <w:spacing w:val="4"/>
          <w:highlight w:val="none"/>
        </w:rPr>
        <w:t>传    真：</w:t>
      </w:r>
    </w:p>
    <w:p>
      <w:pPr>
        <w:spacing w:line="500" w:lineRule="exact"/>
        <w:ind w:firstLine="1240" w:firstLineChars="500"/>
        <w:jc w:val="left"/>
        <w:rPr>
          <w:rFonts w:hAnsi="宋体" w:cs="宋体"/>
          <w:spacing w:val="4"/>
          <w:highlight w:val="none"/>
        </w:rPr>
      </w:pPr>
      <w:r>
        <w:rPr>
          <w:rFonts w:hint="eastAsia" w:hAnsi="宋体" w:cs="宋体"/>
          <w:spacing w:val="4"/>
          <w:highlight w:val="none"/>
        </w:rPr>
        <w:t>投标人名称（盖章）：</w:t>
      </w:r>
    </w:p>
    <w:p>
      <w:pPr>
        <w:spacing w:line="500" w:lineRule="exact"/>
        <w:ind w:firstLine="1240" w:firstLineChars="500"/>
        <w:jc w:val="left"/>
        <w:rPr>
          <w:rFonts w:hAnsi="宋体" w:cs="宋体"/>
          <w:spacing w:val="4"/>
          <w:highlight w:val="none"/>
        </w:rPr>
      </w:pPr>
      <w:r>
        <w:rPr>
          <w:rFonts w:hint="eastAsia" w:hAnsi="宋体" w:cs="宋体"/>
          <w:spacing w:val="4"/>
          <w:highlight w:val="none"/>
        </w:rPr>
        <w:t>投标人法定代表人/被授权人签字或盖章：</w:t>
      </w:r>
    </w:p>
    <w:p>
      <w:pPr>
        <w:spacing w:line="500" w:lineRule="exact"/>
        <w:ind w:firstLine="1240" w:firstLineChars="500"/>
        <w:jc w:val="left"/>
        <w:rPr>
          <w:rFonts w:hAnsi="宋体" w:cs="宋体"/>
          <w:spacing w:val="4"/>
          <w:highlight w:val="none"/>
        </w:rPr>
      </w:pPr>
      <w:r>
        <w:rPr>
          <w:rFonts w:hint="eastAsia" w:hAnsi="宋体" w:cs="宋体"/>
          <w:spacing w:val="4"/>
          <w:highlight w:val="none"/>
        </w:rPr>
        <w:t>日    期：</w:t>
      </w:r>
    </w:p>
    <w:p>
      <w:pPr>
        <w:spacing w:before="333" w:beforeLines="100"/>
        <w:jc w:val="center"/>
        <w:outlineLvl w:val="2"/>
        <w:rPr>
          <w:rFonts w:hAnsi="宋体" w:cs="宋体"/>
          <w:b/>
          <w:bCs/>
          <w:sz w:val="32"/>
          <w:szCs w:val="32"/>
          <w:highlight w:val="none"/>
        </w:rPr>
      </w:pPr>
      <w:r>
        <w:rPr>
          <w:rFonts w:hint="eastAsia" w:hAnsi="宋体" w:cs="宋体"/>
          <w:sz w:val="28"/>
          <w:highlight w:val="none"/>
        </w:rPr>
        <w:br w:type="page"/>
      </w:r>
      <w:bookmarkStart w:id="108" w:name="_Toc29025"/>
      <w:bookmarkStart w:id="109" w:name="_Toc426457703"/>
      <w:bookmarkStart w:id="110" w:name="_Toc13665"/>
      <w:bookmarkStart w:id="111" w:name="_Toc27599"/>
      <w:bookmarkStart w:id="112" w:name="_Toc17802"/>
      <w:bookmarkStart w:id="113" w:name="_Toc21319"/>
      <w:bookmarkStart w:id="114" w:name="_Toc403077651"/>
      <w:bookmarkStart w:id="115" w:name="_Toc4332"/>
      <w:bookmarkStart w:id="116" w:name="_Toc363474030"/>
      <w:r>
        <w:rPr>
          <w:rFonts w:hint="eastAsia" w:hAnsi="宋体" w:cs="宋体"/>
          <w:b/>
          <w:bCs/>
          <w:sz w:val="32"/>
          <w:szCs w:val="32"/>
          <w:highlight w:val="none"/>
        </w:rPr>
        <w:t>二、投标报价表</w:t>
      </w:r>
      <w:bookmarkEnd w:id="108"/>
      <w:bookmarkEnd w:id="109"/>
      <w:bookmarkEnd w:id="110"/>
      <w:bookmarkEnd w:id="111"/>
      <w:bookmarkEnd w:id="112"/>
      <w:bookmarkEnd w:id="113"/>
      <w:bookmarkEnd w:id="114"/>
      <w:bookmarkEnd w:id="115"/>
      <w:bookmarkEnd w:id="116"/>
    </w:p>
    <w:p>
      <w:pPr>
        <w:jc w:val="center"/>
        <w:rPr>
          <w:rFonts w:hAnsi="宋体" w:cs="宋体"/>
          <w:b/>
          <w:sz w:val="30"/>
          <w:szCs w:val="30"/>
          <w:highlight w:val="none"/>
        </w:rPr>
      </w:pPr>
      <w:r>
        <w:rPr>
          <w:rFonts w:hint="eastAsia" w:hAnsi="宋体" w:cs="宋体"/>
          <w:b/>
          <w:sz w:val="30"/>
          <w:szCs w:val="30"/>
          <w:highlight w:val="none"/>
        </w:rPr>
        <w:t>2.1开标一览表</w:t>
      </w:r>
    </w:p>
    <w:p>
      <w:pPr>
        <w:jc w:val="left"/>
        <w:rPr>
          <w:rFonts w:hAnsi="宋体" w:cs="宋体"/>
          <w:bCs/>
          <w:szCs w:val="24"/>
          <w:highlight w:val="none"/>
        </w:rPr>
      </w:pPr>
      <w:r>
        <w:rPr>
          <w:rFonts w:hint="eastAsia" w:hAnsi="宋体" w:cs="宋体"/>
          <w:bCs/>
          <w:szCs w:val="24"/>
          <w:highlight w:val="none"/>
        </w:rPr>
        <w:t>项目名称：</w:t>
      </w:r>
    </w:p>
    <w:p>
      <w:pPr>
        <w:jc w:val="left"/>
        <w:rPr>
          <w:rFonts w:hAnsi="宋体" w:cs="宋体"/>
          <w:bCs/>
          <w:szCs w:val="24"/>
          <w:highlight w:val="none"/>
        </w:rPr>
      </w:pPr>
      <w:r>
        <w:rPr>
          <w:rFonts w:hint="eastAsia" w:hAnsi="宋体" w:cs="宋体"/>
          <w:bCs/>
          <w:szCs w:val="24"/>
          <w:highlight w:val="none"/>
        </w:rPr>
        <w:t xml:space="preserve">项目编号：                        </w:t>
      </w:r>
    </w:p>
    <w:tbl>
      <w:tblPr>
        <w:tblStyle w:val="2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2"/>
        <w:gridCol w:w="3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3270" w:type="pct"/>
            <w:vAlign w:val="center"/>
          </w:tcPr>
          <w:p>
            <w:pPr>
              <w:jc w:val="center"/>
              <w:rPr>
                <w:rFonts w:hAnsi="宋体" w:cs="宋体"/>
                <w:szCs w:val="24"/>
                <w:highlight w:val="none"/>
              </w:rPr>
            </w:pPr>
            <w:r>
              <w:rPr>
                <w:rFonts w:hint="eastAsia" w:hAnsi="宋体" w:cs="宋体"/>
                <w:szCs w:val="24"/>
                <w:highlight w:val="none"/>
              </w:rPr>
              <w:t>投标报价</w:t>
            </w:r>
          </w:p>
          <w:p>
            <w:pPr>
              <w:jc w:val="center"/>
              <w:rPr>
                <w:rFonts w:hint="eastAsia" w:hAnsi="宋体" w:eastAsia="宋体" w:cs="宋体"/>
                <w:szCs w:val="24"/>
                <w:highlight w:val="none"/>
                <w:lang w:eastAsia="zh-CN"/>
              </w:rPr>
            </w:pPr>
            <w:r>
              <w:rPr>
                <w:rFonts w:hint="eastAsia" w:hAnsi="宋体" w:cs="宋体"/>
                <w:szCs w:val="24"/>
                <w:highlight w:val="none"/>
              </w:rPr>
              <w:t>（元）</w:t>
            </w:r>
          </w:p>
        </w:tc>
        <w:tc>
          <w:tcPr>
            <w:tcW w:w="1729" w:type="pct"/>
            <w:vAlign w:val="center"/>
          </w:tcPr>
          <w:p>
            <w:pPr>
              <w:jc w:val="center"/>
              <w:rPr>
                <w:rFonts w:hint="eastAsia" w:hAnsi="宋体" w:cs="宋体"/>
                <w:szCs w:val="24"/>
                <w:highlight w:val="none"/>
              </w:rPr>
            </w:pPr>
            <w:r>
              <w:rPr>
                <w:rFonts w:hint="eastAsia" w:hAnsi="宋体" w:cs="宋体"/>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3270" w:type="pct"/>
            <w:vAlign w:val="center"/>
          </w:tcPr>
          <w:p>
            <w:pPr>
              <w:jc w:val="center"/>
              <w:rPr>
                <w:rFonts w:hAnsi="宋体" w:cs="宋体"/>
                <w:szCs w:val="24"/>
                <w:highlight w:val="none"/>
              </w:rPr>
            </w:pPr>
          </w:p>
        </w:tc>
        <w:tc>
          <w:tcPr>
            <w:tcW w:w="1729" w:type="pct"/>
            <w:vAlign w:val="center"/>
          </w:tcPr>
          <w:p>
            <w:pPr>
              <w:jc w:val="center"/>
              <w:rPr>
                <w:rFonts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5000" w:type="pct"/>
            <w:gridSpan w:val="2"/>
            <w:vAlign w:val="center"/>
          </w:tcPr>
          <w:p>
            <w:pPr>
              <w:rPr>
                <w:rFonts w:hint="eastAsia" w:hAnsi="宋体" w:cs="宋体"/>
                <w:szCs w:val="24"/>
                <w:highlight w:val="none"/>
              </w:rPr>
            </w:pPr>
            <w:r>
              <w:rPr>
                <w:rFonts w:hint="eastAsia" w:hAnsi="宋体" w:cs="宋体"/>
                <w:szCs w:val="24"/>
                <w:highlight w:val="none"/>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5000" w:type="pct"/>
            <w:gridSpan w:val="2"/>
            <w:vAlign w:val="center"/>
          </w:tcPr>
          <w:p>
            <w:pPr>
              <w:jc w:val="center"/>
              <w:rPr>
                <w:rFonts w:hint="eastAsia" w:hAnsi="宋体" w:cs="宋体"/>
                <w:szCs w:val="24"/>
                <w:highlight w:val="none"/>
              </w:rPr>
            </w:pPr>
            <w:r>
              <w:rPr>
                <w:rFonts w:hint="eastAsia" w:hAnsi="宋体" w:cs="宋体"/>
                <w:szCs w:val="24"/>
                <w:highlight w:val="none"/>
              </w:rPr>
              <w:t>备注：表内报价内容以元为单位，保留小数点后两位。</w:t>
            </w:r>
          </w:p>
        </w:tc>
      </w:tr>
    </w:tbl>
    <w:p>
      <w:pPr>
        <w:tabs>
          <w:tab w:val="left" w:pos="7200"/>
          <w:tab w:val="left" w:pos="8504"/>
        </w:tabs>
        <w:spacing w:line="360" w:lineRule="auto"/>
        <w:ind w:right="-1"/>
        <w:rPr>
          <w:rFonts w:hAnsi="宋体" w:cs="宋体"/>
          <w:highlight w:val="none"/>
        </w:rPr>
      </w:pPr>
    </w:p>
    <w:p>
      <w:pPr>
        <w:spacing w:line="120" w:lineRule="exact"/>
        <w:rPr>
          <w:rFonts w:hAnsi="宋体" w:cs="宋体"/>
          <w:highlight w:val="none"/>
        </w:rPr>
      </w:pPr>
    </w:p>
    <w:p>
      <w:pPr>
        <w:spacing w:line="480" w:lineRule="auto"/>
        <w:ind w:right="617" w:rightChars="257"/>
        <w:jc w:val="left"/>
        <w:rPr>
          <w:rFonts w:hAnsi="宋体" w:cs="宋体"/>
          <w:highlight w:val="none"/>
        </w:rPr>
      </w:pPr>
      <w:r>
        <w:rPr>
          <w:rFonts w:hint="eastAsia" w:hAnsi="宋体" w:cs="宋体"/>
          <w:highlight w:val="none"/>
        </w:rPr>
        <w:t>投标人名称：</w:t>
      </w:r>
      <w:r>
        <w:rPr>
          <w:rFonts w:hint="eastAsia" w:hAnsi="宋体" w:cs="宋体"/>
          <w:highlight w:val="none"/>
          <w:u w:val="single"/>
        </w:rPr>
        <w:t xml:space="preserve">      （加盖单位公章）      </w:t>
      </w:r>
    </w:p>
    <w:p>
      <w:pPr>
        <w:spacing w:line="480" w:lineRule="auto"/>
        <w:ind w:right="617" w:rightChars="257"/>
        <w:jc w:val="left"/>
        <w:rPr>
          <w:rFonts w:hAnsi="宋体" w:cs="宋体"/>
          <w:highlight w:val="none"/>
        </w:rPr>
      </w:pPr>
    </w:p>
    <w:p>
      <w:pPr>
        <w:spacing w:line="480" w:lineRule="auto"/>
        <w:ind w:right="617" w:rightChars="257"/>
        <w:jc w:val="left"/>
        <w:rPr>
          <w:rFonts w:hAnsi="宋体" w:cs="宋体"/>
          <w:highlight w:val="none"/>
        </w:rPr>
      </w:pPr>
      <w:r>
        <w:rPr>
          <w:rFonts w:hint="eastAsia" w:hAnsi="宋体" w:cs="宋体"/>
          <w:highlight w:val="none"/>
        </w:rPr>
        <w:t>法定代表人/</w:t>
      </w:r>
      <w:r>
        <w:rPr>
          <w:rFonts w:hint="eastAsia" w:hAnsi="宋体" w:cs="宋体"/>
          <w:szCs w:val="24"/>
          <w:highlight w:val="none"/>
        </w:rPr>
        <w:t>被授权人</w:t>
      </w:r>
      <w:r>
        <w:rPr>
          <w:rFonts w:hint="eastAsia" w:hAnsi="宋体" w:cs="宋体"/>
          <w:spacing w:val="4"/>
          <w:szCs w:val="24"/>
          <w:highlight w:val="none"/>
        </w:rPr>
        <w:t>签字或盖章</w:t>
      </w:r>
      <w:r>
        <w:rPr>
          <w:rFonts w:hint="eastAsia" w:hAnsi="宋体" w:cs="宋体"/>
          <w:highlight w:val="none"/>
        </w:rPr>
        <w:t>：</w:t>
      </w:r>
    </w:p>
    <w:p>
      <w:pPr>
        <w:spacing w:line="480" w:lineRule="auto"/>
        <w:ind w:right="617" w:rightChars="257"/>
        <w:jc w:val="left"/>
        <w:rPr>
          <w:rFonts w:hAnsi="宋体" w:cs="宋体"/>
          <w:highlight w:val="none"/>
        </w:rPr>
      </w:pPr>
    </w:p>
    <w:p>
      <w:pPr>
        <w:spacing w:line="480" w:lineRule="auto"/>
        <w:ind w:right="617" w:rightChars="257"/>
        <w:rPr>
          <w:rFonts w:hAnsi="宋体" w:cs="宋体"/>
          <w:highlight w:val="none"/>
        </w:rPr>
      </w:pPr>
      <w:r>
        <w:rPr>
          <w:rFonts w:hint="eastAsia" w:hAnsi="宋体" w:cs="宋体"/>
          <w:highlight w:val="none"/>
        </w:rPr>
        <w:t>日    期：</w:t>
      </w:r>
    </w:p>
    <w:p>
      <w:pPr>
        <w:spacing w:before="166" w:beforeLines="50" w:after="166" w:afterLines="50" w:line="480" w:lineRule="auto"/>
        <w:rPr>
          <w:rFonts w:hAnsi="宋体" w:cs="宋体"/>
          <w:szCs w:val="21"/>
          <w:highlight w:val="none"/>
          <w:u w:val="single"/>
        </w:rPr>
      </w:pPr>
      <w:r>
        <w:rPr>
          <w:rFonts w:hint="eastAsia" w:hAnsi="宋体" w:cs="宋体"/>
          <w:highlight w:val="none"/>
        </w:rPr>
        <w:t>本表应按“投标人须知”的规定密封单独提交。若有折扣声明，请与本表一并装订和密封。</w:t>
      </w:r>
    </w:p>
    <w:p>
      <w:pPr>
        <w:rPr>
          <w:rFonts w:hAnsi="宋体" w:cs="宋体"/>
          <w:highlight w:val="none"/>
        </w:rPr>
      </w:pPr>
      <w:r>
        <w:rPr>
          <w:rFonts w:hint="eastAsia" w:hAnsi="宋体" w:cs="宋体"/>
          <w:highlight w:val="none"/>
        </w:rPr>
        <w:br w:type="page"/>
      </w:r>
    </w:p>
    <w:p>
      <w:pPr>
        <w:jc w:val="center"/>
        <w:rPr>
          <w:rFonts w:hAnsi="宋体" w:cs="宋体"/>
          <w:highlight w:val="none"/>
        </w:rPr>
      </w:pPr>
      <w:r>
        <w:rPr>
          <w:rFonts w:hint="eastAsia" w:hAnsi="宋体" w:cs="宋体"/>
          <w:b/>
          <w:sz w:val="30"/>
          <w:szCs w:val="30"/>
          <w:highlight w:val="none"/>
        </w:rPr>
        <w:t>2.2投标分项报价表</w:t>
      </w:r>
      <w:r>
        <w:rPr>
          <w:rFonts w:hint="eastAsia" w:hAnsi="宋体" w:cs="宋体"/>
          <w:highlight w:val="none"/>
        </w:rPr>
        <w:t xml:space="preserve">      </w:t>
      </w:r>
    </w:p>
    <w:p>
      <w:pPr>
        <w:jc w:val="left"/>
        <w:rPr>
          <w:rFonts w:hAnsi="宋体" w:cs="宋体"/>
          <w:bCs/>
          <w:szCs w:val="24"/>
          <w:highlight w:val="none"/>
        </w:rPr>
      </w:pPr>
      <w:r>
        <w:rPr>
          <w:rFonts w:hint="eastAsia" w:hAnsi="宋体" w:cs="宋体"/>
          <w:bCs/>
          <w:szCs w:val="24"/>
          <w:highlight w:val="none"/>
        </w:rPr>
        <w:t xml:space="preserve">    项目名称：</w:t>
      </w:r>
    </w:p>
    <w:p>
      <w:pPr>
        <w:ind w:firstLine="480"/>
        <w:jc w:val="left"/>
        <w:rPr>
          <w:rFonts w:hAnsi="宋体" w:cs="宋体"/>
          <w:b/>
          <w:highlight w:val="none"/>
        </w:rPr>
      </w:pPr>
      <w:r>
        <w:rPr>
          <w:rFonts w:hint="eastAsia" w:hAnsi="宋体" w:cs="宋体"/>
          <w:bCs/>
          <w:szCs w:val="24"/>
          <w:highlight w:val="none"/>
        </w:rPr>
        <w:t xml:space="preserve">项目编号：                        </w:t>
      </w:r>
    </w:p>
    <w:p>
      <w:pPr>
        <w:spacing w:line="560" w:lineRule="exact"/>
        <w:ind w:right="617" w:rightChars="257"/>
        <w:jc w:val="center"/>
        <w:rPr>
          <w:rFonts w:hint="eastAsia" w:hAnsi="宋体" w:cs="宋体"/>
          <w:highlight w:val="none"/>
        </w:rPr>
      </w:pPr>
      <w:r>
        <w:rPr>
          <w:rFonts w:hint="eastAsia" w:hAnsi="宋体" w:cs="宋体"/>
          <w:highlight w:val="none"/>
          <w:lang w:val="en-US" w:eastAsia="zh-CN"/>
        </w:rPr>
        <w:t>格式自拟</w:t>
      </w:r>
    </w:p>
    <w:p>
      <w:pPr>
        <w:spacing w:line="560" w:lineRule="exact"/>
        <w:ind w:right="617" w:rightChars="257"/>
        <w:jc w:val="left"/>
        <w:rPr>
          <w:rFonts w:hint="eastAsia" w:hAnsi="宋体" w:cs="宋体"/>
          <w:highlight w:val="none"/>
        </w:rPr>
      </w:pPr>
    </w:p>
    <w:p>
      <w:pPr>
        <w:spacing w:line="560" w:lineRule="exact"/>
        <w:ind w:right="617" w:rightChars="257"/>
        <w:jc w:val="left"/>
        <w:rPr>
          <w:rFonts w:hAnsi="宋体" w:cs="宋体"/>
          <w:highlight w:val="none"/>
          <w:u w:val="single"/>
        </w:rPr>
      </w:pPr>
      <w:r>
        <w:rPr>
          <w:rFonts w:hint="eastAsia" w:hAnsi="宋体" w:cs="宋体"/>
          <w:highlight w:val="none"/>
        </w:rPr>
        <w:t>投标人名称：</w:t>
      </w:r>
      <w:r>
        <w:rPr>
          <w:rFonts w:hint="eastAsia" w:hAnsi="宋体" w:cs="宋体"/>
          <w:highlight w:val="none"/>
          <w:u w:val="single"/>
        </w:rPr>
        <w:t xml:space="preserve">      （加盖单位公章）      </w:t>
      </w:r>
    </w:p>
    <w:p>
      <w:pPr>
        <w:spacing w:line="560" w:lineRule="exact"/>
        <w:ind w:right="617" w:rightChars="257"/>
        <w:jc w:val="left"/>
        <w:rPr>
          <w:rFonts w:hAnsi="宋体" w:cs="宋体"/>
          <w:highlight w:val="none"/>
        </w:rPr>
      </w:pPr>
    </w:p>
    <w:p>
      <w:pPr>
        <w:spacing w:line="560" w:lineRule="exact"/>
        <w:ind w:right="617" w:rightChars="257"/>
        <w:jc w:val="left"/>
        <w:rPr>
          <w:rFonts w:hAnsi="宋体" w:cs="宋体"/>
          <w:highlight w:val="none"/>
        </w:rPr>
      </w:pPr>
      <w:r>
        <w:rPr>
          <w:rFonts w:hint="eastAsia" w:hAnsi="宋体" w:cs="宋体"/>
          <w:highlight w:val="none"/>
        </w:rPr>
        <w:t>法定代表人/被授权人签字或盖章：</w:t>
      </w:r>
    </w:p>
    <w:p>
      <w:pPr>
        <w:spacing w:line="560" w:lineRule="exact"/>
        <w:ind w:right="617" w:rightChars="257"/>
        <w:jc w:val="left"/>
        <w:rPr>
          <w:rFonts w:hAnsi="宋体" w:cs="宋体"/>
          <w:highlight w:val="none"/>
        </w:rPr>
      </w:pPr>
    </w:p>
    <w:p>
      <w:pPr>
        <w:spacing w:line="560" w:lineRule="exact"/>
        <w:ind w:right="617" w:rightChars="257"/>
        <w:rPr>
          <w:rFonts w:hAnsi="宋体" w:cs="宋体"/>
          <w:highlight w:val="none"/>
        </w:rPr>
      </w:pPr>
      <w:r>
        <w:rPr>
          <w:rFonts w:hint="eastAsia" w:hAnsi="宋体" w:cs="宋体"/>
          <w:highlight w:val="none"/>
        </w:rPr>
        <w:t>日    期：</w:t>
      </w:r>
    </w:p>
    <w:p>
      <w:pPr>
        <w:rPr>
          <w:rFonts w:hAnsi="宋体" w:cs="宋体"/>
          <w:highlight w:val="none"/>
        </w:rPr>
      </w:pPr>
    </w:p>
    <w:p>
      <w:pPr>
        <w:spacing w:line="440" w:lineRule="exact"/>
        <w:jc w:val="center"/>
        <w:rPr>
          <w:rFonts w:hAnsi="宋体" w:cs="宋体"/>
          <w:b/>
          <w:sz w:val="30"/>
          <w:szCs w:val="30"/>
          <w:highlight w:val="none"/>
        </w:rPr>
      </w:pPr>
    </w:p>
    <w:p>
      <w:pPr>
        <w:numPr>
          <w:ilvl w:val="0"/>
          <w:numId w:val="9"/>
        </w:numPr>
        <w:spacing w:line="312" w:lineRule="auto"/>
        <w:ind w:firstLine="602" w:firstLineChars="200"/>
        <w:rPr>
          <w:rFonts w:hAnsi="宋体" w:cs="宋体"/>
          <w:bCs/>
          <w:highlight w:val="none"/>
        </w:rPr>
      </w:pPr>
      <w:r>
        <w:rPr>
          <w:rFonts w:hint="eastAsia" w:hAnsi="宋体" w:cs="宋体"/>
          <w:b/>
          <w:sz w:val="30"/>
          <w:szCs w:val="30"/>
          <w:highlight w:val="none"/>
        </w:rPr>
        <w:br w:type="page"/>
      </w:r>
    </w:p>
    <w:p>
      <w:pPr>
        <w:rPr>
          <w:rFonts w:hAnsi="宋体" w:cs="宋体"/>
          <w:sz w:val="32"/>
          <w:szCs w:val="32"/>
          <w:highlight w:val="none"/>
        </w:rPr>
      </w:pPr>
      <w:bookmarkStart w:id="117" w:name="_Toc19152"/>
      <w:bookmarkStart w:id="118" w:name="_Toc4085"/>
      <w:bookmarkStart w:id="119" w:name="_Toc31326"/>
      <w:bookmarkStart w:id="120" w:name="_Toc3617"/>
      <w:bookmarkStart w:id="121" w:name="_Toc14384"/>
      <w:bookmarkStart w:id="122" w:name="_Toc8367"/>
    </w:p>
    <w:p>
      <w:pPr>
        <w:pStyle w:val="6"/>
        <w:spacing w:before="333" w:beforeLines="100"/>
        <w:rPr>
          <w:rFonts w:ascii="宋体" w:hAnsi="宋体" w:cs="宋体"/>
          <w:b w:val="0"/>
          <w:highlight w:val="none"/>
        </w:rPr>
      </w:pPr>
      <w:r>
        <w:rPr>
          <w:rFonts w:hint="eastAsia" w:ascii="宋体" w:hAnsi="宋体" w:cs="宋体"/>
          <w:sz w:val="32"/>
          <w:szCs w:val="32"/>
          <w:highlight w:val="none"/>
        </w:rPr>
        <w:t>三、投标方案说明书</w:t>
      </w:r>
      <w:bookmarkEnd w:id="117"/>
      <w:bookmarkEnd w:id="118"/>
      <w:bookmarkEnd w:id="119"/>
      <w:bookmarkEnd w:id="120"/>
      <w:bookmarkEnd w:id="121"/>
      <w:bookmarkEnd w:id="122"/>
    </w:p>
    <w:p>
      <w:pPr>
        <w:spacing w:line="360" w:lineRule="auto"/>
        <w:ind w:firstLine="480" w:firstLineChars="200"/>
        <w:rPr>
          <w:rFonts w:hint="eastAsia" w:hAnsi="宋体" w:cs="宋体"/>
          <w:szCs w:val="24"/>
          <w:highlight w:val="none"/>
        </w:rPr>
      </w:pPr>
    </w:p>
    <w:p>
      <w:pPr>
        <w:spacing w:line="360" w:lineRule="auto"/>
        <w:ind w:firstLine="480" w:firstLineChars="200"/>
        <w:rPr>
          <w:rFonts w:hint="eastAsia" w:hAnsi="宋体" w:eastAsia="宋体" w:cs="宋体"/>
          <w:szCs w:val="24"/>
          <w:highlight w:val="none"/>
          <w:lang w:eastAsia="zh-CN"/>
        </w:rPr>
      </w:pPr>
      <w:r>
        <w:rPr>
          <w:rFonts w:hint="eastAsia" w:hAnsi="宋体" w:cs="宋体"/>
          <w:szCs w:val="24"/>
          <w:highlight w:val="none"/>
        </w:rPr>
        <w:t>按照招标文件的要求编制的投标方案说明书</w:t>
      </w:r>
      <w:r>
        <w:rPr>
          <w:rFonts w:hint="eastAsia" w:hAnsi="宋体" w:cs="宋体"/>
          <w:szCs w:val="24"/>
          <w:highlight w:val="none"/>
          <w:lang w:eastAsia="zh-CN"/>
        </w:rPr>
        <w:t>，</w:t>
      </w:r>
      <w:r>
        <w:rPr>
          <w:rFonts w:hint="eastAsia" w:hAnsi="宋体" w:cs="宋体"/>
          <w:szCs w:val="24"/>
          <w:highlight w:val="none"/>
        </w:rPr>
        <w:t>参照</w:t>
      </w:r>
      <w:r>
        <w:rPr>
          <w:rFonts w:hint="eastAsia" w:hAnsi="宋体" w:cs="宋体"/>
          <w:szCs w:val="24"/>
          <w:highlight w:val="none"/>
          <w:lang w:eastAsia="zh-CN"/>
        </w:rPr>
        <w:t>“</w:t>
      </w:r>
      <w:r>
        <w:rPr>
          <w:rFonts w:hint="eastAsia" w:hAnsi="宋体" w:cs="宋体"/>
          <w:szCs w:val="24"/>
          <w:highlight w:val="none"/>
          <w:lang w:val="en-US" w:eastAsia="zh-CN"/>
        </w:rPr>
        <w:t>第五章</w:t>
      </w:r>
      <w:r>
        <w:rPr>
          <w:rFonts w:hint="eastAsia" w:hAnsi="宋体" w:cs="宋体"/>
          <w:szCs w:val="24"/>
          <w:highlight w:val="none"/>
        </w:rPr>
        <w:t>评分办法</w:t>
      </w:r>
      <w:r>
        <w:rPr>
          <w:rFonts w:hint="eastAsia" w:hAnsi="宋体" w:cs="宋体"/>
          <w:szCs w:val="24"/>
          <w:highlight w:val="none"/>
          <w:lang w:eastAsia="zh-CN"/>
        </w:rPr>
        <w:t>”</w:t>
      </w:r>
      <w:r>
        <w:rPr>
          <w:rFonts w:hint="eastAsia" w:hAnsi="宋体" w:cs="宋体"/>
          <w:szCs w:val="24"/>
          <w:highlight w:val="none"/>
        </w:rPr>
        <w:t>自行编制服务方案详细细则及内容</w:t>
      </w:r>
      <w:r>
        <w:rPr>
          <w:rFonts w:hint="eastAsia" w:hAnsi="宋体" w:cs="宋体"/>
          <w:szCs w:val="24"/>
          <w:highlight w:val="none"/>
          <w:lang w:eastAsia="zh-CN"/>
        </w:rPr>
        <w:t>。</w:t>
      </w:r>
    </w:p>
    <w:p>
      <w:pPr>
        <w:rPr>
          <w:rFonts w:hAnsi="宋体" w:cs="宋体"/>
          <w:b/>
          <w:szCs w:val="24"/>
          <w:highlight w:val="none"/>
        </w:rPr>
      </w:pPr>
      <w:r>
        <w:rPr>
          <w:rFonts w:hint="eastAsia" w:hAnsi="宋体" w:cs="宋体"/>
          <w:b/>
          <w:szCs w:val="24"/>
          <w:highlight w:val="none"/>
        </w:rPr>
        <w:br w:type="page"/>
      </w:r>
    </w:p>
    <w:p>
      <w:pPr>
        <w:pStyle w:val="6"/>
        <w:spacing w:before="333" w:beforeLines="100"/>
        <w:ind w:firstLine="321" w:firstLineChars="100"/>
        <w:rPr>
          <w:rFonts w:ascii="宋体" w:hAnsi="宋体" w:cs="宋体"/>
          <w:sz w:val="32"/>
          <w:szCs w:val="32"/>
          <w:highlight w:val="none"/>
        </w:rPr>
      </w:pPr>
      <w:bookmarkStart w:id="123" w:name="_Toc363474032"/>
      <w:bookmarkStart w:id="124" w:name="_Toc9218"/>
      <w:bookmarkStart w:id="125" w:name="_Toc403077655"/>
      <w:bookmarkStart w:id="126" w:name="_Toc426457713"/>
      <w:bookmarkStart w:id="127" w:name="_Toc1379"/>
      <w:bookmarkStart w:id="128" w:name="_Toc21284"/>
      <w:bookmarkStart w:id="129" w:name="_Toc23455"/>
      <w:bookmarkStart w:id="130" w:name="_Toc2621"/>
      <w:bookmarkStart w:id="131" w:name="_Toc13421"/>
      <w:r>
        <w:rPr>
          <w:rFonts w:hint="eastAsia" w:ascii="宋体" w:hAnsi="宋体" w:cs="宋体"/>
          <w:sz w:val="32"/>
          <w:szCs w:val="32"/>
          <w:highlight w:val="none"/>
        </w:rPr>
        <w:t>四、</w:t>
      </w:r>
      <w:bookmarkEnd w:id="123"/>
      <w:bookmarkEnd w:id="124"/>
      <w:bookmarkEnd w:id="125"/>
      <w:bookmarkEnd w:id="126"/>
      <w:bookmarkEnd w:id="127"/>
      <w:bookmarkEnd w:id="128"/>
      <w:bookmarkEnd w:id="129"/>
      <w:bookmarkEnd w:id="130"/>
      <w:r>
        <w:rPr>
          <w:rFonts w:hint="eastAsia" w:ascii="宋体" w:hAnsi="宋体" w:cs="宋体"/>
          <w:sz w:val="32"/>
          <w:szCs w:val="32"/>
          <w:highlight w:val="none"/>
        </w:rPr>
        <w:t>商务条款偏离表</w:t>
      </w:r>
      <w:bookmarkEnd w:id="131"/>
    </w:p>
    <w:p>
      <w:pPr>
        <w:pStyle w:val="21"/>
        <w:widowControl w:val="0"/>
        <w:spacing w:before="166" w:beforeLines="50" w:beforeAutospacing="0" w:after="166" w:afterLines="50" w:afterAutospacing="0"/>
        <w:ind w:firstLine="480" w:firstLineChars="200"/>
        <w:rPr>
          <w:rFonts w:cs="宋体"/>
          <w:highlight w:val="none"/>
        </w:rPr>
      </w:pPr>
      <w:r>
        <w:rPr>
          <w:rFonts w:hint="eastAsia" w:cs="宋体"/>
          <w:highlight w:val="none"/>
        </w:rPr>
        <w:t>项目编号：</w:t>
      </w:r>
    </w:p>
    <w:p>
      <w:pPr>
        <w:pStyle w:val="21"/>
        <w:widowControl w:val="0"/>
        <w:spacing w:before="166" w:beforeLines="50" w:beforeAutospacing="0" w:after="166" w:afterLines="50" w:afterAutospacing="0"/>
        <w:ind w:firstLine="480" w:firstLineChars="200"/>
        <w:rPr>
          <w:rFonts w:cs="宋体"/>
          <w:highlight w:val="none"/>
          <w:u w:val="single"/>
        </w:rPr>
      </w:pPr>
      <w:r>
        <w:rPr>
          <w:rFonts w:hint="eastAsia" w:cs="宋体"/>
          <w:highlight w:val="none"/>
        </w:rPr>
        <w:t>项目名称：</w:t>
      </w:r>
    </w:p>
    <w:p>
      <w:pPr>
        <w:pStyle w:val="21"/>
        <w:widowControl w:val="0"/>
        <w:spacing w:before="0" w:beforeAutospacing="0" w:after="0" w:afterAutospacing="0"/>
        <w:ind w:firstLine="480" w:firstLineChars="200"/>
        <w:jc w:val="center"/>
        <w:rPr>
          <w:rFonts w:cs="宋体"/>
          <w:highlight w:val="none"/>
        </w:rPr>
      </w:pPr>
    </w:p>
    <w:tbl>
      <w:tblPr>
        <w:tblStyle w:val="24"/>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jc w:val="center"/>
              <w:rPr>
                <w:rFonts w:cs="宋体"/>
                <w:highlight w:val="none"/>
              </w:rPr>
            </w:pPr>
            <w:r>
              <w:rPr>
                <w:rFonts w:hint="eastAsia" w:cs="宋体"/>
                <w:highlight w:val="none"/>
              </w:rPr>
              <w:t>序号</w:t>
            </w:r>
          </w:p>
        </w:tc>
        <w:tc>
          <w:tcPr>
            <w:tcW w:w="1935"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jc w:val="center"/>
              <w:rPr>
                <w:rFonts w:cs="宋体"/>
                <w:highlight w:val="none"/>
              </w:rPr>
            </w:pPr>
            <w:r>
              <w:rPr>
                <w:rFonts w:hint="eastAsia" w:cs="宋体"/>
                <w:highlight w:val="none"/>
              </w:rPr>
              <w:t>招标文件条目号</w:t>
            </w:r>
          </w:p>
        </w:tc>
        <w:tc>
          <w:tcPr>
            <w:tcW w:w="1995"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jc w:val="center"/>
              <w:rPr>
                <w:rFonts w:cs="宋体"/>
                <w:highlight w:val="none"/>
              </w:rPr>
            </w:pPr>
            <w:r>
              <w:rPr>
                <w:rFonts w:hint="eastAsia" w:cs="宋体"/>
                <w:highlight w:val="none"/>
              </w:rPr>
              <w:t>招标文件的商务条款</w:t>
            </w:r>
          </w:p>
        </w:tc>
        <w:tc>
          <w:tcPr>
            <w:tcW w:w="2085"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jc w:val="center"/>
              <w:rPr>
                <w:rFonts w:cs="宋体"/>
                <w:highlight w:val="none"/>
              </w:rPr>
            </w:pPr>
            <w:r>
              <w:rPr>
                <w:rFonts w:hint="eastAsia" w:cs="宋体"/>
                <w:highlight w:val="none"/>
              </w:rPr>
              <w:t>投标文件的商务条款</w:t>
            </w:r>
          </w:p>
        </w:tc>
        <w:tc>
          <w:tcPr>
            <w:tcW w:w="1260"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jc w:val="center"/>
              <w:rPr>
                <w:rFonts w:cs="宋体"/>
                <w:highlight w:val="none"/>
              </w:rPr>
            </w:pPr>
            <w:r>
              <w:rPr>
                <w:rFonts w:hint="eastAsia" w:cs="宋体"/>
                <w:highlight w:val="none"/>
              </w:rPr>
              <w:t>偏离</w:t>
            </w:r>
          </w:p>
        </w:tc>
        <w:tc>
          <w:tcPr>
            <w:tcW w:w="944"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jc w:val="center"/>
              <w:rPr>
                <w:rFonts w:cs="宋体"/>
                <w:highlight w:val="none"/>
              </w:rPr>
            </w:pPr>
            <w:r>
              <w:rPr>
                <w:rFonts w:hint="eastAsia" w:cs="宋体"/>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ind w:firstLine="480" w:firstLineChars="20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ind w:firstLine="480" w:firstLineChars="20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ind w:firstLine="480" w:firstLineChars="20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ind w:firstLine="480" w:firstLineChars="20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ind w:firstLine="480" w:firstLineChars="20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ind w:firstLine="480" w:firstLineChars="20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ind w:firstLine="480" w:firstLineChars="200"/>
              <w:jc w:val="center"/>
              <w:rPr>
                <w:rFonts w:cs="宋体"/>
                <w:highlight w:val="none"/>
              </w:rPr>
            </w:pPr>
          </w:p>
        </w:tc>
      </w:tr>
    </w:tbl>
    <w:p>
      <w:pPr>
        <w:pStyle w:val="21"/>
        <w:widowControl w:val="0"/>
        <w:spacing w:before="0" w:beforeAutospacing="0" w:after="0" w:afterAutospacing="0"/>
        <w:rPr>
          <w:rFonts w:cs="宋体"/>
          <w:highlight w:val="none"/>
        </w:rPr>
      </w:pPr>
      <w:r>
        <w:rPr>
          <w:rFonts w:hint="eastAsia" w:cs="宋体"/>
          <w:highlight w:val="none"/>
        </w:rPr>
        <w:t>说明：</w:t>
      </w:r>
    </w:p>
    <w:p>
      <w:pPr>
        <w:pStyle w:val="21"/>
        <w:widowControl w:val="0"/>
        <w:spacing w:before="0" w:beforeAutospacing="0" w:after="0" w:afterAutospacing="0"/>
        <w:ind w:firstLine="480" w:firstLineChars="200"/>
        <w:jc w:val="both"/>
        <w:rPr>
          <w:rFonts w:cs="宋体"/>
          <w:highlight w:val="none"/>
        </w:rPr>
      </w:pPr>
      <w:r>
        <w:rPr>
          <w:rFonts w:hint="eastAsia" w:cs="宋体"/>
          <w:highlight w:val="none"/>
        </w:rPr>
        <w:t>1.本表只填写投标文件中与招标文件有偏离（包括正偏离和负偏离）的内容，投标文件中商务响应与招标文件要求完全一致的，不用在此表中列出，但必须提交空白表。</w:t>
      </w:r>
    </w:p>
    <w:p>
      <w:pPr>
        <w:pStyle w:val="21"/>
        <w:widowControl w:val="0"/>
        <w:spacing w:before="0" w:beforeAutospacing="0" w:after="0" w:afterAutospacing="0"/>
        <w:ind w:firstLine="480" w:firstLineChars="200"/>
        <w:rPr>
          <w:rFonts w:cs="宋体"/>
          <w:highlight w:val="none"/>
        </w:rPr>
      </w:pPr>
      <w:r>
        <w:rPr>
          <w:rFonts w:hint="eastAsia" w:cs="宋体"/>
          <w:highlight w:val="none"/>
        </w:rPr>
        <w:t>2.投标人必须据实填写，不得虚假响应，否则将取消其投标或中标资格，并按有关规定</w:t>
      </w:r>
      <w:r>
        <w:rPr>
          <w:rFonts w:hint="eastAsia" w:cs="宋体"/>
          <w:highlight w:val="none"/>
          <w:lang w:val="en-US" w:eastAsia="zh-CN"/>
        </w:rPr>
        <w:t>进行</w:t>
      </w:r>
      <w:r>
        <w:rPr>
          <w:rFonts w:hint="eastAsia" w:cs="宋体"/>
          <w:highlight w:val="none"/>
        </w:rPr>
        <w:t>处罚。</w:t>
      </w:r>
    </w:p>
    <w:p>
      <w:pPr>
        <w:pStyle w:val="21"/>
        <w:widowControl w:val="0"/>
        <w:spacing w:before="0" w:beforeAutospacing="0" w:after="0" w:afterAutospacing="0"/>
        <w:ind w:firstLine="480" w:firstLineChars="200"/>
        <w:jc w:val="center"/>
        <w:rPr>
          <w:rFonts w:cs="宋体"/>
          <w:highlight w:val="none"/>
        </w:rPr>
      </w:pPr>
    </w:p>
    <w:p>
      <w:pPr>
        <w:pStyle w:val="21"/>
        <w:widowControl w:val="0"/>
        <w:spacing w:before="0" w:beforeAutospacing="0" w:after="0" w:afterAutospacing="0"/>
        <w:ind w:firstLine="480" w:firstLineChars="200"/>
        <w:rPr>
          <w:rFonts w:cs="宋体"/>
          <w:highlight w:val="none"/>
        </w:rPr>
      </w:pPr>
      <w:r>
        <w:rPr>
          <w:rFonts w:hint="eastAsia" w:cs="宋体"/>
          <w:highlight w:val="none"/>
        </w:rPr>
        <w:t>投标人名称：                     （单位公章）</w:t>
      </w:r>
    </w:p>
    <w:p>
      <w:pPr>
        <w:pStyle w:val="21"/>
        <w:widowControl w:val="0"/>
        <w:spacing w:before="0" w:beforeAutospacing="0" w:after="0" w:afterAutospacing="0"/>
        <w:ind w:firstLine="480" w:firstLineChars="200"/>
        <w:jc w:val="center"/>
        <w:rPr>
          <w:rFonts w:cs="宋体"/>
          <w:highlight w:val="none"/>
        </w:rPr>
      </w:pPr>
    </w:p>
    <w:p>
      <w:pPr>
        <w:pStyle w:val="21"/>
        <w:widowControl w:val="0"/>
        <w:spacing w:before="0" w:beforeAutospacing="0" w:after="0" w:afterAutospacing="0"/>
        <w:ind w:firstLine="480" w:firstLineChars="200"/>
        <w:rPr>
          <w:rFonts w:cs="宋体"/>
          <w:highlight w:val="none"/>
        </w:rPr>
      </w:pPr>
      <w:r>
        <w:rPr>
          <w:rFonts w:hint="eastAsia" w:cs="宋体"/>
          <w:highlight w:val="none"/>
        </w:rPr>
        <w:t>法定代表人或被授权人：           （</w:t>
      </w:r>
      <w:r>
        <w:rPr>
          <w:rFonts w:hint="eastAsia" w:cs="宋体"/>
          <w:spacing w:val="4"/>
          <w:highlight w:val="none"/>
        </w:rPr>
        <w:t>签字或盖章</w:t>
      </w:r>
      <w:r>
        <w:rPr>
          <w:rFonts w:hint="eastAsia" w:cs="宋体"/>
          <w:highlight w:val="none"/>
        </w:rPr>
        <w:t xml:space="preserve">）      </w:t>
      </w:r>
    </w:p>
    <w:p>
      <w:pPr>
        <w:jc w:val="center"/>
        <w:outlineLvl w:val="2"/>
        <w:rPr>
          <w:rFonts w:hAnsi="宋体" w:cs="宋体"/>
          <w:highlight w:val="none"/>
        </w:rPr>
      </w:pPr>
      <w:r>
        <w:rPr>
          <w:rFonts w:hint="eastAsia" w:hAnsi="宋体" w:cs="宋体"/>
          <w:highlight w:val="none"/>
        </w:rPr>
        <w:br w:type="page"/>
      </w:r>
      <w:bookmarkStart w:id="132" w:name="_Toc10179"/>
      <w:bookmarkStart w:id="133" w:name="_Toc6862"/>
      <w:bookmarkStart w:id="134" w:name="_Toc403077656"/>
      <w:bookmarkStart w:id="135" w:name="_Toc363474033"/>
      <w:bookmarkStart w:id="136" w:name="_Toc22990"/>
      <w:bookmarkStart w:id="137" w:name="_Toc426457714"/>
      <w:bookmarkStart w:id="138" w:name="_Toc10058"/>
      <w:bookmarkStart w:id="139" w:name="_Toc8692"/>
      <w:bookmarkStart w:id="140" w:name="_Toc6432"/>
      <w:r>
        <w:rPr>
          <w:rStyle w:val="39"/>
          <w:rFonts w:hint="eastAsia"/>
          <w:sz w:val="32"/>
          <w:szCs w:val="32"/>
          <w:highlight w:val="none"/>
        </w:rPr>
        <w:t>五、投标人拒绝政府采购领域商业贿赂承诺书</w:t>
      </w:r>
      <w:bookmarkEnd w:id="132"/>
      <w:bookmarkEnd w:id="133"/>
      <w:bookmarkEnd w:id="134"/>
      <w:bookmarkEnd w:id="135"/>
      <w:bookmarkEnd w:id="136"/>
      <w:bookmarkEnd w:id="137"/>
      <w:bookmarkEnd w:id="138"/>
      <w:bookmarkEnd w:id="139"/>
      <w:bookmarkEnd w:id="140"/>
    </w:p>
    <w:p>
      <w:pPr>
        <w:widowControl/>
        <w:spacing w:line="408" w:lineRule="auto"/>
        <w:ind w:left="274" w:leftChars="114" w:firstLine="470" w:firstLineChars="196"/>
        <w:jc w:val="left"/>
        <w:rPr>
          <w:rFonts w:hAnsi="宋体" w:cs="宋体"/>
          <w:highlight w:val="none"/>
        </w:rPr>
      </w:pPr>
      <w:r>
        <w:rPr>
          <w:rFonts w:hint="eastAsia" w:hAnsi="宋体" w:cs="宋体"/>
          <w:highlight w:val="none"/>
        </w:rPr>
        <w:t>为响应党中央、国务院关于治理政府采购领域商业贿赂行为的号召，我公司在此庄严承诺：</w:t>
      </w:r>
      <w:r>
        <w:rPr>
          <w:rFonts w:hint="eastAsia" w:hAnsi="宋体" w:cs="宋体"/>
          <w:highlight w:val="none"/>
        </w:rPr>
        <w:br w:type="textWrapping"/>
      </w:r>
      <w:r>
        <w:rPr>
          <w:rFonts w:hint="eastAsia" w:hAnsi="宋体" w:cs="宋体"/>
          <w:highlight w:val="none"/>
        </w:rPr>
        <w:t>1、在参与政府采购活动中遵纪守法、诚信经营、公平竞标。</w:t>
      </w:r>
      <w:r>
        <w:rPr>
          <w:rFonts w:hint="eastAsia" w:hAnsi="宋体" w:cs="宋体"/>
          <w:highlight w:val="none"/>
        </w:rPr>
        <w:br w:type="textWrapping"/>
      </w:r>
      <w:r>
        <w:rPr>
          <w:rFonts w:hint="eastAsia" w:hAnsi="宋体" w:cs="宋体"/>
          <w:highlight w:val="none"/>
        </w:rPr>
        <w:t>2、不向政府采购人、采购代理机构和政府采购评审专家进行任何形式的商业贿赂以谋取交易机会。</w:t>
      </w:r>
      <w:r>
        <w:rPr>
          <w:rFonts w:hint="eastAsia" w:hAnsi="宋体" w:cs="宋体"/>
          <w:highlight w:val="none"/>
        </w:rPr>
        <w:br w:type="textWrapping"/>
      </w:r>
      <w:r>
        <w:rPr>
          <w:rFonts w:hint="eastAsia" w:hAnsi="宋体" w:cs="宋体"/>
          <w:highlight w:val="none"/>
        </w:rPr>
        <w:t>3、不向政府采购代理机构和采购人提供虚假资质文件或采用虚假应标方式参与政府采购市场竞争并谋取中标、成交。</w:t>
      </w:r>
      <w:r>
        <w:rPr>
          <w:rFonts w:hint="eastAsia" w:hAnsi="宋体" w:cs="宋体"/>
          <w:highlight w:val="none"/>
        </w:rPr>
        <w:br w:type="textWrapping"/>
      </w:r>
      <w:r>
        <w:rPr>
          <w:rFonts w:hint="eastAsia" w:hAnsi="宋体" w:cs="宋体"/>
          <w:highlight w:val="none"/>
        </w:rPr>
        <w:t>4、不采取“围标、陪标”等商业欺诈手段获得政府采购</w:t>
      </w:r>
      <w:r>
        <w:rPr>
          <w:rFonts w:hint="eastAsia" w:hAnsi="宋体" w:cs="宋体"/>
          <w:highlight w:val="none"/>
          <w:lang w:eastAsia="zh-CN"/>
        </w:rPr>
        <w:t>订单</w:t>
      </w:r>
      <w:r>
        <w:rPr>
          <w:rFonts w:hint="eastAsia" w:hAnsi="宋体" w:cs="宋体"/>
          <w:highlight w:val="none"/>
        </w:rPr>
        <w:t>。</w:t>
      </w:r>
      <w:r>
        <w:rPr>
          <w:rFonts w:hint="eastAsia" w:hAnsi="宋体" w:cs="宋体"/>
          <w:highlight w:val="none"/>
        </w:rPr>
        <w:br w:type="textWrapping"/>
      </w:r>
      <w:r>
        <w:rPr>
          <w:rFonts w:hint="eastAsia" w:hAnsi="宋体" w:cs="宋体"/>
          <w:highlight w:val="none"/>
        </w:rPr>
        <w:t>5、不采取不正当手段诋毁、排挤其他投标人。</w:t>
      </w:r>
      <w:r>
        <w:rPr>
          <w:rFonts w:hint="eastAsia" w:hAnsi="宋体" w:cs="宋体"/>
          <w:highlight w:val="none"/>
        </w:rPr>
        <w:br w:type="textWrapping"/>
      </w:r>
      <w:r>
        <w:rPr>
          <w:rFonts w:hint="eastAsia" w:hAnsi="宋体" w:cs="宋体"/>
          <w:highlight w:val="none"/>
        </w:rPr>
        <w:t>6、</w:t>
      </w:r>
      <w:r>
        <w:rPr>
          <w:rFonts w:hint="eastAsia" w:hAnsi="宋体" w:cs="宋体"/>
          <w:highlight w:val="none"/>
          <w:lang w:eastAsia="zh-CN"/>
        </w:rPr>
        <w:t>不再提供</w:t>
      </w:r>
      <w:r>
        <w:rPr>
          <w:rFonts w:hint="eastAsia" w:hAnsi="宋体" w:cs="宋体"/>
          <w:highlight w:val="none"/>
        </w:rPr>
        <w:t>商品和服务时“偷梁换柱、以次充好”损害采购人的合法权益。</w:t>
      </w:r>
      <w:r>
        <w:rPr>
          <w:rFonts w:hint="eastAsia" w:hAnsi="宋体" w:cs="宋体"/>
          <w:highlight w:val="none"/>
        </w:rPr>
        <w:br w:type="textWrapping"/>
      </w:r>
      <w:r>
        <w:rPr>
          <w:rFonts w:hint="eastAsia" w:hAnsi="宋体" w:cs="宋体"/>
          <w:highlight w:val="none"/>
        </w:rPr>
        <w:t>7、不与采购人、采购代理机构政府采购评审专家</w:t>
      </w:r>
      <w:r>
        <w:rPr>
          <w:rFonts w:hint="eastAsia" w:hAnsi="宋体" w:cs="宋体"/>
          <w:highlight w:val="none"/>
          <w:lang w:eastAsia="zh-CN"/>
        </w:rPr>
        <w:t>或其他</w:t>
      </w:r>
      <w:r>
        <w:rPr>
          <w:rFonts w:hint="eastAsia" w:hAnsi="宋体" w:cs="宋体"/>
          <w:highlight w:val="none"/>
        </w:rPr>
        <w:t>投标人恶意串通，进行质疑和投诉，维护政府采购市场秩序。</w:t>
      </w:r>
      <w:r>
        <w:rPr>
          <w:rFonts w:hint="eastAsia" w:hAnsi="宋体" w:cs="宋体"/>
          <w:highlight w:val="none"/>
        </w:rPr>
        <w:br w:type="textWrapping"/>
      </w:r>
      <w:r>
        <w:rPr>
          <w:rFonts w:hint="eastAsia" w:hAnsi="宋体" w:cs="宋体"/>
          <w:highlight w:val="none"/>
        </w:rPr>
        <w:t>8、尊重和接受政府采购监督管理部门的监督和政府采购代理机构招标采购要求，承担因违约行为给采购人造成的损失。</w:t>
      </w:r>
      <w:r>
        <w:rPr>
          <w:rFonts w:hint="eastAsia" w:hAnsi="宋体" w:cs="宋体"/>
          <w:highlight w:val="none"/>
        </w:rPr>
        <w:br w:type="textWrapping"/>
      </w:r>
      <w:r>
        <w:rPr>
          <w:rFonts w:hint="eastAsia" w:hAnsi="宋体" w:cs="宋体"/>
          <w:highlight w:val="none"/>
        </w:rPr>
        <w:t>9、不发生其他有悖于政府采购公开、公平、公正和诚信原则的行为。</w:t>
      </w:r>
      <w:r>
        <w:rPr>
          <w:rFonts w:hint="eastAsia" w:hAnsi="宋体" w:cs="宋体"/>
          <w:highlight w:val="none"/>
        </w:rPr>
        <w:br w:type="textWrapping"/>
      </w:r>
    </w:p>
    <w:p>
      <w:pPr>
        <w:widowControl/>
        <w:spacing w:line="408" w:lineRule="auto"/>
        <w:ind w:left="274" w:leftChars="114"/>
        <w:jc w:val="left"/>
        <w:rPr>
          <w:rFonts w:hAnsi="宋体" w:cs="宋体"/>
          <w:highlight w:val="none"/>
        </w:rPr>
      </w:pPr>
      <w:r>
        <w:rPr>
          <w:rFonts w:hint="eastAsia" w:hAnsi="宋体" w:cs="宋体"/>
          <w:highlight w:val="none"/>
        </w:rPr>
        <w:t>承诺单位：（盖章）</w:t>
      </w:r>
      <w:r>
        <w:rPr>
          <w:rFonts w:hint="eastAsia" w:hAnsi="宋体" w:cs="宋体"/>
          <w:highlight w:val="none"/>
        </w:rPr>
        <w:br w:type="textWrapping"/>
      </w:r>
      <w:r>
        <w:rPr>
          <w:rFonts w:hint="eastAsia" w:hAnsi="宋体" w:cs="宋体"/>
          <w:highlight w:val="none"/>
        </w:rPr>
        <w:t>全权代表：（</w:t>
      </w:r>
      <w:r>
        <w:rPr>
          <w:rFonts w:hint="eastAsia" w:hAnsi="宋体" w:cs="宋体"/>
          <w:szCs w:val="24"/>
          <w:highlight w:val="none"/>
        </w:rPr>
        <w:t>签字</w:t>
      </w:r>
      <w:r>
        <w:rPr>
          <w:rFonts w:hint="eastAsia" w:hAnsi="宋体" w:cs="宋体"/>
          <w:highlight w:val="none"/>
        </w:rPr>
        <w:t>）</w:t>
      </w:r>
      <w:r>
        <w:rPr>
          <w:rFonts w:hint="eastAsia" w:hAnsi="宋体" w:cs="宋体"/>
          <w:highlight w:val="none"/>
        </w:rPr>
        <w:br w:type="textWrapping"/>
      </w:r>
      <w:r>
        <w:rPr>
          <w:rFonts w:hint="eastAsia" w:hAnsi="宋体" w:cs="宋体"/>
          <w:highlight w:val="none"/>
        </w:rPr>
        <w:t>地  址：                        </w:t>
      </w:r>
    </w:p>
    <w:p>
      <w:pPr>
        <w:widowControl/>
        <w:spacing w:line="408" w:lineRule="auto"/>
        <w:ind w:left="274" w:leftChars="114"/>
        <w:jc w:val="left"/>
        <w:rPr>
          <w:rFonts w:hAnsi="宋体" w:cs="宋体"/>
          <w:highlight w:val="none"/>
        </w:rPr>
      </w:pPr>
      <w:r>
        <w:rPr>
          <w:rFonts w:hint="eastAsia" w:hAnsi="宋体" w:cs="宋体"/>
          <w:highlight w:val="none"/>
        </w:rPr>
        <w:t>邮  编：</w:t>
      </w:r>
      <w:r>
        <w:rPr>
          <w:rFonts w:hint="eastAsia" w:hAnsi="宋体" w:cs="宋体"/>
          <w:highlight w:val="none"/>
        </w:rPr>
        <w:br w:type="textWrapping"/>
      </w:r>
      <w:r>
        <w:rPr>
          <w:rFonts w:hint="eastAsia" w:hAnsi="宋体" w:cs="宋体"/>
          <w:highlight w:val="none"/>
        </w:rPr>
        <w:t>电  话：                                                                   年  月  日</w:t>
      </w:r>
    </w:p>
    <w:p>
      <w:pPr>
        <w:pStyle w:val="6"/>
        <w:spacing w:before="333" w:beforeLines="100"/>
        <w:rPr>
          <w:rFonts w:ascii="宋体" w:hAnsi="宋体" w:cs="宋体"/>
          <w:sz w:val="32"/>
          <w:szCs w:val="32"/>
          <w:highlight w:val="none"/>
        </w:rPr>
      </w:pPr>
      <w:bookmarkStart w:id="141" w:name="_Toc8066"/>
      <w:bookmarkStart w:id="142" w:name="_Toc28113"/>
      <w:bookmarkStart w:id="143" w:name="_Toc403077657"/>
      <w:bookmarkStart w:id="144" w:name="_Toc155"/>
      <w:bookmarkStart w:id="145" w:name="_Toc7550"/>
      <w:bookmarkStart w:id="146" w:name="_Toc426457715"/>
      <w:bookmarkStart w:id="147" w:name="_Toc20139"/>
      <w:bookmarkStart w:id="148" w:name="_Toc363474034"/>
      <w:bookmarkStart w:id="149" w:name="_Toc5679"/>
      <w:r>
        <w:rPr>
          <w:rFonts w:hint="eastAsia" w:ascii="宋体" w:hAnsi="宋体" w:cs="宋体"/>
          <w:sz w:val="32"/>
          <w:szCs w:val="32"/>
          <w:highlight w:val="none"/>
        </w:rPr>
        <w:t>六、资格证明文件</w:t>
      </w:r>
      <w:bookmarkEnd w:id="141"/>
      <w:bookmarkEnd w:id="142"/>
      <w:bookmarkEnd w:id="143"/>
      <w:bookmarkEnd w:id="144"/>
      <w:bookmarkEnd w:id="145"/>
      <w:bookmarkEnd w:id="146"/>
      <w:bookmarkEnd w:id="147"/>
      <w:bookmarkEnd w:id="148"/>
      <w:bookmarkEnd w:id="149"/>
    </w:p>
    <w:p>
      <w:pPr>
        <w:spacing w:line="560" w:lineRule="exac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（1）提供合格有效的法人或者其他组织的营业执照等证明文件，自然人的身份证明；</w:t>
      </w:r>
      <w:r>
        <w:rPr>
          <w:rFonts w:hint="eastAsia" w:ascii="宋体" w:hAnsi="宋体" w:eastAsia="宋体" w:cs="宋体"/>
          <w:b w:val="0"/>
          <w:bCs w:val="0"/>
          <w:sz w:val="24"/>
          <w:szCs w:val="24"/>
          <w:highlight w:val="none"/>
        </w:rPr>
        <w:br w:type="textWrapping"/>
      </w:r>
      <w:r>
        <w:rPr>
          <w:rFonts w:hint="eastAsia" w:ascii="宋体" w:hAnsi="宋体" w:eastAsia="宋体" w:cs="宋体"/>
          <w:b w:val="0"/>
          <w:bCs w:val="0"/>
          <w:sz w:val="24"/>
          <w:szCs w:val="24"/>
          <w:highlight w:val="none"/>
        </w:rPr>
        <w:t>（2）提供法定代表人授权书（附法定代表人、被授权人身份证复印件）法定代表人直接参加投标，须提供法定代表人身份证明及身份证复印件；</w:t>
      </w:r>
      <w:r>
        <w:rPr>
          <w:rFonts w:hint="eastAsia" w:ascii="宋体" w:hAnsi="宋体" w:eastAsia="宋体" w:cs="宋体"/>
          <w:b w:val="0"/>
          <w:bCs w:val="0"/>
          <w:sz w:val="24"/>
          <w:szCs w:val="24"/>
          <w:highlight w:val="none"/>
        </w:rPr>
        <w:br w:type="textWrapping"/>
      </w:r>
      <w:r>
        <w:rPr>
          <w:rFonts w:hint="eastAsia" w:ascii="宋体" w:hAnsi="宋体" w:eastAsia="宋体" w:cs="宋体"/>
          <w:b w:val="0"/>
          <w:bCs w:val="0"/>
          <w:sz w:val="24"/>
          <w:szCs w:val="24"/>
          <w:highlight w:val="none"/>
        </w:rPr>
        <w:t>（3）财务状况报告：提供2022年度经审计的财务审计报告（成立时间至提交投标文件截止时间不足一年的可提供成立后任意时段的资产负债表）或开标时间前六个月内银行出具的资信证明；</w:t>
      </w:r>
      <w:r>
        <w:rPr>
          <w:rFonts w:hint="eastAsia" w:ascii="宋体" w:hAnsi="宋体" w:eastAsia="宋体" w:cs="宋体"/>
          <w:b w:val="0"/>
          <w:bCs w:val="0"/>
          <w:sz w:val="24"/>
          <w:szCs w:val="24"/>
          <w:highlight w:val="none"/>
        </w:rPr>
        <w:br w:type="textWrapping"/>
      </w:r>
      <w:r>
        <w:rPr>
          <w:rFonts w:hint="eastAsia" w:ascii="宋体" w:hAnsi="宋体" w:eastAsia="宋体" w:cs="宋体"/>
          <w:b w:val="0"/>
          <w:bCs w:val="0"/>
          <w:sz w:val="24"/>
          <w:szCs w:val="24"/>
          <w:highlight w:val="none"/>
        </w:rPr>
        <w:t>（4）税收缴纳证明：提供2023年度已缴纳的至少一个月纳税证明或完税证明，依法免税或无须缴纳税收的投标人，应提供相应证明文件；</w:t>
      </w:r>
      <w:r>
        <w:rPr>
          <w:rFonts w:hint="eastAsia" w:ascii="宋体" w:hAnsi="宋体" w:eastAsia="宋体" w:cs="宋体"/>
          <w:b w:val="0"/>
          <w:bCs w:val="0"/>
          <w:sz w:val="24"/>
          <w:szCs w:val="24"/>
          <w:highlight w:val="none"/>
        </w:rPr>
        <w:br w:type="textWrapping"/>
      </w:r>
      <w:r>
        <w:rPr>
          <w:rFonts w:hint="eastAsia" w:ascii="宋体" w:hAnsi="宋体" w:eastAsia="宋体" w:cs="宋体"/>
          <w:b w:val="0"/>
          <w:bCs w:val="0"/>
          <w:sz w:val="24"/>
          <w:szCs w:val="24"/>
          <w:highlight w:val="none"/>
        </w:rPr>
        <w:t>（5）社会保障资金缴纳证明：提供2023年度已缴存的至少一个月的社会保障资金缴存单据或社保机构开具的社会保险参保缴费情况证明，依法不需要缴纳社会保障资金的单位应提供相关证明材料；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b w:val="0"/>
          <w:bCs w:val="0"/>
          <w:sz w:val="24"/>
          <w:szCs w:val="24"/>
          <w:highlight w:val="none"/>
        </w:rPr>
        <w:br w:type="textWrapping"/>
      </w:r>
      <w:r>
        <w:rPr>
          <w:rFonts w:hint="eastAsia" w:ascii="宋体" w:hAnsi="宋体" w:eastAsia="宋体" w:cs="宋体"/>
          <w:b w:val="0"/>
          <w:bCs w:val="0"/>
          <w:sz w:val="24"/>
          <w:szCs w:val="24"/>
          <w:highlight w:val="none"/>
        </w:rPr>
        <w:t>（6）投标人不得为“信用中国”网站（www.creditchina.gov.cn）中列入失信被执行人、重大税收违法案件当事人名单，不得为中国政府采购网（www.ccgp.gov.cn）政府采购严重违法失信行为记录名单中被财政部门禁止参加政府采购活动的投标人；</w:t>
      </w:r>
      <w:r>
        <w:rPr>
          <w:rFonts w:hint="eastAsia" w:ascii="宋体" w:hAnsi="宋体" w:eastAsia="宋体" w:cs="宋体"/>
          <w:b w:val="0"/>
          <w:bCs w:val="0"/>
          <w:sz w:val="24"/>
          <w:szCs w:val="24"/>
          <w:highlight w:val="none"/>
        </w:rPr>
        <w:br w:type="textWrapping"/>
      </w:r>
      <w:r>
        <w:rPr>
          <w:rFonts w:hint="eastAsia" w:ascii="宋体" w:hAnsi="宋体" w:eastAsia="宋体" w:cs="宋体"/>
          <w:b w:val="0"/>
          <w:bCs w:val="0"/>
          <w:sz w:val="24"/>
          <w:szCs w:val="24"/>
          <w:highlight w:val="none"/>
        </w:rPr>
        <w:t>（7）参加政府采购活动前 3 年内，在经营活动中没有重大违法记录的书面声明；</w:t>
      </w:r>
      <w:r>
        <w:rPr>
          <w:rFonts w:hint="eastAsia" w:ascii="宋体" w:hAnsi="宋体" w:eastAsia="宋体" w:cs="宋体"/>
          <w:b w:val="0"/>
          <w:bCs w:val="0"/>
          <w:sz w:val="24"/>
          <w:szCs w:val="24"/>
          <w:highlight w:val="none"/>
        </w:rPr>
        <w:br w:type="textWrapping"/>
      </w:r>
      <w:r>
        <w:rPr>
          <w:rFonts w:hint="eastAsia" w:ascii="宋体" w:hAnsi="宋体" w:eastAsia="宋体" w:cs="宋体"/>
          <w:b w:val="0"/>
          <w:bCs w:val="0"/>
          <w:sz w:val="24"/>
          <w:szCs w:val="24"/>
          <w:highlight w:val="none"/>
        </w:rPr>
        <w:t>（8）提供具有履行合同所必需的设备和专业技术能力的承诺函；</w:t>
      </w:r>
      <w:r>
        <w:rPr>
          <w:rFonts w:hint="eastAsia" w:ascii="宋体" w:hAnsi="宋体" w:eastAsia="宋体" w:cs="宋体"/>
          <w:b w:val="0"/>
          <w:bCs w:val="0"/>
          <w:sz w:val="24"/>
          <w:szCs w:val="24"/>
          <w:highlight w:val="none"/>
        </w:rPr>
        <w:br w:type="textWrapping"/>
      </w:r>
      <w:r>
        <w:rPr>
          <w:rFonts w:hint="eastAsia" w:ascii="宋体" w:hAnsi="宋体" w:eastAsia="宋体" w:cs="宋体"/>
          <w:b w:val="0"/>
          <w:bCs w:val="0"/>
          <w:sz w:val="24"/>
          <w:szCs w:val="24"/>
          <w:highlight w:val="none"/>
        </w:rPr>
        <w:t>（9）投标人提供中小企业声明函；</w:t>
      </w:r>
      <w:r>
        <w:rPr>
          <w:rFonts w:hint="eastAsia" w:ascii="宋体" w:hAnsi="宋体" w:eastAsia="宋体" w:cs="宋体"/>
          <w:b w:val="0"/>
          <w:bCs w:val="0"/>
          <w:sz w:val="24"/>
          <w:szCs w:val="24"/>
          <w:highlight w:val="none"/>
        </w:rPr>
        <w:br w:type="textWrapping"/>
      </w:r>
      <w:r>
        <w:rPr>
          <w:rFonts w:hint="eastAsia" w:ascii="宋体" w:hAnsi="宋体" w:eastAsia="宋体" w:cs="宋体"/>
          <w:b w:val="0"/>
          <w:bCs w:val="0"/>
          <w:sz w:val="24"/>
          <w:szCs w:val="24"/>
          <w:highlight w:val="none"/>
        </w:rPr>
        <w:t>（10）本项目不接受联合体投标（需提供承诺书）。</w:t>
      </w:r>
    </w:p>
    <w:p>
      <w:pPr>
        <w:spacing w:line="56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后附相关格式：</w:t>
      </w:r>
    </w:p>
    <w:p>
      <w:pPr>
        <w:pStyle w:val="2"/>
        <w:rPr>
          <w:rFonts w:ascii="宋体" w:hAnsi="宋体" w:cs="宋体"/>
          <w:szCs w:val="24"/>
          <w:highlight w:val="none"/>
        </w:rPr>
      </w:pPr>
    </w:p>
    <w:p>
      <w:pPr>
        <w:pStyle w:val="2"/>
        <w:rPr>
          <w:rFonts w:ascii="宋体" w:hAnsi="宋体" w:cs="宋体"/>
          <w:b/>
          <w:bCs/>
          <w:sz w:val="30"/>
          <w:szCs w:val="30"/>
          <w:highlight w:val="none"/>
        </w:rPr>
        <w:sectPr>
          <w:pgSz w:w="11906" w:h="16838"/>
          <w:pgMar w:top="1417" w:right="1134" w:bottom="1417" w:left="1417" w:header="1134" w:footer="992" w:gutter="0"/>
          <w:pgNumType w:fmt="decimal"/>
          <w:cols w:space="720" w:num="1"/>
          <w:titlePg/>
          <w:docGrid w:type="lines" w:linePitch="333" w:charSpace="0"/>
        </w:sectPr>
      </w:pPr>
      <w:bookmarkStart w:id="150" w:name="_Toc426457701"/>
      <w:bookmarkStart w:id="151" w:name="_Toc4867"/>
      <w:bookmarkStart w:id="152" w:name="_Toc16097"/>
      <w:bookmarkStart w:id="153" w:name="_Toc25348"/>
      <w:bookmarkStart w:id="154" w:name="_Toc403077649"/>
      <w:bookmarkStart w:id="155" w:name="_Toc30210"/>
      <w:bookmarkStart w:id="156" w:name="_Toc19075"/>
      <w:bookmarkStart w:id="157" w:name="_Toc363474028"/>
    </w:p>
    <w:p>
      <w:pPr>
        <w:pStyle w:val="2"/>
        <w:rPr>
          <w:rFonts w:ascii="宋体" w:hAnsi="宋体" w:cs="宋体"/>
          <w:b/>
          <w:bCs/>
          <w:sz w:val="30"/>
          <w:szCs w:val="30"/>
          <w:highlight w:val="none"/>
        </w:rPr>
      </w:pPr>
      <w:r>
        <w:rPr>
          <w:rFonts w:hint="eastAsia" w:ascii="宋体" w:hAnsi="宋体" w:cs="宋体"/>
          <w:b/>
          <w:bCs/>
          <w:sz w:val="30"/>
          <w:szCs w:val="30"/>
          <w:highlight w:val="none"/>
        </w:rPr>
        <w:t>附件</w:t>
      </w:r>
      <w:r>
        <w:rPr>
          <w:rFonts w:hint="eastAsia" w:ascii="宋体" w:hAnsi="宋体" w:cs="宋体"/>
          <w:b/>
          <w:bCs/>
          <w:sz w:val="30"/>
          <w:szCs w:val="30"/>
          <w:highlight w:val="none"/>
          <w:lang w:val="en-US" w:eastAsia="zh-CN"/>
        </w:rPr>
        <w:t>1</w:t>
      </w:r>
      <w:r>
        <w:rPr>
          <w:rFonts w:hint="eastAsia" w:ascii="宋体" w:hAnsi="宋体" w:cs="宋体"/>
          <w:b/>
          <w:bCs/>
          <w:sz w:val="30"/>
          <w:szCs w:val="30"/>
          <w:highlight w:val="none"/>
        </w:rPr>
        <w:t>：</w:t>
      </w:r>
    </w:p>
    <w:p>
      <w:pPr>
        <w:spacing w:before="333" w:beforeLines="100"/>
        <w:jc w:val="center"/>
        <w:rPr>
          <w:rFonts w:hAnsi="宋体" w:cs="宋体"/>
          <w:sz w:val="30"/>
          <w:szCs w:val="30"/>
          <w:highlight w:val="none"/>
        </w:rPr>
      </w:pPr>
      <w:r>
        <w:rPr>
          <w:rFonts w:hint="eastAsia" w:hAnsi="宋体" w:cs="宋体"/>
          <w:sz w:val="30"/>
          <w:szCs w:val="30"/>
          <w:highlight w:val="none"/>
        </w:rPr>
        <w:t>法定代表人身份证明/法定代表人授权书</w:t>
      </w:r>
    </w:p>
    <w:p>
      <w:pPr>
        <w:pStyle w:val="2"/>
        <w:spacing w:before="166" w:beforeLines="50"/>
        <w:jc w:val="center"/>
        <w:rPr>
          <w:rFonts w:ascii="宋体" w:hAnsi="宋体" w:cs="宋体"/>
          <w:b/>
          <w:bCs/>
          <w:sz w:val="30"/>
          <w:szCs w:val="30"/>
          <w:highlight w:val="none"/>
        </w:rPr>
      </w:pPr>
      <w:r>
        <w:rPr>
          <w:rFonts w:hint="eastAsia" w:ascii="宋体" w:hAnsi="宋体" w:cs="宋体"/>
          <w:b/>
          <w:bCs/>
          <w:sz w:val="30"/>
          <w:szCs w:val="30"/>
          <w:highlight w:val="none"/>
        </w:rPr>
        <w:t>法定代表人身份证明</w:t>
      </w:r>
    </w:p>
    <w:p>
      <w:pPr>
        <w:autoSpaceDE w:val="0"/>
        <w:autoSpaceDN w:val="0"/>
        <w:adjustRightInd w:val="0"/>
        <w:snapToGrid w:val="0"/>
        <w:spacing w:before="166" w:beforeLines="50" w:line="360" w:lineRule="auto"/>
        <w:jc w:val="left"/>
        <w:rPr>
          <w:rFonts w:hAnsi="宋体" w:cs="宋体"/>
          <w:highlight w:val="none"/>
        </w:rPr>
      </w:pPr>
      <w:r>
        <w:rPr>
          <w:rFonts w:hint="eastAsia" w:hAnsi="宋体" w:cs="宋体"/>
          <w:highlight w:val="none"/>
        </w:rPr>
        <w:t>投标人名称：</w:t>
      </w:r>
      <w:r>
        <w:rPr>
          <w:rFonts w:hint="eastAsia" w:hAnsi="宋体" w:cs="宋体"/>
          <w:highlight w:val="none"/>
          <w:u w:val="single"/>
        </w:rPr>
        <w:t xml:space="preserve">                  </w:t>
      </w:r>
      <w:r>
        <w:rPr>
          <w:rFonts w:hint="eastAsia" w:hAnsi="宋体" w:cs="宋体"/>
          <w:highlight w:val="none"/>
        </w:rPr>
        <w:t xml:space="preserve"> </w:t>
      </w:r>
    </w:p>
    <w:p>
      <w:pPr>
        <w:autoSpaceDE w:val="0"/>
        <w:autoSpaceDN w:val="0"/>
        <w:adjustRightInd w:val="0"/>
        <w:snapToGrid w:val="0"/>
        <w:spacing w:before="166" w:beforeLines="50" w:line="360" w:lineRule="auto"/>
        <w:jc w:val="left"/>
        <w:rPr>
          <w:rFonts w:hAnsi="宋体" w:cs="宋体"/>
          <w:highlight w:val="none"/>
        </w:rPr>
      </w:pPr>
      <w:r>
        <w:rPr>
          <w:rFonts w:hint="eastAsia" w:hAnsi="宋体" w:cs="宋体"/>
          <w:highlight w:val="none"/>
        </w:rPr>
        <w:t>统一社会信用代码：</w:t>
      </w:r>
      <w:r>
        <w:rPr>
          <w:rFonts w:hint="eastAsia" w:hAnsi="宋体" w:cs="宋体"/>
          <w:highlight w:val="none"/>
          <w:u w:val="single"/>
        </w:rPr>
        <w:t xml:space="preserve">                </w:t>
      </w:r>
    </w:p>
    <w:p>
      <w:pPr>
        <w:autoSpaceDE w:val="0"/>
        <w:autoSpaceDN w:val="0"/>
        <w:adjustRightInd w:val="0"/>
        <w:snapToGrid w:val="0"/>
        <w:spacing w:before="166" w:beforeLines="50" w:line="360" w:lineRule="auto"/>
        <w:jc w:val="left"/>
        <w:rPr>
          <w:rFonts w:hAnsi="宋体" w:cs="宋体"/>
          <w:highlight w:val="none"/>
        </w:rPr>
      </w:pPr>
      <w:r>
        <w:rPr>
          <w:rFonts w:hint="eastAsia" w:hAnsi="宋体" w:cs="宋体"/>
          <w:highlight w:val="none"/>
        </w:rPr>
        <w:t>注册地址：</w:t>
      </w:r>
      <w:r>
        <w:rPr>
          <w:rFonts w:hint="eastAsia" w:hAnsi="宋体" w:cs="宋体"/>
          <w:highlight w:val="none"/>
          <w:u w:val="single"/>
        </w:rPr>
        <w:t xml:space="preserve">                        </w:t>
      </w:r>
    </w:p>
    <w:p>
      <w:pPr>
        <w:autoSpaceDE w:val="0"/>
        <w:autoSpaceDN w:val="0"/>
        <w:adjustRightInd w:val="0"/>
        <w:snapToGrid w:val="0"/>
        <w:spacing w:before="166" w:beforeLines="50" w:line="360" w:lineRule="auto"/>
        <w:jc w:val="left"/>
        <w:rPr>
          <w:rFonts w:hAnsi="宋体" w:cs="宋体"/>
          <w:highlight w:val="none"/>
        </w:rPr>
      </w:pPr>
      <w:r>
        <w:rPr>
          <w:rFonts w:hint="eastAsia" w:hAnsi="宋体" w:cs="宋体"/>
          <w:highlight w:val="none"/>
        </w:rPr>
        <w:t>成立时间：</w:t>
      </w:r>
      <w:r>
        <w:rPr>
          <w:rFonts w:hint="eastAsia" w:hAnsi="宋体" w:cs="宋体"/>
          <w:highlight w:val="none"/>
          <w:u w:val="single"/>
        </w:rPr>
        <w:t xml:space="preserve">    </w:t>
      </w:r>
      <w:r>
        <w:rPr>
          <w:rFonts w:hint="eastAsia" w:hAnsi="宋体" w:cs="宋体"/>
          <w:highlight w:val="none"/>
        </w:rPr>
        <w:t xml:space="preserve">年 </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pPr>
        <w:autoSpaceDE w:val="0"/>
        <w:autoSpaceDN w:val="0"/>
        <w:adjustRightInd w:val="0"/>
        <w:snapToGrid w:val="0"/>
        <w:spacing w:before="166" w:beforeLines="50" w:line="360" w:lineRule="auto"/>
        <w:jc w:val="left"/>
        <w:rPr>
          <w:rFonts w:hAnsi="宋体" w:cs="宋体"/>
          <w:highlight w:val="none"/>
          <w:u w:val="single"/>
        </w:rPr>
      </w:pPr>
      <w:r>
        <w:rPr>
          <w:rFonts w:hint="eastAsia" w:hAnsi="宋体" w:cs="宋体"/>
          <w:highlight w:val="none"/>
        </w:rPr>
        <w:t>经营期限：</w:t>
      </w:r>
      <w:r>
        <w:rPr>
          <w:rFonts w:hint="eastAsia" w:hAnsi="宋体" w:cs="宋体"/>
          <w:highlight w:val="none"/>
          <w:u w:val="single"/>
        </w:rPr>
        <w:t xml:space="preserve">                  </w:t>
      </w:r>
    </w:p>
    <w:p>
      <w:pPr>
        <w:autoSpaceDE w:val="0"/>
        <w:autoSpaceDN w:val="0"/>
        <w:adjustRightInd w:val="0"/>
        <w:snapToGrid w:val="0"/>
        <w:spacing w:before="166" w:beforeLines="50" w:line="360" w:lineRule="auto"/>
        <w:jc w:val="left"/>
        <w:rPr>
          <w:rFonts w:hAnsi="宋体" w:cs="宋体"/>
          <w:highlight w:val="none"/>
        </w:rPr>
      </w:pPr>
      <w:r>
        <w:rPr>
          <w:rFonts w:hint="eastAsia" w:hAnsi="宋体" w:cs="宋体"/>
          <w:highlight w:val="none"/>
        </w:rPr>
        <w:t>姓名：</w:t>
      </w:r>
      <w:r>
        <w:rPr>
          <w:rFonts w:hint="eastAsia" w:hAnsi="宋体" w:cs="宋体"/>
          <w:highlight w:val="none"/>
          <w:u w:val="single"/>
        </w:rPr>
        <w:t xml:space="preserve">      </w:t>
      </w:r>
      <w:r>
        <w:rPr>
          <w:rFonts w:hint="eastAsia" w:hAnsi="宋体" w:cs="宋体"/>
          <w:highlight w:val="none"/>
        </w:rPr>
        <w:t xml:space="preserve"> 性别：</w:t>
      </w:r>
      <w:r>
        <w:rPr>
          <w:rFonts w:hint="eastAsia" w:hAnsi="宋体" w:cs="宋体"/>
          <w:highlight w:val="none"/>
          <w:u w:val="single"/>
        </w:rPr>
        <w:t xml:space="preserve">   </w:t>
      </w:r>
      <w:r>
        <w:rPr>
          <w:rFonts w:hint="eastAsia" w:hAnsi="宋体" w:cs="宋体"/>
          <w:highlight w:val="none"/>
        </w:rPr>
        <w:t xml:space="preserve"> 年龄：</w:t>
      </w:r>
      <w:r>
        <w:rPr>
          <w:rFonts w:hint="eastAsia" w:hAnsi="宋体" w:cs="宋体"/>
          <w:highlight w:val="none"/>
          <w:u w:val="single"/>
        </w:rPr>
        <w:t xml:space="preserve">   </w:t>
      </w:r>
      <w:r>
        <w:rPr>
          <w:rFonts w:hint="eastAsia" w:hAnsi="宋体" w:cs="宋体"/>
          <w:highlight w:val="none"/>
        </w:rPr>
        <w:t xml:space="preserve"> 系</w:t>
      </w:r>
      <w:r>
        <w:rPr>
          <w:rFonts w:hint="eastAsia" w:hAnsi="宋体" w:cs="宋体"/>
          <w:highlight w:val="none"/>
          <w:u w:val="single"/>
        </w:rPr>
        <w:t xml:space="preserve">            </w:t>
      </w:r>
      <w:r>
        <w:rPr>
          <w:rFonts w:hint="eastAsia" w:hAnsi="宋体" w:cs="宋体"/>
          <w:highlight w:val="none"/>
        </w:rPr>
        <w:t>（投标人名称）的法定代表人。</w:t>
      </w:r>
    </w:p>
    <w:p>
      <w:pPr>
        <w:autoSpaceDE w:val="0"/>
        <w:autoSpaceDN w:val="0"/>
        <w:adjustRightInd w:val="0"/>
        <w:snapToGrid w:val="0"/>
        <w:spacing w:before="166" w:beforeLines="50" w:line="360" w:lineRule="auto"/>
        <w:jc w:val="left"/>
        <w:rPr>
          <w:rFonts w:hAnsi="宋体" w:cs="宋体"/>
          <w:highlight w:val="none"/>
        </w:rPr>
      </w:pPr>
      <w:r>
        <w:rPr>
          <w:rFonts w:hint="eastAsia" w:hAnsi="宋体" w:cs="宋体"/>
          <w:highlight w:val="none"/>
        </w:rPr>
        <w:t>特此证明。</w:t>
      </w:r>
    </w:p>
    <w:p>
      <w:pPr>
        <w:autoSpaceDE w:val="0"/>
        <w:autoSpaceDN w:val="0"/>
        <w:adjustRightInd w:val="0"/>
        <w:snapToGrid w:val="0"/>
        <w:spacing w:before="166" w:beforeLines="50" w:line="360" w:lineRule="auto"/>
        <w:jc w:val="left"/>
        <w:rPr>
          <w:rFonts w:hAnsi="宋体" w:cs="宋体"/>
          <w:szCs w:val="21"/>
          <w:highlight w:val="none"/>
        </w:rPr>
      </w:pPr>
      <w:r>
        <w:rPr>
          <w:rFonts w:hint="eastAsia" w:hAnsi="宋体" w:cs="宋体"/>
          <w:szCs w:val="21"/>
          <w:highlight w:val="none"/>
        </w:rPr>
        <w:t>附：法定代表人身份证复印件</w:t>
      </w:r>
    </w:p>
    <w:tbl>
      <w:tblPr>
        <w:tblStyle w:val="25"/>
        <w:tblpPr w:leftFromText="180" w:rightFromText="180" w:vertAnchor="text" w:horzAnchor="margin" w:tblpXSpec="center" w:tblpY="104"/>
        <w:tblW w:w="5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pPr>
              <w:snapToGrid w:val="0"/>
              <w:spacing w:line="480" w:lineRule="auto"/>
              <w:jc w:val="center"/>
              <w:rPr>
                <w:rFonts w:hAnsi="宋体" w:cs="宋体"/>
                <w:szCs w:val="21"/>
                <w:highlight w:val="none"/>
              </w:rPr>
            </w:pPr>
          </w:p>
          <w:p>
            <w:pPr>
              <w:snapToGrid w:val="0"/>
              <w:spacing w:line="480" w:lineRule="auto"/>
              <w:jc w:val="center"/>
              <w:rPr>
                <w:rFonts w:hAnsi="宋体" w:cs="宋体"/>
                <w:szCs w:val="21"/>
                <w:highlight w:val="none"/>
              </w:rPr>
            </w:pPr>
          </w:p>
          <w:p>
            <w:pPr>
              <w:autoSpaceDE w:val="0"/>
              <w:autoSpaceDN w:val="0"/>
              <w:adjustRightInd w:val="0"/>
              <w:snapToGrid w:val="0"/>
              <w:spacing w:before="166" w:beforeLines="50" w:line="360" w:lineRule="auto"/>
              <w:jc w:val="center"/>
              <w:rPr>
                <w:rFonts w:hAnsi="宋体" w:cs="宋体"/>
                <w:szCs w:val="21"/>
                <w:highlight w:val="none"/>
              </w:rPr>
            </w:pPr>
            <w:r>
              <w:rPr>
                <w:rFonts w:hint="eastAsia" w:hAnsi="宋体" w:cs="宋体"/>
                <w:szCs w:val="21"/>
                <w:highlight w:val="none"/>
              </w:rPr>
              <w:t>法定代表人身份证复印件粘贴处</w:t>
            </w:r>
          </w:p>
          <w:p>
            <w:pPr>
              <w:pStyle w:val="2"/>
              <w:jc w:val="center"/>
              <w:rPr>
                <w:rFonts w:ascii="宋体" w:hAnsi="宋体" w:cs="宋体"/>
                <w:highlight w:val="none"/>
              </w:rPr>
            </w:pPr>
            <w:r>
              <w:rPr>
                <w:rFonts w:hint="eastAsia" w:ascii="宋体" w:hAnsi="宋体" w:cs="宋体"/>
                <w:szCs w:val="21"/>
                <w:highlight w:val="none"/>
              </w:rPr>
              <w:t>（正反面）</w:t>
            </w:r>
          </w:p>
          <w:p>
            <w:pPr>
              <w:snapToGrid w:val="0"/>
              <w:spacing w:line="480" w:lineRule="auto"/>
              <w:jc w:val="center"/>
              <w:rPr>
                <w:rFonts w:hAnsi="宋体" w:cs="宋体"/>
                <w:szCs w:val="21"/>
                <w:highlight w:val="none"/>
              </w:rPr>
            </w:pPr>
          </w:p>
          <w:p>
            <w:pPr>
              <w:snapToGrid w:val="0"/>
              <w:spacing w:line="480" w:lineRule="auto"/>
              <w:jc w:val="center"/>
              <w:rPr>
                <w:rFonts w:hAnsi="宋体" w:cs="宋体"/>
                <w:szCs w:val="21"/>
                <w:highlight w:val="none"/>
              </w:rPr>
            </w:pPr>
          </w:p>
        </w:tc>
      </w:tr>
    </w:tbl>
    <w:p>
      <w:pPr>
        <w:snapToGrid w:val="0"/>
        <w:spacing w:line="480" w:lineRule="auto"/>
        <w:rPr>
          <w:rFonts w:hAnsi="宋体" w:cs="宋体"/>
          <w:szCs w:val="21"/>
          <w:highlight w:val="none"/>
        </w:rPr>
      </w:pPr>
    </w:p>
    <w:p>
      <w:pPr>
        <w:snapToGrid w:val="0"/>
        <w:rPr>
          <w:rFonts w:hAnsi="宋体" w:cs="宋体"/>
          <w:szCs w:val="21"/>
          <w:highlight w:val="none"/>
        </w:rPr>
      </w:pPr>
    </w:p>
    <w:p>
      <w:pPr>
        <w:snapToGrid w:val="0"/>
        <w:rPr>
          <w:rFonts w:hAnsi="宋体" w:cs="宋体"/>
          <w:szCs w:val="21"/>
          <w:highlight w:val="none"/>
        </w:rPr>
      </w:pPr>
    </w:p>
    <w:p>
      <w:pPr>
        <w:snapToGrid w:val="0"/>
        <w:rPr>
          <w:rFonts w:hAnsi="宋体" w:cs="宋体"/>
          <w:szCs w:val="21"/>
          <w:highlight w:val="none"/>
        </w:rPr>
      </w:pPr>
    </w:p>
    <w:p>
      <w:pPr>
        <w:snapToGrid w:val="0"/>
        <w:rPr>
          <w:rFonts w:hAnsi="宋体" w:cs="宋体"/>
          <w:szCs w:val="21"/>
          <w:highlight w:val="none"/>
        </w:rPr>
      </w:pPr>
    </w:p>
    <w:p>
      <w:pPr>
        <w:adjustRightInd w:val="0"/>
        <w:snapToGrid w:val="0"/>
        <w:spacing w:line="360" w:lineRule="auto"/>
        <w:rPr>
          <w:rFonts w:hAnsi="宋体" w:cs="宋体"/>
          <w:highlight w:val="none"/>
        </w:rPr>
      </w:pPr>
    </w:p>
    <w:p>
      <w:pPr>
        <w:adjustRightInd w:val="0"/>
        <w:snapToGrid w:val="0"/>
        <w:spacing w:line="360" w:lineRule="auto"/>
        <w:ind w:right="420"/>
        <w:rPr>
          <w:rFonts w:hAnsi="宋体" w:cs="宋体"/>
          <w:highlight w:val="none"/>
        </w:rPr>
      </w:pPr>
    </w:p>
    <w:p>
      <w:pPr>
        <w:adjustRightInd w:val="0"/>
        <w:snapToGrid w:val="0"/>
        <w:spacing w:line="360" w:lineRule="auto"/>
        <w:ind w:right="420"/>
        <w:rPr>
          <w:rFonts w:hAnsi="宋体" w:cs="宋体"/>
          <w:highlight w:val="none"/>
        </w:rPr>
      </w:pPr>
    </w:p>
    <w:p>
      <w:pPr>
        <w:adjustRightInd w:val="0"/>
        <w:snapToGrid w:val="0"/>
        <w:spacing w:line="360" w:lineRule="auto"/>
        <w:ind w:right="420"/>
        <w:rPr>
          <w:rFonts w:hAnsi="宋体" w:cs="宋体"/>
          <w:highlight w:val="none"/>
        </w:rPr>
      </w:pPr>
    </w:p>
    <w:p>
      <w:pPr>
        <w:adjustRightInd w:val="0"/>
        <w:snapToGrid w:val="0"/>
        <w:spacing w:line="360" w:lineRule="auto"/>
        <w:ind w:right="420"/>
        <w:rPr>
          <w:rFonts w:hAnsi="宋体" w:cs="宋体"/>
          <w:highlight w:val="none"/>
        </w:rPr>
      </w:pPr>
    </w:p>
    <w:p>
      <w:pPr>
        <w:adjustRightInd w:val="0"/>
        <w:snapToGrid w:val="0"/>
        <w:spacing w:line="360" w:lineRule="auto"/>
        <w:ind w:right="420"/>
        <w:rPr>
          <w:rFonts w:hAnsi="宋体" w:cs="宋体"/>
          <w:highlight w:val="none"/>
        </w:rPr>
      </w:pPr>
      <w:r>
        <w:rPr>
          <w:rFonts w:hint="eastAsia" w:hAnsi="宋体" w:cs="宋体"/>
          <w:highlight w:val="none"/>
        </w:rPr>
        <w:t>投标人名称（公章）：</w:t>
      </w:r>
    </w:p>
    <w:p>
      <w:pPr>
        <w:adjustRightInd w:val="0"/>
        <w:snapToGrid w:val="0"/>
        <w:spacing w:line="360" w:lineRule="auto"/>
        <w:ind w:right="420"/>
        <w:rPr>
          <w:rFonts w:hAnsi="宋体" w:cs="宋体"/>
          <w:highlight w:val="none"/>
        </w:rPr>
      </w:pPr>
      <w:r>
        <w:rPr>
          <w:rFonts w:hint="eastAsia" w:hAnsi="宋体" w:cs="宋体"/>
          <w:highlight w:val="none"/>
        </w:rPr>
        <w:t>日期：    年  月  日</w:t>
      </w:r>
    </w:p>
    <w:p>
      <w:pPr>
        <w:adjustRightInd w:val="0"/>
        <w:snapToGrid w:val="0"/>
        <w:spacing w:line="360" w:lineRule="auto"/>
        <w:ind w:right="420"/>
        <w:rPr>
          <w:rFonts w:hAnsi="宋体" w:cs="宋体"/>
          <w:highlight w:val="none"/>
        </w:rPr>
      </w:pPr>
    </w:p>
    <w:p>
      <w:pPr>
        <w:keepNext/>
        <w:spacing w:before="333" w:beforeLines="100"/>
        <w:jc w:val="center"/>
        <w:rPr>
          <w:rFonts w:hAnsi="宋体" w:cs="宋体"/>
          <w:sz w:val="32"/>
          <w:szCs w:val="32"/>
          <w:highlight w:val="none"/>
        </w:rPr>
      </w:pPr>
      <w:r>
        <w:rPr>
          <w:rFonts w:hint="eastAsia" w:hAnsi="宋体" w:cs="宋体"/>
          <w:sz w:val="32"/>
          <w:szCs w:val="32"/>
          <w:highlight w:val="none"/>
        </w:rPr>
        <w:t>法定代表人授权书</w:t>
      </w:r>
      <w:bookmarkEnd w:id="150"/>
      <w:bookmarkEnd w:id="151"/>
      <w:bookmarkEnd w:id="152"/>
      <w:bookmarkEnd w:id="153"/>
      <w:bookmarkEnd w:id="154"/>
      <w:bookmarkEnd w:id="155"/>
      <w:bookmarkEnd w:id="156"/>
      <w:bookmarkEnd w:id="157"/>
    </w:p>
    <w:p>
      <w:pPr>
        <w:rPr>
          <w:rFonts w:hAnsi="宋体" w:cs="宋体"/>
          <w:b/>
          <w:bCs/>
          <w:szCs w:val="32"/>
          <w:highlight w:val="none"/>
        </w:rPr>
      </w:pPr>
      <w:r>
        <w:rPr>
          <w:rFonts w:hint="eastAsia" w:hAnsi="宋体" w:cs="宋体"/>
          <w:highlight w:val="none"/>
        </w:rPr>
        <w:t xml:space="preserve">      </w:t>
      </w:r>
      <w:r>
        <w:rPr>
          <w:rFonts w:hint="eastAsia" w:hAnsi="宋体" w:cs="宋体"/>
          <w:szCs w:val="32"/>
          <w:highlight w:val="none"/>
        </w:rPr>
        <w:t xml:space="preserve"> </w:t>
      </w:r>
    </w:p>
    <w:p>
      <w:pPr>
        <w:spacing w:line="560" w:lineRule="exact"/>
        <w:jc w:val="left"/>
        <w:rPr>
          <w:rFonts w:hint="eastAsia" w:hAnsi="宋体" w:eastAsia="宋体" w:cs="宋体"/>
          <w:spacing w:val="4"/>
          <w:szCs w:val="24"/>
          <w:highlight w:val="none"/>
          <w:lang w:eastAsia="zh-CN"/>
        </w:rPr>
      </w:pPr>
      <w:r>
        <w:rPr>
          <w:rFonts w:hint="eastAsia" w:hAnsi="宋体" w:cs="宋体"/>
          <w:b/>
          <w:spacing w:val="4"/>
          <w:szCs w:val="24"/>
          <w:highlight w:val="none"/>
        </w:rPr>
        <w:t>致：</w:t>
      </w:r>
      <w:r>
        <w:rPr>
          <w:rFonts w:hint="eastAsia" w:hAnsi="宋体" w:cs="宋体"/>
          <w:b/>
          <w:spacing w:val="4"/>
          <w:szCs w:val="24"/>
          <w:highlight w:val="none"/>
          <w:u w:val="single"/>
          <w:lang w:eastAsia="zh-CN"/>
        </w:rPr>
        <w:t>陕西至诚项目管理集团有限公司</w:t>
      </w:r>
    </w:p>
    <w:p>
      <w:pPr>
        <w:spacing w:line="560" w:lineRule="exact"/>
        <w:ind w:firstLine="496" w:firstLineChars="200"/>
        <w:jc w:val="left"/>
        <w:rPr>
          <w:rFonts w:hAnsi="宋体" w:cs="宋体"/>
          <w:spacing w:val="4"/>
          <w:szCs w:val="24"/>
          <w:highlight w:val="none"/>
        </w:rPr>
      </w:pPr>
      <w:r>
        <w:rPr>
          <w:rFonts w:hint="eastAsia" w:hAnsi="宋体" w:cs="宋体"/>
          <w:spacing w:val="4"/>
          <w:szCs w:val="24"/>
          <w:highlight w:val="none"/>
          <w:u w:val="single"/>
        </w:rPr>
        <w:t xml:space="preserve">(投标人名称)   </w:t>
      </w:r>
      <w:r>
        <w:rPr>
          <w:rFonts w:hint="eastAsia" w:hAnsi="宋体" w:cs="宋体"/>
          <w:spacing w:val="4"/>
          <w:szCs w:val="24"/>
          <w:highlight w:val="none"/>
        </w:rPr>
        <w:t>按中华人民共和国法律于</w:t>
      </w:r>
      <w:r>
        <w:rPr>
          <w:rFonts w:hint="eastAsia" w:hAnsi="宋体" w:cs="宋体"/>
          <w:spacing w:val="4"/>
          <w:szCs w:val="24"/>
          <w:highlight w:val="none"/>
          <w:u w:val="single"/>
        </w:rPr>
        <w:t xml:space="preserve">（  年  月  日 ）  </w:t>
      </w:r>
      <w:r>
        <w:rPr>
          <w:rFonts w:hint="eastAsia" w:hAnsi="宋体" w:cs="宋体"/>
          <w:spacing w:val="4"/>
          <w:szCs w:val="24"/>
          <w:highlight w:val="none"/>
        </w:rPr>
        <w:t>成立。</w:t>
      </w:r>
      <w:r>
        <w:rPr>
          <w:rFonts w:hint="eastAsia" w:hAnsi="宋体" w:cs="宋体"/>
          <w:spacing w:val="4"/>
          <w:szCs w:val="24"/>
          <w:highlight w:val="none"/>
          <w:u w:val="single"/>
        </w:rPr>
        <w:t>(</w:t>
      </w:r>
      <w:r>
        <w:rPr>
          <w:rFonts w:hint="eastAsia" w:hAnsi="宋体" w:cs="宋体"/>
          <w:szCs w:val="24"/>
          <w:highlight w:val="none"/>
          <w:u w:val="single"/>
        </w:rPr>
        <w:t>法定代表人</w:t>
      </w:r>
      <w:r>
        <w:rPr>
          <w:rFonts w:hint="eastAsia" w:hAnsi="宋体" w:cs="宋体"/>
          <w:spacing w:val="4"/>
          <w:szCs w:val="24"/>
          <w:highlight w:val="none"/>
          <w:u w:val="single"/>
        </w:rPr>
        <w:t>姓名)</w:t>
      </w:r>
      <w:r>
        <w:rPr>
          <w:rFonts w:hint="eastAsia" w:hAnsi="宋体" w:cs="宋体"/>
          <w:spacing w:val="4"/>
          <w:szCs w:val="24"/>
          <w:highlight w:val="none"/>
        </w:rPr>
        <w:t>特授权</w:t>
      </w:r>
      <w:r>
        <w:rPr>
          <w:rFonts w:hint="eastAsia" w:hAnsi="宋体" w:cs="宋体"/>
          <w:spacing w:val="4"/>
          <w:szCs w:val="24"/>
          <w:highlight w:val="none"/>
          <w:u w:val="single"/>
        </w:rPr>
        <w:t xml:space="preserve">（ </w:t>
      </w:r>
      <w:r>
        <w:rPr>
          <w:rFonts w:hint="eastAsia" w:hAnsi="宋体" w:cs="宋体"/>
          <w:szCs w:val="24"/>
          <w:highlight w:val="none"/>
          <w:u w:val="single"/>
        </w:rPr>
        <w:t>授权代表</w:t>
      </w:r>
      <w:r>
        <w:rPr>
          <w:rFonts w:hint="eastAsia" w:hAnsi="宋体" w:cs="宋体"/>
          <w:spacing w:val="4"/>
          <w:szCs w:val="24"/>
          <w:highlight w:val="none"/>
          <w:u w:val="single"/>
        </w:rPr>
        <w:t>姓名 ）</w:t>
      </w:r>
      <w:r>
        <w:rPr>
          <w:rFonts w:hint="eastAsia" w:hAnsi="宋体" w:cs="宋体"/>
          <w:spacing w:val="4"/>
          <w:szCs w:val="24"/>
          <w:highlight w:val="none"/>
        </w:rPr>
        <w:t xml:space="preserve">代表我公司全权办理针对本次 </w:t>
      </w:r>
      <w:r>
        <w:rPr>
          <w:rFonts w:hint="eastAsia" w:hAnsi="宋体" w:cs="宋体"/>
          <w:spacing w:val="4"/>
          <w:szCs w:val="24"/>
          <w:highlight w:val="none"/>
          <w:u w:val="single"/>
        </w:rPr>
        <w:t xml:space="preserve">（项目名称、项目编号）    </w:t>
      </w:r>
      <w:r>
        <w:rPr>
          <w:rFonts w:hint="eastAsia" w:hAnsi="宋体" w:cs="宋体"/>
          <w:spacing w:val="4"/>
          <w:szCs w:val="24"/>
          <w:highlight w:val="none"/>
        </w:rPr>
        <w:t>投标、谈判、签约等具体工作，并签署全部有关的文件、协议及合同。</w:t>
      </w:r>
    </w:p>
    <w:p>
      <w:pPr>
        <w:spacing w:line="560" w:lineRule="exact"/>
        <w:ind w:firstLine="496" w:firstLineChars="200"/>
        <w:jc w:val="left"/>
        <w:rPr>
          <w:rFonts w:hAnsi="宋体" w:cs="宋体"/>
          <w:spacing w:val="4"/>
          <w:szCs w:val="24"/>
          <w:highlight w:val="none"/>
        </w:rPr>
      </w:pPr>
      <w:r>
        <w:rPr>
          <w:rFonts w:hint="eastAsia" w:hAnsi="宋体" w:cs="宋体"/>
          <w:spacing w:val="4"/>
          <w:szCs w:val="24"/>
          <w:highlight w:val="none"/>
        </w:rPr>
        <w:t>我公司对</w:t>
      </w:r>
      <w:r>
        <w:rPr>
          <w:rFonts w:hint="eastAsia" w:hAnsi="宋体" w:cs="宋体"/>
          <w:szCs w:val="24"/>
          <w:highlight w:val="none"/>
        </w:rPr>
        <w:t>授权代表</w:t>
      </w:r>
      <w:r>
        <w:rPr>
          <w:rFonts w:hint="eastAsia" w:hAnsi="宋体" w:cs="宋体"/>
          <w:spacing w:val="4"/>
          <w:szCs w:val="24"/>
          <w:highlight w:val="none"/>
        </w:rPr>
        <w:t>的签名负全部责任。</w:t>
      </w:r>
    </w:p>
    <w:p>
      <w:pPr>
        <w:spacing w:line="560" w:lineRule="exact"/>
        <w:ind w:right="617" w:rightChars="257" w:firstLine="480" w:firstLineChars="200"/>
        <w:jc w:val="left"/>
        <w:rPr>
          <w:rFonts w:hAnsi="宋体" w:cs="宋体"/>
          <w:szCs w:val="24"/>
          <w:highlight w:val="none"/>
        </w:rPr>
      </w:pPr>
      <w:r>
        <w:rPr>
          <w:rFonts w:hint="eastAsia" w:hAnsi="宋体" w:cs="宋体"/>
          <w:szCs w:val="24"/>
          <w:highlight w:val="none"/>
        </w:rPr>
        <w:t>委托期限：</w:t>
      </w:r>
      <w:r>
        <w:rPr>
          <w:rFonts w:hint="eastAsia" w:hAnsi="宋体" w:cs="宋体"/>
          <w:highlight w:val="none"/>
          <w:lang w:val="zh-CN"/>
        </w:rPr>
        <w:t>自开标之日起</w:t>
      </w:r>
      <w:r>
        <w:rPr>
          <w:rFonts w:hint="eastAsia" w:hAnsi="宋体" w:cs="宋体"/>
          <w:highlight w:val="none"/>
        </w:rPr>
        <w:t>90</w:t>
      </w:r>
      <w:r>
        <w:rPr>
          <w:rFonts w:hint="eastAsia" w:hAnsi="宋体" w:cs="宋体"/>
          <w:highlight w:val="none"/>
          <w:lang w:val="zh-CN"/>
        </w:rPr>
        <w:t>天。</w:t>
      </w:r>
    </w:p>
    <w:p>
      <w:pPr>
        <w:spacing w:line="560" w:lineRule="exact"/>
        <w:ind w:firstLine="496" w:firstLineChars="200"/>
        <w:jc w:val="left"/>
        <w:rPr>
          <w:rFonts w:hAnsi="宋体" w:cs="宋体"/>
          <w:spacing w:val="4"/>
          <w:szCs w:val="24"/>
          <w:highlight w:val="none"/>
        </w:rPr>
      </w:pPr>
      <w:r>
        <w:rPr>
          <w:rFonts w:hint="eastAsia" w:hAnsi="宋体" w:cs="宋体"/>
          <w:spacing w:val="4"/>
          <w:szCs w:val="24"/>
          <w:highlight w:val="none"/>
        </w:rPr>
        <w:t>本授权书于</w:t>
      </w:r>
      <w:r>
        <w:rPr>
          <w:rFonts w:hint="eastAsia" w:hAnsi="宋体" w:cs="宋体"/>
          <w:spacing w:val="4"/>
          <w:szCs w:val="24"/>
          <w:highlight w:val="none"/>
          <w:u w:val="single"/>
        </w:rPr>
        <w:t xml:space="preserve">      年   月   日</w:t>
      </w:r>
      <w:r>
        <w:rPr>
          <w:rFonts w:hint="eastAsia" w:hAnsi="宋体" w:cs="宋体"/>
          <w:spacing w:val="4"/>
          <w:szCs w:val="24"/>
          <w:highlight w:val="none"/>
        </w:rPr>
        <w:t>签章生效，特此证明。</w:t>
      </w:r>
    </w:p>
    <w:tbl>
      <w:tblPr>
        <w:tblStyle w:val="24"/>
        <w:tblW w:w="8190" w:type="dxa"/>
        <w:tblInd w:w="633" w:type="dxa"/>
        <w:tblLayout w:type="fixed"/>
        <w:tblCellMar>
          <w:top w:w="0" w:type="dxa"/>
          <w:left w:w="108" w:type="dxa"/>
          <w:bottom w:w="0" w:type="dxa"/>
          <w:right w:w="108" w:type="dxa"/>
        </w:tblCellMar>
      </w:tblPr>
      <w:tblGrid>
        <w:gridCol w:w="4200"/>
        <w:gridCol w:w="3990"/>
      </w:tblGrid>
      <w:tr>
        <w:tblPrEx>
          <w:tblCellMar>
            <w:top w:w="0" w:type="dxa"/>
            <w:left w:w="108" w:type="dxa"/>
            <w:bottom w:w="0" w:type="dxa"/>
            <w:right w:w="108" w:type="dxa"/>
          </w:tblCellMar>
        </w:tblPrEx>
        <w:trPr>
          <w:trHeight w:val="600" w:hRule="atLeast"/>
        </w:trPr>
        <w:tc>
          <w:tcPr>
            <w:tcW w:w="4200" w:type="dxa"/>
          </w:tcPr>
          <w:p>
            <w:pPr>
              <w:spacing w:line="520" w:lineRule="exact"/>
              <w:jc w:val="left"/>
              <w:rPr>
                <w:rFonts w:hAnsi="宋体" w:cs="宋体"/>
                <w:spacing w:val="4"/>
                <w:szCs w:val="24"/>
                <w:highlight w:val="none"/>
              </w:rPr>
            </w:pPr>
            <w:r>
              <w:rPr>
                <w:rFonts w:hint="eastAsia" w:hAnsi="宋体" w:cs="宋体"/>
                <w:spacing w:val="4"/>
                <w:szCs w:val="24"/>
                <w:highlight w:val="none"/>
              </w:rPr>
              <w:t>被授权人签字或盖章：</w:t>
            </w:r>
          </w:p>
        </w:tc>
        <w:tc>
          <w:tcPr>
            <w:tcW w:w="3990" w:type="dxa"/>
          </w:tcPr>
          <w:p>
            <w:pPr>
              <w:spacing w:line="520" w:lineRule="exact"/>
              <w:jc w:val="left"/>
              <w:rPr>
                <w:rFonts w:hAnsi="宋体" w:cs="宋体"/>
                <w:spacing w:val="4"/>
                <w:szCs w:val="24"/>
                <w:highlight w:val="none"/>
              </w:rPr>
            </w:pPr>
            <w:r>
              <w:rPr>
                <w:rFonts w:hint="eastAsia" w:hAnsi="宋体" w:cs="宋体"/>
                <w:szCs w:val="24"/>
                <w:highlight w:val="none"/>
              </w:rPr>
              <w:t>法定代表人</w:t>
            </w:r>
            <w:r>
              <w:rPr>
                <w:rFonts w:hint="eastAsia" w:hAnsi="宋体" w:cs="宋体"/>
                <w:spacing w:val="4"/>
                <w:szCs w:val="24"/>
                <w:highlight w:val="none"/>
              </w:rPr>
              <w:t>签字或盖章：</w:t>
            </w:r>
          </w:p>
        </w:tc>
      </w:tr>
      <w:tr>
        <w:tblPrEx>
          <w:tblCellMar>
            <w:top w:w="0" w:type="dxa"/>
            <w:left w:w="108" w:type="dxa"/>
            <w:bottom w:w="0" w:type="dxa"/>
            <w:right w:w="108" w:type="dxa"/>
          </w:tblCellMar>
        </w:tblPrEx>
        <w:trPr>
          <w:trHeight w:val="600" w:hRule="atLeast"/>
        </w:trPr>
        <w:tc>
          <w:tcPr>
            <w:tcW w:w="4200" w:type="dxa"/>
          </w:tcPr>
          <w:p>
            <w:pPr>
              <w:spacing w:line="520" w:lineRule="exact"/>
              <w:jc w:val="left"/>
              <w:rPr>
                <w:rFonts w:hAnsi="宋体" w:cs="宋体"/>
                <w:spacing w:val="4"/>
                <w:szCs w:val="24"/>
                <w:highlight w:val="none"/>
              </w:rPr>
            </w:pPr>
            <w:r>
              <w:rPr>
                <w:rFonts w:hint="eastAsia" w:hAnsi="宋体" w:cs="宋体"/>
                <w:spacing w:val="4"/>
                <w:szCs w:val="24"/>
                <w:highlight w:val="none"/>
              </w:rPr>
              <w:t>职务：</w:t>
            </w:r>
          </w:p>
        </w:tc>
        <w:tc>
          <w:tcPr>
            <w:tcW w:w="3990" w:type="dxa"/>
          </w:tcPr>
          <w:p>
            <w:pPr>
              <w:spacing w:line="520" w:lineRule="exact"/>
              <w:jc w:val="left"/>
              <w:rPr>
                <w:rFonts w:hAnsi="宋体" w:cs="宋体"/>
                <w:spacing w:val="4"/>
                <w:szCs w:val="24"/>
                <w:highlight w:val="none"/>
              </w:rPr>
            </w:pPr>
            <w:r>
              <w:rPr>
                <w:rFonts w:hint="eastAsia" w:hAnsi="宋体" w:cs="宋体"/>
                <w:spacing w:val="4"/>
                <w:szCs w:val="24"/>
                <w:highlight w:val="none"/>
              </w:rPr>
              <w:t>职务：</w:t>
            </w:r>
          </w:p>
        </w:tc>
      </w:tr>
      <w:tr>
        <w:tblPrEx>
          <w:tblCellMar>
            <w:top w:w="0" w:type="dxa"/>
            <w:left w:w="108" w:type="dxa"/>
            <w:bottom w:w="0" w:type="dxa"/>
            <w:right w:w="108" w:type="dxa"/>
          </w:tblCellMar>
        </w:tblPrEx>
        <w:trPr>
          <w:trHeight w:val="600" w:hRule="atLeast"/>
        </w:trPr>
        <w:tc>
          <w:tcPr>
            <w:tcW w:w="4200" w:type="dxa"/>
          </w:tcPr>
          <w:p>
            <w:pPr>
              <w:spacing w:line="520" w:lineRule="exact"/>
              <w:jc w:val="left"/>
              <w:rPr>
                <w:rFonts w:hAnsi="宋体" w:cs="宋体"/>
                <w:spacing w:val="4"/>
                <w:szCs w:val="24"/>
                <w:highlight w:val="none"/>
              </w:rPr>
            </w:pPr>
            <w:r>
              <w:rPr>
                <w:rFonts w:hint="eastAsia" w:hAnsi="宋体" w:cs="宋体"/>
                <w:spacing w:val="4"/>
                <w:szCs w:val="24"/>
                <w:highlight w:val="none"/>
              </w:rPr>
              <w:t>身份证号：</w:t>
            </w:r>
          </w:p>
        </w:tc>
        <w:tc>
          <w:tcPr>
            <w:tcW w:w="3990" w:type="dxa"/>
          </w:tcPr>
          <w:p>
            <w:pPr>
              <w:spacing w:line="520" w:lineRule="exact"/>
              <w:jc w:val="left"/>
              <w:rPr>
                <w:rFonts w:hAnsi="宋体" w:cs="宋体"/>
                <w:spacing w:val="4"/>
                <w:szCs w:val="24"/>
                <w:highlight w:val="none"/>
              </w:rPr>
            </w:pPr>
            <w:r>
              <w:rPr>
                <w:rFonts w:hint="eastAsia" w:hAnsi="宋体" w:cs="宋体"/>
                <w:spacing w:val="4"/>
                <w:szCs w:val="24"/>
                <w:highlight w:val="none"/>
              </w:rPr>
              <w:t>身份证号：</w:t>
            </w:r>
          </w:p>
        </w:tc>
      </w:tr>
      <w:tr>
        <w:tblPrEx>
          <w:tblCellMar>
            <w:top w:w="0" w:type="dxa"/>
            <w:left w:w="108" w:type="dxa"/>
            <w:bottom w:w="0" w:type="dxa"/>
            <w:right w:w="108" w:type="dxa"/>
          </w:tblCellMar>
        </w:tblPrEx>
        <w:trPr>
          <w:trHeight w:val="600" w:hRule="atLeast"/>
        </w:trPr>
        <w:tc>
          <w:tcPr>
            <w:tcW w:w="4200" w:type="dxa"/>
          </w:tcPr>
          <w:p>
            <w:pPr>
              <w:spacing w:line="520" w:lineRule="exact"/>
              <w:jc w:val="left"/>
              <w:rPr>
                <w:rFonts w:hAnsi="宋体" w:cs="宋体"/>
                <w:spacing w:val="4"/>
                <w:szCs w:val="24"/>
                <w:highlight w:val="none"/>
              </w:rPr>
            </w:pPr>
            <w:r>
              <w:rPr>
                <w:rFonts w:hint="eastAsia" w:hAnsi="宋体" w:cs="宋体"/>
                <w:spacing w:val="4"/>
                <w:szCs w:val="24"/>
                <w:highlight w:val="none"/>
              </w:rPr>
              <w:t>所在部门：</w:t>
            </w:r>
          </w:p>
        </w:tc>
        <w:tc>
          <w:tcPr>
            <w:tcW w:w="3990" w:type="dxa"/>
          </w:tcPr>
          <w:p>
            <w:pPr>
              <w:spacing w:line="520" w:lineRule="exact"/>
              <w:jc w:val="left"/>
              <w:rPr>
                <w:rFonts w:hAnsi="宋体" w:cs="宋体"/>
                <w:spacing w:val="4"/>
                <w:szCs w:val="24"/>
                <w:highlight w:val="none"/>
              </w:rPr>
            </w:pPr>
          </w:p>
        </w:tc>
      </w:tr>
    </w:tbl>
    <w:p>
      <w:pPr>
        <w:spacing w:before="240" w:line="360" w:lineRule="auto"/>
        <w:ind w:firstLine="480" w:firstLineChars="200"/>
        <w:rPr>
          <w:rFonts w:hAnsi="宋体" w:cs="宋体"/>
          <w:color w:val="000000"/>
          <w:highlight w:val="none"/>
          <w:u w:val="single"/>
        </w:rPr>
      </w:pPr>
      <w:r>
        <w:rPr>
          <w:rFonts w:hint="eastAsia" w:hAnsi="宋体" w:cs="宋体"/>
          <w:color w:val="000000"/>
          <w:highlight w:val="none"/>
          <w:lang w:val="zh-CN"/>
        </w:rPr>
        <w:t>附法定代表人</w:t>
      </w:r>
      <w:r>
        <w:rPr>
          <w:rFonts w:hint="eastAsia" w:hAnsi="宋体" w:cs="宋体"/>
          <w:color w:val="000000"/>
          <w:highlight w:val="none"/>
        </w:rPr>
        <w:t>、</w:t>
      </w:r>
      <w:r>
        <w:rPr>
          <w:rFonts w:hint="eastAsia" w:hAnsi="宋体" w:cs="宋体"/>
          <w:color w:val="000000"/>
          <w:highlight w:val="none"/>
          <w:lang w:val="zh-CN"/>
        </w:rPr>
        <w:t>授权代表身份证复印件</w:t>
      </w:r>
    </w:p>
    <w:tbl>
      <w:tblPr>
        <w:tblStyle w:val="24"/>
        <w:tblW w:w="8357" w:type="dxa"/>
        <w:tblInd w:w="540" w:type="dxa"/>
        <w:tblLayout w:type="fixed"/>
        <w:tblCellMar>
          <w:top w:w="0" w:type="dxa"/>
          <w:left w:w="108" w:type="dxa"/>
          <w:bottom w:w="0" w:type="dxa"/>
          <w:right w:w="108" w:type="dxa"/>
        </w:tblCellMar>
      </w:tblPr>
      <w:tblGrid>
        <w:gridCol w:w="4246"/>
        <w:gridCol w:w="4111"/>
      </w:tblGrid>
      <w:tr>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宋体"/>
                <w:color w:val="000000"/>
                <w:szCs w:val="21"/>
                <w:highlight w:val="none"/>
                <w:lang w:val="zh-CN"/>
              </w:rPr>
            </w:pPr>
            <w:r>
              <w:rPr>
                <w:rFonts w:hint="eastAsia" w:hAnsi="宋体" w:cs="宋体"/>
                <w:color w:val="000000"/>
                <w:szCs w:val="21"/>
                <w:highlight w:val="none"/>
                <w:lang w:val="zh-CN"/>
              </w:rPr>
              <w:t>法定代表人身份证复印件粘贴处</w:t>
            </w:r>
          </w:p>
          <w:p>
            <w:pPr>
              <w:spacing w:line="360" w:lineRule="auto"/>
              <w:jc w:val="center"/>
              <w:rPr>
                <w:rFonts w:hAnsi="宋体" w:cs="宋体"/>
                <w:color w:val="000000"/>
                <w:szCs w:val="21"/>
                <w:highlight w:val="none"/>
                <w:u w:val="single"/>
              </w:rPr>
            </w:pPr>
            <w:r>
              <w:rPr>
                <w:rFonts w:hint="eastAsia" w:hAnsi="宋体" w:cs="宋体"/>
                <w:color w:val="000000"/>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before="166" w:beforeLines="50" w:line="360" w:lineRule="auto"/>
              <w:jc w:val="center"/>
              <w:rPr>
                <w:rFonts w:hAnsi="宋体" w:cs="宋体"/>
                <w:color w:val="000000"/>
                <w:szCs w:val="21"/>
                <w:highlight w:val="none"/>
              </w:rPr>
            </w:pPr>
            <w:r>
              <w:rPr>
                <w:rFonts w:hint="eastAsia" w:hAnsi="宋体" w:cs="宋体"/>
                <w:szCs w:val="24"/>
                <w:highlight w:val="none"/>
              </w:rPr>
              <w:t>授权代表</w:t>
            </w:r>
            <w:r>
              <w:rPr>
                <w:rFonts w:hint="eastAsia" w:hAnsi="宋体" w:cs="宋体"/>
                <w:color w:val="000000"/>
                <w:szCs w:val="21"/>
                <w:highlight w:val="none"/>
              </w:rPr>
              <w:t>身份证复印件粘贴处</w:t>
            </w:r>
          </w:p>
          <w:p>
            <w:pPr>
              <w:autoSpaceDE w:val="0"/>
              <w:autoSpaceDN w:val="0"/>
              <w:adjustRightInd w:val="0"/>
              <w:snapToGrid w:val="0"/>
              <w:spacing w:before="166" w:beforeLines="50" w:line="360" w:lineRule="auto"/>
              <w:jc w:val="center"/>
              <w:rPr>
                <w:rFonts w:hAnsi="宋体" w:cs="宋体"/>
                <w:color w:val="000000"/>
                <w:highlight w:val="none"/>
                <w:u w:val="single"/>
              </w:rPr>
            </w:pPr>
            <w:r>
              <w:rPr>
                <w:rFonts w:hint="eastAsia" w:hAnsi="宋体" w:cs="宋体"/>
                <w:color w:val="000000"/>
                <w:szCs w:val="21"/>
                <w:highlight w:val="none"/>
              </w:rPr>
              <w:t>（正反面）</w:t>
            </w:r>
          </w:p>
        </w:tc>
      </w:tr>
    </w:tbl>
    <w:p>
      <w:pPr>
        <w:spacing w:line="480" w:lineRule="auto"/>
        <w:ind w:left="485" w:leftChars="202" w:right="617" w:rightChars="257"/>
        <w:jc w:val="left"/>
        <w:rPr>
          <w:rFonts w:hAnsi="宋体" w:cs="宋体"/>
          <w:highlight w:val="none"/>
        </w:rPr>
      </w:pPr>
      <w:r>
        <w:rPr>
          <w:rFonts w:hint="eastAsia" w:hAnsi="宋体" w:cs="宋体"/>
          <w:highlight w:val="none"/>
        </w:rPr>
        <w:t>投标人名称：</w:t>
      </w:r>
      <w:r>
        <w:rPr>
          <w:rFonts w:hint="eastAsia" w:hAnsi="宋体" w:cs="宋体"/>
          <w:highlight w:val="none"/>
          <w:u w:val="single"/>
        </w:rPr>
        <w:t xml:space="preserve">      （加盖单位公章）      </w:t>
      </w:r>
    </w:p>
    <w:p>
      <w:pPr>
        <w:spacing w:line="440" w:lineRule="exact"/>
        <w:ind w:left="485" w:leftChars="202"/>
        <w:rPr>
          <w:rFonts w:hAnsi="宋体" w:cs="宋体"/>
          <w:spacing w:val="4"/>
          <w:szCs w:val="30"/>
          <w:highlight w:val="none"/>
        </w:rPr>
      </w:pPr>
      <w:r>
        <w:rPr>
          <w:rFonts w:hint="eastAsia" w:hAnsi="宋体" w:cs="宋体"/>
          <w:spacing w:val="4"/>
          <w:szCs w:val="30"/>
          <w:highlight w:val="none"/>
        </w:rPr>
        <w:t>日   期：</w:t>
      </w:r>
    </w:p>
    <w:p>
      <w:pPr>
        <w:ind w:firstLine="482" w:firstLineChars="200"/>
        <w:rPr>
          <w:rFonts w:hAnsi="宋体" w:cs="宋体"/>
          <w:b/>
          <w:bCs/>
          <w:highlight w:val="none"/>
          <w:lang w:val="zh-CN"/>
        </w:rPr>
      </w:pPr>
    </w:p>
    <w:p>
      <w:pPr>
        <w:widowControl/>
        <w:spacing w:line="360" w:lineRule="auto"/>
        <w:ind w:left="1" w:firstLine="248" w:firstLineChars="100"/>
        <w:jc w:val="center"/>
        <w:rPr>
          <w:rFonts w:hint="eastAsia" w:hAnsi="宋体" w:cs="宋体"/>
          <w:spacing w:val="4"/>
          <w:szCs w:val="30"/>
          <w:highlight w:val="none"/>
        </w:rPr>
      </w:pPr>
      <w:r>
        <w:rPr>
          <w:rFonts w:hint="eastAsia" w:hAnsi="宋体" w:cs="宋体"/>
          <w:spacing w:val="4"/>
          <w:szCs w:val="30"/>
          <w:highlight w:val="none"/>
        </w:rPr>
        <w:br w:type="page"/>
      </w:r>
    </w:p>
    <w:p>
      <w:pPr>
        <w:widowControl/>
        <w:spacing w:line="360" w:lineRule="auto"/>
        <w:ind w:left="1" w:firstLine="248" w:firstLineChars="100"/>
        <w:jc w:val="center"/>
        <w:rPr>
          <w:rFonts w:hint="eastAsia" w:hAnsi="宋体" w:cs="宋体"/>
          <w:spacing w:val="4"/>
          <w:szCs w:val="30"/>
          <w:highlight w:val="none"/>
        </w:rPr>
      </w:pPr>
    </w:p>
    <w:p>
      <w:pPr>
        <w:widowControl/>
        <w:spacing w:line="360" w:lineRule="auto"/>
        <w:ind w:left="1" w:firstLine="281" w:firstLineChars="100"/>
        <w:jc w:val="center"/>
        <w:rPr>
          <w:rFonts w:ascii="宋体" w:hAnsi="宋体" w:cs="宋体"/>
          <w:b/>
          <w:kern w:val="0"/>
          <w:sz w:val="28"/>
          <w:szCs w:val="28"/>
          <w:highlight w:val="none"/>
        </w:rPr>
      </w:pPr>
      <w:r>
        <w:rPr>
          <w:rFonts w:hint="eastAsia" w:ascii="宋体" w:hAnsi="宋体" w:cs="宋体"/>
          <w:b/>
          <w:kern w:val="0"/>
          <w:sz w:val="28"/>
          <w:szCs w:val="28"/>
          <w:highlight w:val="none"/>
        </w:rPr>
        <w:t>参加政府采购活动前3年内在经营活动中没有重大违法</w:t>
      </w:r>
      <w:r>
        <w:rPr>
          <w:rFonts w:hint="eastAsia" w:hAnsi="宋体" w:cs="宋体"/>
          <w:b/>
          <w:kern w:val="0"/>
          <w:sz w:val="28"/>
          <w:szCs w:val="28"/>
          <w:highlight w:val="none"/>
          <w:lang w:eastAsia="zh-CN"/>
        </w:rPr>
        <w:t>记录</w:t>
      </w:r>
      <w:r>
        <w:rPr>
          <w:rFonts w:hint="eastAsia" w:ascii="宋体" w:hAnsi="宋体" w:cs="宋体"/>
          <w:b/>
          <w:kern w:val="0"/>
          <w:sz w:val="28"/>
          <w:szCs w:val="28"/>
          <w:highlight w:val="none"/>
        </w:rPr>
        <w:t>的书面声明</w:t>
      </w:r>
    </w:p>
    <w:p>
      <w:pPr>
        <w:widowControl/>
        <w:spacing w:line="360" w:lineRule="auto"/>
        <w:ind w:left="1"/>
        <w:jc w:val="center"/>
        <w:rPr>
          <w:rFonts w:ascii="宋体" w:hAnsi="宋体" w:cs="宋体"/>
          <w:b/>
          <w:kern w:val="0"/>
          <w:sz w:val="28"/>
          <w:szCs w:val="28"/>
          <w:highlight w:val="none"/>
        </w:rPr>
      </w:pPr>
      <w:r>
        <w:rPr>
          <w:rFonts w:hint="eastAsia" w:ascii="宋体" w:hAnsi="宋体" w:cs="宋体"/>
          <w:b/>
          <w:kern w:val="0"/>
          <w:sz w:val="28"/>
          <w:szCs w:val="28"/>
          <w:highlight w:val="none"/>
        </w:rPr>
        <w:t>（格式）</w:t>
      </w:r>
    </w:p>
    <w:p>
      <w:pPr>
        <w:pStyle w:val="21"/>
        <w:wordWrap w:val="0"/>
        <w:spacing w:line="560" w:lineRule="exact"/>
        <w:rPr>
          <w:rFonts w:ascii="宋体" w:hAnsi="宋体" w:cs="宋体"/>
          <w:highlight w:val="none"/>
          <w:u w:val="single"/>
          <w:shd w:val="clear" w:color="auto" w:fill="FFFFFF"/>
        </w:rPr>
      </w:pPr>
      <w:r>
        <w:rPr>
          <w:rFonts w:hint="eastAsia" w:ascii="宋体" w:hAnsi="宋体" w:cs="宋体"/>
          <w:highlight w:val="none"/>
          <w:u w:val="single"/>
          <w:shd w:val="clear" w:color="auto" w:fill="FFFFFF"/>
        </w:rPr>
        <w:t xml:space="preserve">      （</w:t>
      </w:r>
      <w:r>
        <w:rPr>
          <w:rFonts w:hint="eastAsia" w:cs="宋体"/>
          <w:highlight w:val="none"/>
          <w:u w:val="single"/>
          <w:shd w:val="clear" w:color="auto" w:fill="FFFFFF"/>
          <w:lang w:val="en-US" w:eastAsia="zh-CN"/>
        </w:rPr>
        <w:t>招标人</w:t>
      </w:r>
      <w:r>
        <w:rPr>
          <w:rFonts w:hint="eastAsia" w:ascii="宋体" w:hAnsi="宋体" w:cs="宋体"/>
          <w:highlight w:val="none"/>
          <w:u w:val="single"/>
          <w:shd w:val="clear" w:color="auto" w:fill="FFFFFF"/>
        </w:rPr>
        <w:t>）           ：</w:t>
      </w:r>
    </w:p>
    <w:p>
      <w:pPr>
        <w:pStyle w:val="21"/>
        <w:wordWrap w:val="0"/>
        <w:spacing w:line="560" w:lineRule="exact"/>
        <w:ind w:firstLine="640"/>
        <w:rPr>
          <w:rFonts w:ascii="宋体" w:hAnsi="宋体" w:cs="宋体"/>
          <w:highlight w:val="none"/>
        </w:rPr>
      </w:pPr>
      <w:r>
        <w:rPr>
          <w:rFonts w:hint="eastAsia" w:ascii="宋体" w:hAnsi="宋体" w:cs="宋体"/>
          <w:highlight w:val="none"/>
          <w:shd w:val="clear" w:color="auto" w:fill="FFFFFF"/>
        </w:rPr>
        <w:t>我方作为项目名称</w:t>
      </w:r>
      <w:r>
        <w:rPr>
          <w:rFonts w:hint="eastAsia" w:ascii="宋体" w:hAnsi="宋体" w:cs="宋体"/>
          <w:highlight w:val="none"/>
          <w:u w:val="single"/>
          <w:shd w:val="clear" w:color="auto" w:fill="FFFFFF"/>
        </w:rPr>
        <w:t xml:space="preserve">             </w:t>
      </w:r>
      <w:r>
        <w:rPr>
          <w:rFonts w:hint="eastAsia" w:ascii="宋体" w:hAnsi="宋体" w:cs="宋体"/>
          <w:highlight w:val="none"/>
          <w:shd w:val="clear" w:color="auto" w:fill="FFFFFF"/>
        </w:rPr>
        <w:t>（项目编号：</w:t>
      </w:r>
      <w:r>
        <w:rPr>
          <w:rFonts w:hint="eastAsia" w:ascii="宋体" w:hAnsi="宋体" w:cs="宋体"/>
          <w:i/>
          <w:iCs/>
          <w:highlight w:val="none"/>
          <w:u w:val="single"/>
          <w:shd w:val="clear" w:color="auto" w:fill="FFFFFF"/>
        </w:rPr>
        <w:t xml:space="preserve">          </w:t>
      </w:r>
      <w:r>
        <w:rPr>
          <w:rFonts w:hint="eastAsia" w:ascii="宋体" w:hAnsi="宋体" w:cs="宋体"/>
          <w:highlight w:val="none"/>
          <w:shd w:val="clear" w:color="auto" w:fill="FFFFFF"/>
        </w:rPr>
        <w:t>）的</w:t>
      </w:r>
      <w:r>
        <w:rPr>
          <w:rFonts w:hint="eastAsia" w:cs="宋体"/>
          <w:highlight w:val="none"/>
          <w:shd w:val="clear" w:color="auto" w:fill="FFFFFF"/>
          <w:lang w:val="en-US" w:eastAsia="zh-CN"/>
        </w:rPr>
        <w:t>投标人</w:t>
      </w:r>
      <w:r>
        <w:rPr>
          <w:rFonts w:hint="eastAsia" w:ascii="宋体" w:hAnsi="宋体" w:cs="宋体"/>
          <w:highlight w:val="none"/>
          <w:shd w:val="clear" w:color="auto" w:fill="FFFFFF"/>
        </w:rPr>
        <w:t xml:space="preserve">，在此郑重声明： </w:t>
      </w:r>
    </w:p>
    <w:p>
      <w:pPr>
        <w:pStyle w:val="21"/>
        <w:wordWrap w:val="0"/>
        <w:spacing w:line="560" w:lineRule="exact"/>
        <w:ind w:firstLine="420"/>
        <w:rPr>
          <w:rFonts w:ascii="宋体" w:hAnsi="宋体" w:cs="宋体"/>
          <w:highlight w:val="none"/>
        </w:rPr>
      </w:pPr>
      <w:r>
        <w:rPr>
          <w:rFonts w:hint="eastAsia" w:ascii="宋体" w:hAnsi="宋体" w:cs="宋体"/>
          <w:highlight w:val="none"/>
          <w:shd w:val="clear" w:color="auto" w:fill="FFFFFF"/>
        </w:rPr>
        <w:t>在参加本次政府采购活动前3年内的经营活动中</w:t>
      </w:r>
      <w:r>
        <w:rPr>
          <w:rFonts w:hint="eastAsia" w:ascii="宋体" w:hAnsi="宋体" w:cs="宋体"/>
          <w:highlight w:val="none"/>
          <w:u w:val="single"/>
          <w:shd w:val="clear" w:color="auto" w:fill="FFFFFF"/>
        </w:rPr>
        <w:t xml:space="preserve">          </w:t>
      </w:r>
      <w:r>
        <w:rPr>
          <w:rFonts w:hint="eastAsia" w:ascii="宋体" w:hAnsi="宋体" w:cs="宋体"/>
          <w:highlight w:val="none"/>
          <w:shd w:val="clear" w:color="auto" w:fill="FFFFFF"/>
        </w:rPr>
        <w:t xml:space="preserve">（填“没有”或“有”）重大违法记录。如有不实，我方将无条件地退出本项目的采购活动，并遵照《政府采购法》有关“提供虚假材料的规定”接受处罚。 </w:t>
      </w:r>
    </w:p>
    <w:p>
      <w:pPr>
        <w:pStyle w:val="21"/>
        <w:wordWrap w:val="0"/>
        <w:spacing w:line="560" w:lineRule="exact"/>
        <w:ind w:firstLine="420"/>
        <w:rPr>
          <w:rFonts w:ascii="宋体" w:hAnsi="宋体" w:cs="宋体"/>
          <w:highlight w:val="none"/>
          <w:shd w:val="clear" w:color="auto" w:fill="FFFFFF"/>
        </w:rPr>
      </w:pPr>
      <w:r>
        <w:rPr>
          <w:rFonts w:hint="eastAsia" w:ascii="宋体" w:hAnsi="宋体" w:cs="宋体"/>
          <w:highlight w:val="none"/>
          <w:shd w:val="clear" w:color="auto" w:fill="FFFFFF"/>
        </w:rPr>
        <w:t>特此声明！</w:t>
      </w:r>
    </w:p>
    <w:p>
      <w:pPr>
        <w:pStyle w:val="21"/>
        <w:wordWrap w:val="0"/>
        <w:spacing w:line="560" w:lineRule="exact"/>
        <w:ind w:firstLine="420"/>
        <w:rPr>
          <w:rFonts w:ascii="宋体" w:hAnsi="宋体" w:cs="宋体"/>
          <w:highlight w:val="none"/>
          <w:shd w:val="clear" w:color="auto" w:fill="FFFFFF"/>
        </w:rPr>
      </w:pPr>
    </w:p>
    <w:p>
      <w:pPr>
        <w:spacing w:line="480" w:lineRule="auto"/>
        <w:ind w:firstLine="3360" w:firstLineChars="1400"/>
        <w:rPr>
          <w:rFonts w:ascii="宋体" w:hAnsi="宋体" w:cs="宋体"/>
          <w:sz w:val="24"/>
          <w:highlight w:val="none"/>
        </w:rPr>
      </w:pPr>
      <w:r>
        <w:rPr>
          <w:rFonts w:hint="eastAsia" w:hAnsi="宋体" w:cs="宋体"/>
          <w:sz w:val="24"/>
          <w:highlight w:val="none"/>
          <w:lang w:val="en-US" w:eastAsia="zh-CN"/>
        </w:rPr>
        <w:t>投标人名称</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（盖章）</w:t>
      </w:r>
    </w:p>
    <w:p>
      <w:pPr>
        <w:pStyle w:val="40"/>
        <w:spacing w:before="156" w:beforeLines="50"/>
        <w:ind w:firstLine="3360" w:firstLineChars="1400"/>
        <w:rPr>
          <w:rFonts w:ascii="宋体" w:hAnsi="宋体" w:cs="宋体"/>
          <w:sz w:val="24"/>
          <w:szCs w:val="24"/>
          <w:highlight w:val="none"/>
        </w:rPr>
      </w:pPr>
      <w:r>
        <w:rPr>
          <w:rFonts w:hint="eastAsia" w:ascii="宋体" w:hAnsi="宋体" w:cs="宋体"/>
          <w:sz w:val="24"/>
          <w:szCs w:val="24"/>
          <w:highlight w:val="none"/>
        </w:rPr>
        <w:t>日        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pPr>
        <w:adjustRightInd w:val="0"/>
        <w:snapToGrid w:val="0"/>
        <w:spacing w:line="360" w:lineRule="auto"/>
        <w:jc w:val="cente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br w:type="page"/>
      </w:r>
    </w:p>
    <w:p>
      <w:pPr>
        <w:adjustRightInd w:val="0"/>
        <w:snapToGrid w:val="0"/>
        <w:spacing w:line="360" w:lineRule="auto"/>
        <w:jc w:val="center"/>
        <w:rPr>
          <w:rFonts w:asciiTheme="minorEastAsia" w:hAnsiTheme="minorEastAsia" w:eastAsiaTheme="minorEastAsia" w:cstheme="minorEastAsia"/>
          <w:b/>
          <w:sz w:val="28"/>
          <w:szCs w:val="28"/>
          <w:highlight w:val="none"/>
        </w:rPr>
      </w:pPr>
    </w:p>
    <w:p>
      <w:pPr>
        <w:adjustRightInd w:val="0"/>
        <w:snapToGrid w:val="0"/>
        <w:spacing w:line="360" w:lineRule="auto"/>
        <w:jc w:val="center"/>
        <w:rPr>
          <w:rFonts w:ascii="宋体" w:hAnsi="宋体" w:cs="宋体"/>
          <w:b/>
          <w:sz w:val="28"/>
          <w:szCs w:val="28"/>
          <w:highlight w:val="none"/>
        </w:rPr>
      </w:pPr>
      <w:r>
        <w:rPr>
          <w:rFonts w:hint="eastAsia" w:ascii="宋体" w:hAnsi="宋体" w:cs="宋体"/>
          <w:b/>
          <w:sz w:val="28"/>
          <w:szCs w:val="28"/>
          <w:highlight w:val="none"/>
        </w:rPr>
        <w:t>具有履行本合同所必需的设备和专业技术能力的书面声明</w:t>
      </w:r>
    </w:p>
    <w:p>
      <w:pPr>
        <w:widowControl/>
        <w:spacing w:line="360" w:lineRule="auto"/>
        <w:ind w:left="1"/>
        <w:jc w:val="center"/>
        <w:rPr>
          <w:rFonts w:ascii="宋体" w:hAnsi="宋体" w:cs="宋体"/>
          <w:b/>
          <w:kern w:val="0"/>
          <w:sz w:val="28"/>
          <w:szCs w:val="28"/>
          <w:highlight w:val="none"/>
        </w:rPr>
      </w:pPr>
      <w:r>
        <w:rPr>
          <w:rFonts w:hint="eastAsia" w:ascii="宋体" w:hAnsi="宋体" w:cs="宋体"/>
          <w:b/>
          <w:kern w:val="0"/>
          <w:sz w:val="28"/>
          <w:szCs w:val="28"/>
          <w:highlight w:val="none"/>
        </w:rPr>
        <w:t>（格式）</w:t>
      </w:r>
    </w:p>
    <w:p>
      <w:pPr>
        <w:rPr>
          <w:highlight w:val="none"/>
        </w:rPr>
      </w:pPr>
    </w:p>
    <w:p>
      <w:pPr>
        <w:pStyle w:val="14"/>
        <w:adjustRightInd w:val="0"/>
        <w:snapToGrid w:val="0"/>
        <w:spacing w:line="720" w:lineRule="exact"/>
        <w:jc w:val="center"/>
        <w:rPr>
          <w:rFonts w:hAnsi="宋体"/>
          <w:b/>
          <w:sz w:val="28"/>
          <w:szCs w:val="28"/>
          <w:highlight w:val="none"/>
        </w:rPr>
      </w:pPr>
    </w:p>
    <w:p>
      <w:pPr>
        <w:spacing w:line="720" w:lineRule="exact"/>
        <w:rPr>
          <w:rFonts w:ascii="宋体" w:hAnsi="宋体" w:cs="宋体"/>
          <w:spacing w:val="4"/>
          <w:sz w:val="24"/>
          <w:highlight w:val="none"/>
          <w:u w:val="single"/>
        </w:rPr>
      </w:pPr>
      <w:r>
        <w:rPr>
          <w:rFonts w:hint="eastAsia" w:ascii="宋体" w:hAnsi="宋体" w:cs="宋体"/>
          <w:spacing w:val="4"/>
          <w:sz w:val="24"/>
          <w:highlight w:val="none"/>
          <w:u w:val="single"/>
        </w:rPr>
        <w:t xml:space="preserve">     （</w:t>
      </w:r>
      <w:r>
        <w:rPr>
          <w:rFonts w:hint="eastAsia" w:cs="宋体"/>
          <w:highlight w:val="none"/>
          <w:u w:val="single"/>
          <w:shd w:val="clear" w:color="auto" w:fill="FFFFFF"/>
          <w:lang w:val="en-US" w:eastAsia="zh-CN"/>
        </w:rPr>
        <w:t>招标人</w:t>
      </w:r>
      <w:r>
        <w:rPr>
          <w:rFonts w:hint="eastAsia" w:ascii="宋体" w:hAnsi="宋体" w:cs="宋体"/>
          <w:spacing w:val="4"/>
          <w:sz w:val="24"/>
          <w:highlight w:val="none"/>
          <w:u w:val="single"/>
        </w:rPr>
        <w:t>）    ：</w:t>
      </w:r>
    </w:p>
    <w:p>
      <w:pPr>
        <w:pStyle w:val="14"/>
        <w:adjustRightInd w:val="0"/>
        <w:snapToGrid w:val="0"/>
        <w:spacing w:line="720" w:lineRule="exact"/>
        <w:rPr>
          <w:rFonts w:hAnsi="宋体"/>
          <w:spacing w:val="4"/>
          <w:sz w:val="24"/>
          <w:szCs w:val="24"/>
          <w:highlight w:val="none"/>
        </w:rPr>
      </w:pPr>
      <w:r>
        <w:rPr>
          <w:rFonts w:hint="eastAsia" w:hAnsi="宋体"/>
          <w:spacing w:val="4"/>
          <w:sz w:val="24"/>
          <w:szCs w:val="24"/>
          <w:highlight w:val="none"/>
        </w:rPr>
        <w:t xml:space="preserve">   </w:t>
      </w:r>
      <w:r>
        <w:rPr>
          <w:rFonts w:hint="eastAsia" w:hAnsi="宋体"/>
          <w:spacing w:val="4"/>
          <w:sz w:val="24"/>
          <w:szCs w:val="24"/>
          <w:highlight w:val="none"/>
          <w:u w:val="single"/>
        </w:rPr>
        <w:t xml:space="preserve">      （</w:t>
      </w:r>
      <w:r>
        <w:rPr>
          <w:rFonts w:hint="eastAsia" w:hAnsi="宋体"/>
          <w:spacing w:val="4"/>
          <w:sz w:val="24"/>
          <w:szCs w:val="24"/>
          <w:highlight w:val="none"/>
          <w:u w:val="single"/>
          <w:lang w:val="en-US" w:eastAsia="zh-CN"/>
        </w:rPr>
        <w:t>投标人</w:t>
      </w:r>
      <w:r>
        <w:rPr>
          <w:rFonts w:hint="eastAsia" w:hAnsi="宋体"/>
          <w:spacing w:val="4"/>
          <w:sz w:val="24"/>
          <w:szCs w:val="24"/>
          <w:highlight w:val="none"/>
          <w:u w:val="single"/>
        </w:rPr>
        <w:t xml:space="preserve">名称）    </w:t>
      </w:r>
      <w:r>
        <w:rPr>
          <w:rFonts w:hint="eastAsia" w:hAnsi="宋体"/>
          <w:spacing w:val="4"/>
          <w:sz w:val="24"/>
          <w:szCs w:val="24"/>
          <w:highlight w:val="none"/>
        </w:rPr>
        <w:t xml:space="preserve"> 于</w:t>
      </w:r>
      <w:r>
        <w:rPr>
          <w:rFonts w:hint="eastAsia" w:hAnsi="宋体"/>
          <w:spacing w:val="4"/>
          <w:sz w:val="24"/>
          <w:szCs w:val="24"/>
          <w:highlight w:val="none"/>
          <w:u w:val="single"/>
        </w:rPr>
        <w:t xml:space="preserve">     </w:t>
      </w:r>
      <w:r>
        <w:rPr>
          <w:rFonts w:hint="eastAsia" w:hAnsi="宋体"/>
          <w:spacing w:val="4"/>
          <w:sz w:val="24"/>
          <w:szCs w:val="24"/>
          <w:highlight w:val="none"/>
        </w:rPr>
        <w:t>年</w:t>
      </w:r>
      <w:r>
        <w:rPr>
          <w:rFonts w:hint="eastAsia" w:hAnsi="宋体"/>
          <w:spacing w:val="4"/>
          <w:sz w:val="24"/>
          <w:szCs w:val="24"/>
          <w:highlight w:val="none"/>
          <w:u w:val="single"/>
        </w:rPr>
        <w:t xml:space="preserve">    </w:t>
      </w:r>
      <w:r>
        <w:rPr>
          <w:rFonts w:hint="eastAsia" w:hAnsi="宋体"/>
          <w:spacing w:val="4"/>
          <w:sz w:val="24"/>
          <w:szCs w:val="24"/>
          <w:highlight w:val="none"/>
        </w:rPr>
        <w:t>月</w:t>
      </w:r>
      <w:r>
        <w:rPr>
          <w:rFonts w:hint="eastAsia" w:hAnsi="宋体"/>
          <w:spacing w:val="4"/>
          <w:sz w:val="24"/>
          <w:szCs w:val="24"/>
          <w:highlight w:val="none"/>
          <w:u w:val="single"/>
        </w:rPr>
        <w:t xml:space="preserve">   </w:t>
      </w:r>
      <w:r>
        <w:rPr>
          <w:rFonts w:hint="eastAsia" w:hAnsi="宋体"/>
          <w:spacing w:val="4"/>
          <w:sz w:val="24"/>
          <w:szCs w:val="24"/>
          <w:highlight w:val="none"/>
        </w:rPr>
        <w:t>日在中华人民共和国境内</w:t>
      </w:r>
      <w:r>
        <w:rPr>
          <w:rFonts w:hint="eastAsia" w:hAnsi="宋体"/>
          <w:spacing w:val="4"/>
          <w:sz w:val="24"/>
          <w:szCs w:val="24"/>
          <w:highlight w:val="none"/>
          <w:u w:val="single"/>
        </w:rPr>
        <w:t xml:space="preserve">               （详细注册地址）     </w:t>
      </w:r>
      <w:r>
        <w:rPr>
          <w:rFonts w:hint="eastAsia" w:hAnsi="宋体"/>
          <w:spacing w:val="4"/>
          <w:sz w:val="24"/>
          <w:szCs w:val="24"/>
          <w:highlight w:val="none"/>
        </w:rPr>
        <w:t>合法注册并经营，公司主营业务为</w:t>
      </w:r>
      <w:r>
        <w:rPr>
          <w:rFonts w:hint="eastAsia" w:hAnsi="宋体"/>
          <w:spacing w:val="4"/>
          <w:sz w:val="24"/>
          <w:szCs w:val="24"/>
          <w:highlight w:val="none"/>
          <w:u w:val="single"/>
        </w:rPr>
        <w:t xml:space="preserve">                        </w:t>
      </w:r>
      <w:r>
        <w:rPr>
          <w:rFonts w:hint="eastAsia" w:hAnsi="宋体"/>
          <w:spacing w:val="4"/>
          <w:sz w:val="24"/>
          <w:szCs w:val="24"/>
          <w:highlight w:val="none"/>
        </w:rPr>
        <w:t>。</w:t>
      </w:r>
    </w:p>
    <w:p>
      <w:pPr>
        <w:pStyle w:val="14"/>
        <w:adjustRightInd w:val="0"/>
        <w:snapToGrid w:val="0"/>
        <w:spacing w:line="720" w:lineRule="exact"/>
        <w:ind w:firstLine="550" w:firstLineChars="222"/>
        <w:rPr>
          <w:rFonts w:hAnsi="宋体"/>
          <w:spacing w:val="4"/>
          <w:sz w:val="24"/>
          <w:szCs w:val="24"/>
          <w:highlight w:val="none"/>
        </w:rPr>
      </w:pPr>
      <w:r>
        <w:rPr>
          <w:rFonts w:hint="eastAsia" w:hAnsi="宋体"/>
          <w:spacing w:val="4"/>
          <w:sz w:val="24"/>
          <w:szCs w:val="24"/>
          <w:highlight w:val="none"/>
        </w:rPr>
        <w:t>我公司郑重承诺，我公司具有履行本合同所必需的设备和专业技术能力，合同履约中将无条件增加相关设备、人员，直至满足项目需求。</w:t>
      </w:r>
    </w:p>
    <w:p>
      <w:pPr>
        <w:pStyle w:val="14"/>
        <w:adjustRightInd w:val="0"/>
        <w:snapToGrid w:val="0"/>
        <w:spacing w:line="720" w:lineRule="exact"/>
        <w:rPr>
          <w:rFonts w:hAnsi="宋体"/>
          <w:spacing w:val="4"/>
          <w:sz w:val="24"/>
          <w:szCs w:val="24"/>
          <w:highlight w:val="none"/>
        </w:rPr>
      </w:pPr>
    </w:p>
    <w:p>
      <w:pPr>
        <w:pStyle w:val="14"/>
        <w:adjustRightInd w:val="0"/>
        <w:snapToGrid w:val="0"/>
        <w:spacing w:line="720" w:lineRule="exact"/>
        <w:rPr>
          <w:rFonts w:hAnsi="宋体"/>
          <w:spacing w:val="4"/>
          <w:sz w:val="24"/>
          <w:szCs w:val="24"/>
          <w:highlight w:val="none"/>
        </w:rPr>
      </w:pPr>
    </w:p>
    <w:p>
      <w:pPr>
        <w:pStyle w:val="14"/>
        <w:adjustRightInd w:val="0"/>
        <w:snapToGrid w:val="0"/>
        <w:spacing w:line="720" w:lineRule="exact"/>
        <w:rPr>
          <w:rFonts w:hAnsi="宋体"/>
          <w:spacing w:val="4"/>
          <w:sz w:val="24"/>
          <w:szCs w:val="24"/>
          <w:highlight w:val="none"/>
        </w:rPr>
      </w:pPr>
    </w:p>
    <w:p>
      <w:pPr>
        <w:spacing w:line="480" w:lineRule="auto"/>
        <w:ind w:firstLine="3360" w:firstLineChars="1400"/>
        <w:rPr>
          <w:rFonts w:ascii="宋体" w:hAnsi="宋体" w:cs="宋体"/>
          <w:sz w:val="24"/>
          <w:highlight w:val="none"/>
        </w:rPr>
      </w:pPr>
      <w:r>
        <w:rPr>
          <w:rFonts w:hint="eastAsia" w:hAnsi="宋体" w:cs="宋体"/>
          <w:sz w:val="24"/>
          <w:highlight w:val="none"/>
          <w:lang w:val="en-US" w:eastAsia="zh-CN"/>
        </w:rPr>
        <w:t>投标人</w:t>
      </w:r>
      <w:r>
        <w:rPr>
          <w:rFonts w:hint="eastAsia" w:ascii="宋体" w:hAnsi="宋体" w:cs="宋体"/>
          <w:sz w:val="24"/>
          <w:highlight w:val="none"/>
        </w:rPr>
        <w:t>名称：</w:t>
      </w:r>
      <w:r>
        <w:rPr>
          <w:rFonts w:hint="eastAsia" w:ascii="宋体" w:hAnsi="宋体" w:cs="宋体"/>
          <w:sz w:val="24"/>
          <w:highlight w:val="none"/>
          <w:u w:val="single"/>
        </w:rPr>
        <w:t xml:space="preserve">               </w:t>
      </w:r>
      <w:r>
        <w:rPr>
          <w:rFonts w:hint="eastAsia" w:ascii="宋体" w:hAnsi="宋体" w:cs="宋体"/>
          <w:sz w:val="24"/>
          <w:highlight w:val="none"/>
        </w:rPr>
        <w:t>（盖章）</w:t>
      </w:r>
    </w:p>
    <w:p>
      <w:pPr>
        <w:ind w:left="0" w:leftChars="0" w:firstLine="0" w:firstLineChars="0"/>
        <w:jc w:val="center"/>
        <w:rPr>
          <w:rFonts w:hint="eastAsia" w:ascii="宋体" w:hAnsi="宋体" w:cs="宋体"/>
          <w:sz w:val="24"/>
          <w:szCs w:val="24"/>
          <w:highlight w:val="none"/>
        </w:rPr>
      </w:pPr>
      <w:r>
        <w:rPr>
          <w:rFonts w:hint="eastAsia" w:hAnsi="宋体" w:cs="宋体"/>
          <w:sz w:val="24"/>
          <w:szCs w:val="24"/>
          <w:highlight w:val="none"/>
          <w:lang w:val="en-US" w:eastAsia="zh-CN"/>
        </w:rPr>
        <w:t xml:space="preserve">             </w:t>
      </w:r>
      <w:r>
        <w:rPr>
          <w:rFonts w:hint="eastAsia" w:ascii="宋体" w:hAnsi="宋体" w:cs="宋体"/>
          <w:sz w:val="24"/>
          <w:szCs w:val="24"/>
          <w:highlight w:val="none"/>
        </w:rPr>
        <w:t>日        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pPr>
        <w:rPr>
          <w:rFonts w:hint="eastAsia" w:ascii="宋体" w:hAnsi="宋体" w:cs="宋体"/>
          <w:sz w:val="24"/>
          <w:szCs w:val="24"/>
          <w:highlight w:val="none"/>
        </w:rPr>
      </w:pPr>
      <w:r>
        <w:rPr>
          <w:rFonts w:hint="eastAsia" w:ascii="宋体" w:hAnsi="宋体" w:cs="宋体"/>
          <w:sz w:val="24"/>
          <w:szCs w:val="24"/>
          <w:highlight w:val="none"/>
        </w:rPr>
        <w:br w:type="page"/>
      </w:r>
    </w:p>
    <w:p>
      <w:pPr>
        <w:ind w:left="0" w:leftChars="0" w:firstLine="0" w:firstLineChars="0"/>
        <w:rPr>
          <w:rFonts w:hAnsi="宋体" w:cs="宋体"/>
          <w:b/>
          <w:sz w:val="28"/>
          <w:szCs w:val="28"/>
          <w:highlight w:val="none"/>
        </w:rPr>
      </w:pPr>
      <w:r>
        <w:rPr>
          <w:rFonts w:hint="eastAsia" w:hAnsi="宋体" w:cs="宋体"/>
          <w:b/>
          <w:sz w:val="30"/>
          <w:szCs w:val="30"/>
          <w:highlight w:val="none"/>
        </w:rPr>
        <w:t>附件</w:t>
      </w:r>
      <w:r>
        <w:rPr>
          <w:rFonts w:hint="eastAsia" w:hAnsi="宋体" w:cs="宋体"/>
          <w:b/>
          <w:sz w:val="30"/>
          <w:szCs w:val="30"/>
          <w:highlight w:val="none"/>
          <w:lang w:val="en-US" w:eastAsia="zh-CN"/>
        </w:rPr>
        <w:t>2</w:t>
      </w:r>
      <w:r>
        <w:rPr>
          <w:rFonts w:hint="eastAsia" w:hAnsi="宋体" w:cs="宋体"/>
          <w:b/>
          <w:sz w:val="30"/>
          <w:szCs w:val="30"/>
          <w:highlight w:val="none"/>
        </w:rPr>
        <w:t>：</w:t>
      </w:r>
    </w:p>
    <w:p>
      <w:pPr>
        <w:spacing w:before="156" w:beforeLines="50" w:after="156" w:afterLines="50" w:line="360" w:lineRule="auto"/>
        <w:jc w:val="center"/>
        <w:rPr>
          <w:rFonts w:hint="eastAsia" w:hAnsi="宋体" w:cs="宋体"/>
          <w:szCs w:val="24"/>
          <w:highlight w:val="none"/>
        </w:rPr>
      </w:pPr>
      <w:r>
        <w:rPr>
          <w:rFonts w:hint="eastAsia" w:hAnsi="宋体" w:cs="宋体"/>
          <w:b/>
          <w:sz w:val="28"/>
          <w:szCs w:val="28"/>
          <w:highlight w:val="none"/>
        </w:rPr>
        <w:t>中小企业声明函</w:t>
      </w:r>
    </w:p>
    <w:p>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本公司郑重声明，根据《政府采购促进中小企业发展管理办法》（财库﹝2020﹞46 号）的规定，本公司参加</w:t>
      </w:r>
      <w:r>
        <w:rPr>
          <w:rFonts w:hint="eastAsia" w:hAnsi="宋体" w:cs="宋体"/>
          <w:szCs w:val="24"/>
          <w:highlight w:val="none"/>
          <w:u w:val="single"/>
        </w:rPr>
        <w:t>（单位名称）</w:t>
      </w:r>
      <w:r>
        <w:rPr>
          <w:rFonts w:hint="eastAsia" w:hAnsi="宋体" w:cs="宋体"/>
          <w:szCs w:val="24"/>
          <w:highlight w:val="none"/>
        </w:rPr>
        <w:t>的</w:t>
      </w:r>
      <w:r>
        <w:rPr>
          <w:rFonts w:hint="eastAsia" w:hAnsi="宋体" w:cs="宋体"/>
          <w:szCs w:val="24"/>
          <w:highlight w:val="none"/>
          <w:u w:val="single"/>
        </w:rPr>
        <w:t>（项目名称）</w:t>
      </w:r>
      <w:r>
        <w:rPr>
          <w:rFonts w:hint="eastAsia" w:hAnsi="宋体" w:cs="宋体"/>
          <w:szCs w:val="24"/>
          <w:highlight w:val="none"/>
        </w:rPr>
        <w:t>采购活动，工程的施工单位全部为符合政策要求的中小企业（或者：服务全部由符合政策要求的中小企业承接）。相关企业的具体情况如下：</w:t>
      </w:r>
    </w:p>
    <w:p>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1.</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w:t>
      </w:r>
      <w:r>
        <w:rPr>
          <w:rFonts w:hint="eastAsia" w:hAnsi="宋体" w:cs="宋体"/>
          <w:szCs w:val="24"/>
          <w:highlight w:val="none"/>
          <w:u w:val="single"/>
        </w:rPr>
        <w:t xml:space="preserve">为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eastAsia="宋体" w:cs="宋体"/>
          <w:szCs w:val="24"/>
          <w:highlight w:val="none"/>
          <w:u w:val="single"/>
          <w:lang w:val="en-US" w:eastAsia="zh-CN"/>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2.</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eastAsia="宋体" w:cs="宋体"/>
          <w:szCs w:val="24"/>
          <w:highlight w:val="none"/>
          <w:u w:val="single"/>
          <w:lang w:val="en-US" w:eastAsia="zh-CN"/>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pPr>
        <w:tabs>
          <w:tab w:val="left" w:pos="1620"/>
          <w:tab w:val="left" w:pos="1800"/>
        </w:tabs>
        <w:spacing w:line="500" w:lineRule="exact"/>
        <w:rPr>
          <w:rFonts w:hint="eastAsia" w:hAnsi="宋体" w:cs="宋体"/>
          <w:szCs w:val="24"/>
          <w:highlight w:val="none"/>
        </w:rPr>
      </w:pPr>
      <w:r>
        <w:rPr>
          <w:rFonts w:hint="eastAsia" w:hAnsi="宋体" w:cs="宋体"/>
          <w:szCs w:val="24"/>
          <w:highlight w:val="none"/>
        </w:rPr>
        <w:t>……</w:t>
      </w:r>
    </w:p>
    <w:p>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以上企业，不属于大企业的分支机构，不存在控股股东为大企业的情形，也不存在与大企业的负责人为同一人的情形。</w:t>
      </w:r>
    </w:p>
    <w:p>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本企业对上述声明内容的真实性负责。如有虚假，将依法承担相应责任。</w:t>
      </w:r>
    </w:p>
    <w:p>
      <w:pPr>
        <w:tabs>
          <w:tab w:val="left" w:pos="1620"/>
          <w:tab w:val="left" w:pos="1800"/>
        </w:tabs>
        <w:spacing w:line="500" w:lineRule="exact"/>
        <w:rPr>
          <w:rFonts w:hint="eastAsia" w:hAnsi="宋体" w:cs="宋体"/>
          <w:szCs w:val="24"/>
          <w:highlight w:val="none"/>
        </w:rPr>
      </w:pPr>
    </w:p>
    <w:p>
      <w:pPr>
        <w:tabs>
          <w:tab w:val="left" w:pos="1620"/>
          <w:tab w:val="left" w:pos="1800"/>
        </w:tabs>
        <w:spacing w:line="500" w:lineRule="exact"/>
        <w:rPr>
          <w:rFonts w:hint="eastAsia" w:hAnsi="宋体" w:cs="宋体"/>
          <w:szCs w:val="24"/>
          <w:highlight w:val="none"/>
        </w:rPr>
      </w:pPr>
    </w:p>
    <w:p>
      <w:pPr>
        <w:tabs>
          <w:tab w:val="left" w:pos="1620"/>
          <w:tab w:val="left" w:pos="1800"/>
        </w:tabs>
        <w:spacing w:line="500" w:lineRule="exact"/>
        <w:ind w:firstLine="5040" w:firstLineChars="2100"/>
        <w:rPr>
          <w:rFonts w:hint="eastAsia" w:hAnsi="宋体" w:cs="宋体"/>
          <w:szCs w:val="24"/>
          <w:highlight w:val="none"/>
          <w:lang w:eastAsia="zh-CN"/>
        </w:rPr>
      </w:pPr>
      <w:r>
        <w:rPr>
          <w:rFonts w:hint="eastAsia" w:hAnsi="宋体" w:cs="宋体"/>
          <w:szCs w:val="24"/>
          <w:highlight w:val="none"/>
        </w:rPr>
        <w:t>企业名称（盖章）</w:t>
      </w:r>
      <w:r>
        <w:rPr>
          <w:rFonts w:hint="eastAsia" w:hAnsi="宋体" w:cs="宋体"/>
          <w:szCs w:val="24"/>
          <w:highlight w:val="none"/>
          <w:lang w:eastAsia="zh-CN"/>
        </w:rPr>
        <w:t>：</w:t>
      </w:r>
    </w:p>
    <w:p>
      <w:pPr>
        <w:tabs>
          <w:tab w:val="left" w:pos="1620"/>
          <w:tab w:val="left" w:pos="1800"/>
        </w:tabs>
        <w:spacing w:line="500" w:lineRule="exact"/>
        <w:ind w:firstLine="5040" w:firstLineChars="2100"/>
        <w:rPr>
          <w:rFonts w:hAnsi="宋体" w:cs="宋体"/>
          <w:sz w:val="21"/>
          <w:szCs w:val="21"/>
          <w:highlight w:val="none"/>
        </w:rPr>
      </w:pPr>
      <w:r>
        <w:rPr>
          <w:rFonts w:hint="eastAsia" w:hAnsi="宋体" w:cs="宋体"/>
          <w:szCs w:val="24"/>
          <w:highlight w:val="none"/>
        </w:rPr>
        <w:t>日期：</w:t>
      </w:r>
    </w:p>
    <w:p>
      <w:pPr>
        <w:keepNext/>
        <w:keepLines/>
        <w:tabs>
          <w:tab w:val="left" w:pos="0"/>
        </w:tabs>
        <w:spacing w:line="500" w:lineRule="exact"/>
        <w:ind w:left="6" w:hanging="6"/>
        <w:rPr>
          <w:rFonts w:hAnsi="宋体" w:cs="宋体"/>
          <w:color w:val="FF0000"/>
          <w:sz w:val="21"/>
          <w:szCs w:val="21"/>
          <w:highlight w:val="none"/>
        </w:rPr>
      </w:pPr>
    </w:p>
    <w:p>
      <w:pPr>
        <w:rPr>
          <w:rFonts w:hAnsi="宋体" w:cs="宋体"/>
          <w:szCs w:val="24"/>
          <w:highlight w:val="none"/>
        </w:rPr>
      </w:pPr>
    </w:p>
    <w:p>
      <w:pPr>
        <w:rPr>
          <w:rFonts w:hAnsi="宋体" w:cs="宋体"/>
          <w:szCs w:val="24"/>
          <w:highlight w:val="none"/>
        </w:rPr>
      </w:pPr>
    </w:p>
    <w:p>
      <w:pPr>
        <w:spacing w:before="100" w:beforeAutospacing="1" w:after="166" w:afterLines="50" w:line="360" w:lineRule="auto"/>
        <w:rPr>
          <w:rFonts w:hint="eastAsia" w:hAnsi="宋体" w:cs="宋体"/>
          <w:b/>
          <w:bCs/>
          <w:spacing w:val="6"/>
          <w:sz w:val="30"/>
          <w:szCs w:val="30"/>
          <w:highlight w:val="none"/>
        </w:rPr>
        <w:sectPr>
          <w:pgSz w:w="11906" w:h="16838"/>
          <w:pgMar w:top="1417" w:right="1134" w:bottom="1417" w:left="1417" w:header="1134" w:footer="992" w:gutter="0"/>
          <w:pgNumType w:fmt="decimal"/>
          <w:cols w:space="720" w:num="1"/>
          <w:titlePg/>
          <w:docGrid w:type="lines" w:linePitch="333" w:charSpace="0"/>
        </w:sectPr>
      </w:pPr>
    </w:p>
    <w:p>
      <w:pPr>
        <w:spacing w:before="100" w:beforeAutospacing="1" w:after="166" w:afterLines="50" w:line="360" w:lineRule="auto"/>
        <w:rPr>
          <w:rFonts w:hAnsi="宋体" w:cs="宋体"/>
          <w:b/>
          <w:bCs/>
          <w:spacing w:val="6"/>
          <w:sz w:val="30"/>
          <w:szCs w:val="30"/>
          <w:highlight w:val="none"/>
        </w:rPr>
      </w:pPr>
      <w:r>
        <w:rPr>
          <w:rFonts w:hint="eastAsia" w:hAnsi="宋体" w:cs="宋体"/>
          <w:b/>
          <w:bCs/>
          <w:spacing w:val="6"/>
          <w:sz w:val="30"/>
          <w:szCs w:val="30"/>
          <w:highlight w:val="none"/>
        </w:rPr>
        <w:t>附件</w:t>
      </w:r>
      <w:r>
        <w:rPr>
          <w:rFonts w:hint="eastAsia" w:hAnsi="宋体" w:cs="宋体"/>
          <w:b/>
          <w:bCs/>
          <w:spacing w:val="6"/>
          <w:sz w:val="30"/>
          <w:szCs w:val="30"/>
          <w:highlight w:val="none"/>
          <w:lang w:val="en-US" w:eastAsia="zh-CN"/>
        </w:rPr>
        <w:t>3</w:t>
      </w:r>
      <w:r>
        <w:rPr>
          <w:rFonts w:hint="eastAsia" w:hAnsi="宋体" w:cs="宋体"/>
          <w:b/>
          <w:bCs/>
          <w:spacing w:val="6"/>
          <w:sz w:val="30"/>
          <w:szCs w:val="30"/>
          <w:highlight w:val="none"/>
        </w:rPr>
        <w:t>（如有）：</w:t>
      </w:r>
    </w:p>
    <w:p>
      <w:pPr>
        <w:spacing w:line="588" w:lineRule="exact"/>
        <w:jc w:val="center"/>
        <w:outlineLvl w:val="9"/>
        <w:rPr>
          <w:rFonts w:hint="eastAsia" w:ascii="宋体" w:hAnsi="宋体" w:eastAsia="宋体" w:cs="宋体"/>
          <w:b/>
          <w:spacing w:val="6"/>
          <w:sz w:val="32"/>
          <w:szCs w:val="32"/>
          <w:highlight w:val="none"/>
        </w:rPr>
      </w:pPr>
      <w:bookmarkStart w:id="158" w:name="OLE_LINK14"/>
      <w:bookmarkStart w:id="159" w:name="OLE_LINK13"/>
      <w:r>
        <w:rPr>
          <w:rFonts w:hint="eastAsia" w:ascii="宋体" w:hAnsi="宋体" w:eastAsia="宋体" w:cs="宋体"/>
          <w:b/>
          <w:spacing w:val="6"/>
          <w:sz w:val="32"/>
          <w:szCs w:val="32"/>
          <w:highlight w:val="none"/>
        </w:rPr>
        <w:t>残疾人福利性单位声明函</w:t>
      </w:r>
    </w:p>
    <w:bookmarkEnd w:id="158"/>
    <w:bookmarkEnd w:id="159"/>
    <w:p>
      <w:pPr>
        <w:spacing w:line="588" w:lineRule="exact"/>
        <w:rPr>
          <w:rFonts w:hint="eastAsia" w:ascii="宋体" w:hAnsi="宋体" w:eastAsia="宋体" w:cs="宋体"/>
          <w:b/>
          <w:spacing w:val="6"/>
          <w:sz w:val="30"/>
          <w:szCs w:val="30"/>
          <w:highlight w:val="none"/>
        </w:rPr>
      </w:pPr>
    </w:p>
    <w:p>
      <w:pPr>
        <w:spacing w:line="588" w:lineRule="exact"/>
        <w:ind w:firstLine="504" w:firstLineChars="200"/>
        <w:rPr>
          <w:rFonts w:hint="eastAsia" w:ascii="宋体" w:hAnsi="宋体" w:eastAsia="宋体" w:cs="宋体"/>
          <w:spacing w:val="6"/>
          <w:szCs w:val="24"/>
          <w:highlight w:val="none"/>
        </w:rPr>
      </w:pPr>
      <w:r>
        <w:rPr>
          <w:rFonts w:hint="eastAsia" w:ascii="宋体" w:hAnsi="宋体" w:eastAsia="宋体" w:cs="宋体"/>
          <w:spacing w:val="6"/>
          <w:szCs w:val="24"/>
          <w:highlight w:val="none"/>
        </w:rPr>
        <w:t>本单位郑重声明，根据《财政部 民政部 中国残疾人联合会关于促进残疾人就业政府采购政策的通知》（财库</w:t>
      </w:r>
      <w:r>
        <w:rPr>
          <w:rFonts w:hint="eastAsia" w:ascii="宋体" w:hAnsi="宋体" w:eastAsia="宋体" w:cs="宋体"/>
          <w:szCs w:val="24"/>
          <w:highlight w:val="none"/>
        </w:rPr>
        <w:t>〔2017〕141</w:t>
      </w:r>
      <w:r>
        <w:rPr>
          <w:rFonts w:hint="eastAsia" w:ascii="宋体" w:hAnsi="宋体" w:eastAsia="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4860"/>
        </w:tabs>
        <w:spacing w:line="588" w:lineRule="exact"/>
        <w:ind w:right="1560" w:firstLine="504" w:firstLineChars="200"/>
        <w:jc w:val="center"/>
        <w:rPr>
          <w:rFonts w:hAnsi="宋体" w:cs="宋体"/>
          <w:spacing w:val="6"/>
          <w:szCs w:val="24"/>
          <w:highlight w:val="none"/>
        </w:rPr>
      </w:pPr>
      <w:r>
        <w:rPr>
          <w:rFonts w:hint="eastAsia" w:ascii="宋体" w:hAnsi="宋体" w:eastAsia="宋体" w:cs="宋体"/>
          <w:spacing w:val="6"/>
          <w:szCs w:val="24"/>
          <w:highlight w:val="none"/>
        </w:rPr>
        <w:t>本单位对上述声明的真实性负责。如有虚假，将依法承担相应责任。</w:t>
      </w:r>
    </w:p>
    <w:p>
      <w:pPr>
        <w:tabs>
          <w:tab w:val="left" w:pos="1620"/>
          <w:tab w:val="left" w:pos="1800"/>
        </w:tabs>
        <w:spacing w:line="440" w:lineRule="exact"/>
        <w:ind w:right="617" w:rightChars="257"/>
        <w:rPr>
          <w:rFonts w:hAnsi="宋体" w:cs="宋体"/>
          <w:highlight w:val="none"/>
        </w:rPr>
      </w:pPr>
    </w:p>
    <w:p>
      <w:pPr>
        <w:tabs>
          <w:tab w:val="left" w:pos="1620"/>
          <w:tab w:val="left" w:pos="1800"/>
        </w:tabs>
        <w:spacing w:line="440" w:lineRule="exact"/>
        <w:ind w:right="617" w:rightChars="257"/>
        <w:rPr>
          <w:rFonts w:hAnsi="宋体" w:cs="宋体"/>
          <w:highlight w:val="none"/>
        </w:rPr>
      </w:pPr>
    </w:p>
    <w:p>
      <w:pPr>
        <w:bidi w:val="0"/>
        <w:rPr>
          <w:rFonts w:ascii="宋体" w:hAnsi="Times New Roman" w:eastAsia="宋体" w:cs="Times New Roman"/>
          <w:sz w:val="24"/>
          <w:highlight w:val="none"/>
          <w:lang w:val="en-US" w:eastAsia="zh-CN" w:bidi="ar-SA"/>
        </w:rPr>
      </w:pPr>
    </w:p>
    <w:p>
      <w:pPr>
        <w:tabs>
          <w:tab w:val="left" w:pos="4860"/>
        </w:tabs>
        <w:spacing w:line="588" w:lineRule="exact"/>
        <w:ind w:right="1560" w:firstLine="480" w:firstLineChars="200"/>
        <w:jc w:val="center"/>
        <w:outlineLvl w:val="9"/>
        <w:rPr>
          <w:rFonts w:hint="eastAsia" w:ascii="宋体" w:hAnsi="宋体" w:eastAsia="宋体" w:cs="宋体"/>
          <w:spacing w:val="6"/>
          <w:szCs w:val="24"/>
          <w:highlight w:val="none"/>
        </w:rPr>
      </w:pPr>
      <w:r>
        <w:rPr>
          <w:rFonts w:hint="eastAsia"/>
          <w:highlight w:val="none"/>
          <w:lang w:val="en-US" w:eastAsia="zh-CN"/>
        </w:rPr>
        <w:tab/>
      </w:r>
      <w:r>
        <w:rPr>
          <w:rFonts w:hint="eastAsia" w:ascii="宋体" w:hAnsi="宋体" w:eastAsia="宋体" w:cs="宋体"/>
          <w:spacing w:val="6"/>
          <w:szCs w:val="24"/>
          <w:highlight w:val="none"/>
        </w:rPr>
        <w:t>单位名称（盖章）：</w:t>
      </w:r>
    </w:p>
    <w:p>
      <w:pPr>
        <w:tabs>
          <w:tab w:val="left" w:pos="5553"/>
        </w:tabs>
        <w:bidi w:val="0"/>
        <w:jc w:val="left"/>
        <w:rPr>
          <w:highlight w:val="none"/>
          <w:lang w:val="en-US" w:eastAsia="zh-CN"/>
        </w:rPr>
      </w:pPr>
      <w:r>
        <w:rPr>
          <w:rFonts w:hint="eastAsia" w:ascii="宋体" w:hAnsi="宋体" w:eastAsia="宋体" w:cs="宋体"/>
          <w:spacing w:val="6"/>
          <w:szCs w:val="24"/>
          <w:highlight w:val="none"/>
        </w:rPr>
        <w:t xml:space="preserve">       </w:t>
      </w:r>
      <w:r>
        <w:rPr>
          <w:rFonts w:hint="eastAsia" w:hAnsi="宋体" w:cs="宋体"/>
          <w:spacing w:val="6"/>
          <w:szCs w:val="24"/>
          <w:highlight w:val="none"/>
          <w:lang w:val="en-US" w:eastAsia="zh-CN"/>
        </w:rPr>
        <w:t xml:space="preserve">                                </w:t>
      </w:r>
      <w:r>
        <w:rPr>
          <w:rFonts w:hint="eastAsia" w:ascii="宋体" w:hAnsi="宋体" w:eastAsia="宋体" w:cs="宋体"/>
          <w:spacing w:val="6"/>
          <w:szCs w:val="24"/>
          <w:highlight w:val="none"/>
        </w:rPr>
        <w:t>日    期：</w:t>
      </w:r>
    </w:p>
    <w:p>
      <w:pPr>
        <w:spacing w:line="520" w:lineRule="exact"/>
        <w:ind w:right="480"/>
        <w:jc w:val="right"/>
        <w:rPr>
          <w:rFonts w:hAnsi="宋体" w:cs="宋体"/>
          <w:szCs w:val="24"/>
          <w:highlight w:val="none"/>
        </w:rPr>
        <w:sectPr>
          <w:pgSz w:w="11906" w:h="16838"/>
          <w:pgMar w:top="1417" w:right="1134" w:bottom="1417" w:left="1417" w:header="1134" w:footer="992" w:gutter="0"/>
          <w:pgNumType w:fmt="decimal"/>
          <w:cols w:space="720" w:num="1"/>
          <w:titlePg/>
          <w:docGrid w:type="lines" w:linePitch="333" w:charSpace="0"/>
        </w:sectPr>
      </w:pPr>
    </w:p>
    <w:p>
      <w:pPr>
        <w:pStyle w:val="2"/>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eastAsia="宋体" w:cs="宋体"/>
          <w:b/>
          <w:bCs/>
          <w:color w:val="auto"/>
          <w:spacing w:val="6"/>
          <w:sz w:val="30"/>
          <w:szCs w:val="30"/>
          <w:highlight w:val="none"/>
          <w:lang w:val="en-US" w:eastAsia="zh-CN"/>
        </w:rPr>
      </w:pPr>
      <w:r>
        <w:rPr>
          <w:rFonts w:hint="eastAsia" w:ascii="宋体" w:hAnsi="宋体" w:eastAsia="宋体" w:cs="宋体"/>
          <w:b/>
          <w:bCs/>
          <w:spacing w:val="6"/>
          <w:kern w:val="0"/>
          <w:sz w:val="30"/>
          <w:szCs w:val="30"/>
          <w:highlight w:val="none"/>
          <w:lang w:val="en-US" w:eastAsia="zh-CN" w:bidi="ar-SA"/>
        </w:rPr>
        <w:t>附件</w:t>
      </w:r>
      <w:r>
        <w:rPr>
          <w:rFonts w:hint="eastAsia" w:ascii="宋体" w:hAnsi="宋体" w:cs="宋体"/>
          <w:b/>
          <w:bCs/>
          <w:spacing w:val="6"/>
          <w:kern w:val="0"/>
          <w:sz w:val="30"/>
          <w:szCs w:val="30"/>
          <w:highlight w:val="none"/>
          <w:lang w:val="en-US" w:eastAsia="zh-CN" w:bidi="ar-SA"/>
        </w:rPr>
        <w:t>4</w:t>
      </w:r>
      <w:r>
        <w:rPr>
          <w:rFonts w:hint="eastAsia" w:ascii="宋体" w:hAnsi="宋体" w:eastAsia="宋体" w:cs="宋体"/>
          <w:b/>
          <w:bCs/>
          <w:spacing w:val="6"/>
          <w:kern w:val="0"/>
          <w:sz w:val="30"/>
          <w:szCs w:val="30"/>
          <w:highlight w:val="none"/>
          <w:lang w:val="en-US" w:eastAsia="zh-CN" w:bidi="ar-SA"/>
        </w:rPr>
        <w:t>：监狱企业证明文件（如有）</w:t>
      </w:r>
    </w:p>
    <w:p>
      <w:pPr>
        <w:pStyle w:val="2"/>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监狱企业证明文件</w:t>
      </w:r>
    </w:p>
    <w:p>
      <w:pPr>
        <w:spacing w:line="500" w:lineRule="exact"/>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22"/>
        <w:ind w:left="0" w:leftChars="0" w:firstLine="480" w:firstLineChars="200"/>
        <w:rPr>
          <w:rFonts w:hint="eastAsia" w:ascii="宋体" w:hAnsi="宋体" w:eastAsia="宋体" w:cs="宋体"/>
          <w:color w:val="auto"/>
          <w:sz w:val="24"/>
          <w:szCs w:val="32"/>
          <w:highlight w:val="none"/>
          <w:lang w:val="en-US" w:eastAsia="zh-CN" w:bidi="ar-SA"/>
        </w:rPr>
      </w:pPr>
      <w:r>
        <w:rPr>
          <w:rFonts w:hint="eastAsia" w:ascii="宋体" w:hAnsi="宋体" w:eastAsia="宋体" w:cs="宋体"/>
          <w:color w:val="auto"/>
          <w:sz w:val="24"/>
          <w:szCs w:val="32"/>
          <w:highlight w:val="none"/>
          <w:lang w:val="en-US" w:eastAsia="zh-CN" w:bidi="ar-SA"/>
        </w:rPr>
        <w:t>监狱企业参加政府采购活动时，应当提供由省级以上监狱管理局、戒毒管理局（含新疆生产建设兵团）出具的属于监狱企业的证明文件，非监狱企业无需提供。</w:t>
      </w:r>
    </w:p>
    <w:p>
      <w:pPr>
        <w:rPr>
          <w:rFonts w:hint="eastAsia" w:ascii="宋体" w:hAnsi="宋体" w:eastAsia="宋体" w:cs="宋体"/>
          <w:color w:val="auto"/>
          <w:sz w:val="24"/>
          <w:szCs w:val="32"/>
          <w:highlight w:val="none"/>
          <w:lang w:val="en-US" w:eastAsia="zh-CN" w:bidi="ar-SA"/>
        </w:rPr>
      </w:pPr>
      <w:r>
        <w:rPr>
          <w:rFonts w:hint="eastAsia" w:ascii="宋体" w:hAnsi="宋体" w:eastAsia="宋体" w:cs="宋体"/>
          <w:color w:val="auto"/>
          <w:sz w:val="24"/>
          <w:szCs w:val="32"/>
          <w:highlight w:val="none"/>
          <w:lang w:val="en-US" w:eastAsia="zh-CN" w:bidi="ar-SA"/>
        </w:rPr>
        <w:br w:type="page"/>
      </w:r>
    </w:p>
    <w:p>
      <w:pPr>
        <w:jc w:val="center"/>
        <w:rPr>
          <w:rFonts w:hAnsi="宋体" w:cs="宋体"/>
          <w:b/>
          <w:bCs/>
          <w:sz w:val="44"/>
          <w:szCs w:val="44"/>
          <w:highlight w:val="none"/>
        </w:rPr>
      </w:pPr>
      <w:r>
        <w:rPr>
          <w:rFonts w:hint="eastAsia" w:hAnsi="宋体" w:cs="宋体"/>
          <w:b/>
          <w:bCs/>
          <w:sz w:val="44"/>
          <w:szCs w:val="44"/>
          <w:highlight w:val="none"/>
        </w:rPr>
        <w:t>质疑函范本</w:t>
      </w:r>
    </w:p>
    <w:p>
      <w:pPr>
        <w:adjustRightInd w:val="0"/>
        <w:snapToGrid w:val="0"/>
        <w:spacing w:before="312" w:beforeLines="100" w:line="360" w:lineRule="auto"/>
        <w:rPr>
          <w:rFonts w:hAnsi="宋体" w:cs="宋体"/>
          <w:bCs/>
          <w:szCs w:val="24"/>
          <w:highlight w:val="none"/>
        </w:rPr>
      </w:pPr>
      <w:r>
        <w:rPr>
          <w:rFonts w:hint="eastAsia" w:hAnsi="宋体" w:cs="宋体"/>
          <w:bCs/>
          <w:szCs w:val="24"/>
          <w:highlight w:val="none"/>
        </w:rPr>
        <w:t>一、质疑供应商基本信息</w:t>
      </w:r>
    </w:p>
    <w:p>
      <w:pPr>
        <w:adjustRightInd w:val="0"/>
        <w:snapToGrid w:val="0"/>
        <w:spacing w:line="360" w:lineRule="auto"/>
        <w:rPr>
          <w:rFonts w:hAnsi="宋体" w:cs="宋体"/>
          <w:szCs w:val="24"/>
          <w:highlight w:val="none"/>
          <w:u w:val="dotted"/>
        </w:rPr>
      </w:pPr>
      <w:r>
        <w:rPr>
          <w:rFonts w:hint="eastAsia" w:hAnsi="宋体" w:cs="宋体"/>
          <w:szCs w:val="24"/>
          <w:highlight w:val="none"/>
        </w:rPr>
        <w:t>质疑供应商：</w:t>
      </w:r>
      <w:r>
        <w:rPr>
          <w:rFonts w:hint="eastAsia" w:hAnsi="宋体" w:cs="宋体"/>
          <w:szCs w:val="24"/>
          <w:highlight w:val="none"/>
          <w:u w:val="dotted"/>
        </w:rPr>
        <w:t xml:space="preserve">                                        </w:t>
      </w:r>
    </w:p>
    <w:p>
      <w:pPr>
        <w:adjustRightInd w:val="0"/>
        <w:snapToGrid w:val="0"/>
        <w:spacing w:line="360" w:lineRule="auto"/>
        <w:rPr>
          <w:rFonts w:hAnsi="宋体" w:cs="宋体"/>
          <w:szCs w:val="24"/>
          <w:highlight w:val="none"/>
        </w:rPr>
      </w:pPr>
      <w:r>
        <w:rPr>
          <w:rFonts w:hint="eastAsia" w:hAnsi="宋体" w:cs="宋体"/>
          <w:szCs w:val="24"/>
          <w:highlight w:val="none"/>
        </w:rPr>
        <w:t>地址：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pPr>
        <w:adjustRightInd w:val="0"/>
        <w:snapToGrid w:val="0"/>
        <w:spacing w:line="360" w:lineRule="auto"/>
        <w:rPr>
          <w:rFonts w:hAnsi="宋体" w:cs="宋体"/>
          <w:szCs w:val="24"/>
          <w:highlight w:val="non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pPr>
        <w:adjustRightInd w:val="0"/>
        <w:snapToGrid w:val="0"/>
        <w:spacing w:line="360" w:lineRule="auto"/>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p>
    <w:p>
      <w:pPr>
        <w:adjustRightInd w:val="0"/>
        <w:snapToGrid w:val="0"/>
        <w:spacing w:line="360" w:lineRule="auto"/>
        <w:rPr>
          <w:rFonts w:hAnsi="宋体" w:cs="宋体"/>
          <w:szCs w:val="24"/>
          <w:highlight w:val="none"/>
        </w:rPr>
      </w:pP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rPr>
        <w:t xml:space="preserve"> </w:t>
      </w:r>
    </w:p>
    <w:p>
      <w:pPr>
        <w:adjustRightInd w:val="0"/>
        <w:snapToGrid w:val="0"/>
        <w:spacing w:line="360" w:lineRule="auto"/>
        <w:rPr>
          <w:rFonts w:hAnsi="宋体" w:cs="宋体"/>
          <w:szCs w:val="24"/>
          <w:highlight w:val="none"/>
        </w:rPr>
      </w:pPr>
      <w:r>
        <w:rPr>
          <w:rFonts w:hint="eastAsia" w:hAnsi="宋体" w:cs="宋体"/>
          <w:szCs w:val="24"/>
          <w:highlight w:val="none"/>
        </w:rPr>
        <w:t xml:space="preserve">地址： </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pPr>
        <w:adjustRightInd w:val="0"/>
        <w:snapToGrid w:val="0"/>
        <w:spacing w:line="360" w:lineRule="auto"/>
        <w:rPr>
          <w:rFonts w:hAnsi="宋体" w:cs="宋体"/>
          <w:bCs/>
          <w:szCs w:val="24"/>
          <w:highlight w:val="none"/>
        </w:rPr>
      </w:pPr>
      <w:r>
        <w:rPr>
          <w:rFonts w:hint="eastAsia" w:hAnsi="宋体" w:cs="宋体"/>
          <w:bCs/>
          <w:szCs w:val="24"/>
          <w:highlight w:val="none"/>
        </w:rPr>
        <w:t>二、质疑项目基本情况</w:t>
      </w:r>
    </w:p>
    <w:p>
      <w:pPr>
        <w:adjustRightInd w:val="0"/>
        <w:snapToGrid w:val="0"/>
        <w:spacing w:line="360" w:lineRule="auto"/>
        <w:rPr>
          <w:rFonts w:hAnsi="宋体" w:cs="宋体"/>
          <w:szCs w:val="24"/>
          <w:highlight w:val="none"/>
        </w:rPr>
      </w:pPr>
      <w:r>
        <w:rPr>
          <w:rFonts w:hint="eastAsia" w:hAnsi="宋体" w:cs="宋体"/>
          <w:szCs w:val="24"/>
          <w:highlight w:val="none"/>
        </w:rPr>
        <w:t>质疑项目的名称：</w:t>
      </w:r>
      <w:r>
        <w:rPr>
          <w:rFonts w:hint="eastAsia" w:hAnsi="宋体" w:cs="宋体"/>
          <w:szCs w:val="24"/>
          <w:highlight w:val="none"/>
          <w:u w:val="dotted"/>
        </w:rPr>
        <w:t xml:space="preserve">                                      </w:t>
      </w:r>
    </w:p>
    <w:p>
      <w:pPr>
        <w:adjustRightInd w:val="0"/>
        <w:snapToGrid w:val="0"/>
        <w:spacing w:line="360" w:lineRule="auto"/>
        <w:rPr>
          <w:rFonts w:hAnsi="宋体" w:cs="宋体"/>
          <w:szCs w:val="24"/>
          <w:highlight w:val="none"/>
        </w:rPr>
      </w:pPr>
      <w:r>
        <w:rPr>
          <w:rFonts w:hint="eastAsia" w:hAnsi="宋体" w:cs="宋体"/>
          <w:szCs w:val="24"/>
          <w:highlight w:val="none"/>
        </w:rPr>
        <w:t>质疑项目的编号：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pPr>
        <w:adjustRightInd w:val="0"/>
        <w:snapToGrid w:val="0"/>
        <w:spacing w:line="360" w:lineRule="auto"/>
        <w:rPr>
          <w:rFonts w:hAnsi="宋体" w:cs="宋体"/>
          <w:szCs w:val="24"/>
          <w:highlight w:val="none"/>
          <w:u w:val="dotted"/>
        </w:rPr>
      </w:pPr>
      <w:r>
        <w:rPr>
          <w:rFonts w:hint="eastAsia" w:hAnsi="宋体" w:cs="宋体"/>
          <w:szCs w:val="24"/>
          <w:highlight w:val="none"/>
        </w:rPr>
        <w:t>采购人名称：</w:t>
      </w:r>
      <w:r>
        <w:rPr>
          <w:rFonts w:hint="eastAsia" w:hAnsi="宋体" w:cs="宋体"/>
          <w:szCs w:val="24"/>
          <w:highlight w:val="none"/>
          <w:u w:val="dotted"/>
        </w:rPr>
        <w:t xml:space="preserve">                                         </w:t>
      </w:r>
    </w:p>
    <w:p>
      <w:pPr>
        <w:adjustRightInd w:val="0"/>
        <w:snapToGrid w:val="0"/>
        <w:spacing w:line="360" w:lineRule="auto"/>
        <w:rPr>
          <w:rFonts w:hAnsi="宋体" w:cs="宋体"/>
          <w:szCs w:val="24"/>
          <w:highlight w:val="none"/>
        </w:rPr>
      </w:pPr>
      <w:r>
        <w:rPr>
          <w:rFonts w:hint="eastAsia" w:hAnsi="宋体" w:cs="宋体"/>
          <w:szCs w:val="24"/>
          <w:highlight w:val="none"/>
        </w:rPr>
        <w:t>采购文件获取日期：</w:t>
      </w:r>
      <w:r>
        <w:rPr>
          <w:rFonts w:hint="eastAsia" w:hAnsi="宋体" w:cs="宋体"/>
          <w:szCs w:val="24"/>
          <w:highlight w:val="none"/>
          <w:u w:val="dotted"/>
        </w:rPr>
        <w:t xml:space="preserve">                                           </w:t>
      </w:r>
    </w:p>
    <w:p>
      <w:pPr>
        <w:adjustRightInd w:val="0"/>
        <w:snapToGrid w:val="0"/>
        <w:spacing w:line="360" w:lineRule="auto"/>
        <w:rPr>
          <w:rFonts w:hAnsi="宋体" w:cs="宋体"/>
          <w:bCs/>
          <w:szCs w:val="24"/>
          <w:highlight w:val="none"/>
        </w:rPr>
      </w:pPr>
      <w:r>
        <w:rPr>
          <w:rFonts w:hint="eastAsia" w:hAnsi="宋体" w:cs="宋体"/>
          <w:bCs/>
          <w:szCs w:val="24"/>
          <w:highlight w:val="none"/>
        </w:rPr>
        <w:t>三、质疑事项具体内容</w:t>
      </w:r>
    </w:p>
    <w:p>
      <w:pPr>
        <w:adjustRightInd w:val="0"/>
        <w:snapToGrid w:val="0"/>
        <w:spacing w:line="360" w:lineRule="auto"/>
        <w:rPr>
          <w:rFonts w:hAnsi="宋体" w:cs="宋体"/>
          <w:szCs w:val="24"/>
          <w:highlight w:val="none"/>
          <w:u w:val="dotted"/>
        </w:rPr>
      </w:pPr>
      <w:r>
        <w:rPr>
          <w:rFonts w:hint="eastAsia" w:hAnsi="宋体" w:cs="宋体"/>
          <w:szCs w:val="24"/>
          <w:highlight w:val="none"/>
        </w:rPr>
        <w:t>质疑事项1：</w:t>
      </w:r>
      <w:r>
        <w:rPr>
          <w:rFonts w:hint="eastAsia" w:hAnsi="宋体" w:cs="宋体"/>
          <w:szCs w:val="24"/>
          <w:highlight w:val="none"/>
          <w:u w:val="dotted"/>
        </w:rPr>
        <w:t xml:space="preserve">                                         </w:t>
      </w:r>
    </w:p>
    <w:p>
      <w:pPr>
        <w:adjustRightInd w:val="0"/>
        <w:snapToGrid w:val="0"/>
        <w:spacing w:line="360" w:lineRule="auto"/>
        <w:rPr>
          <w:rFonts w:hAnsi="宋体" w:cs="宋体"/>
          <w:szCs w:val="24"/>
          <w:highlight w:val="none"/>
          <w:u w:val="dotted"/>
        </w:rPr>
      </w:pPr>
      <w:r>
        <w:rPr>
          <w:rFonts w:hint="eastAsia" w:hAnsi="宋体" w:cs="宋体"/>
          <w:szCs w:val="24"/>
          <w:highlight w:val="none"/>
        </w:rPr>
        <w:t>事实依据：</w:t>
      </w:r>
      <w:r>
        <w:rPr>
          <w:rFonts w:hint="eastAsia" w:hAnsi="宋体" w:cs="宋体"/>
          <w:szCs w:val="24"/>
          <w:highlight w:val="none"/>
          <w:u w:val="dotted"/>
        </w:rPr>
        <w:t xml:space="preserve">                                          </w:t>
      </w:r>
    </w:p>
    <w:p>
      <w:pPr>
        <w:adjustRightInd w:val="0"/>
        <w:snapToGrid w:val="0"/>
        <w:spacing w:line="360" w:lineRule="auto"/>
        <w:rPr>
          <w:rFonts w:hAnsi="宋体" w:cs="宋体"/>
          <w:szCs w:val="24"/>
          <w:highlight w:val="none"/>
        </w:rPr>
      </w:pPr>
      <w:r>
        <w:rPr>
          <w:rFonts w:hint="eastAsia" w:hAnsi="宋体" w:cs="宋体"/>
          <w:szCs w:val="24"/>
          <w:highlight w:val="none"/>
          <w:u w:val="dotted"/>
        </w:rPr>
        <w:t xml:space="preserve">                                                       </w:t>
      </w:r>
    </w:p>
    <w:p>
      <w:pPr>
        <w:adjustRightInd w:val="0"/>
        <w:snapToGrid w:val="0"/>
        <w:spacing w:line="360" w:lineRule="auto"/>
        <w:rPr>
          <w:rFonts w:hAnsi="宋体" w:cs="宋体"/>
          <w:szCs w:val="24"/>
          <w:highlight w:val="none"/>
          <w:u w:val="dotted"/>
        </w:rPr>
      </w:pPr>
      <w:r>
        <w:rPr>
          <w:rFonts w:hint="eastAsia" w:hAnsi="宋体" w:cs="宋体"/>
          <w:szCs w:val="24"/>
          <w:highlight w:val="none"/>
        </w:rPr>
        <w:t>法律依据：</w:t>
      </w:r>
      <w:r>
        <w:rPr>
          <w:rFonts w:hint="eastAsia" w:hAnsi="宋体" w:cs="宋体"/>
          <w:szCs w:val="24"/>
          <w:highlight w:val="none"/>
          <w:u w:val="dotted"/>
        </w:rPr>
        <w:t xml:space="preserve">                                          </w:t>
      </w:r>
    </w:p>
    <w:p>
      <w:pPr>
        <w:adjustRightInd w:val="0"/>
        <w:snapToGrid w:val="0"/>
        <w:spacing w:line="360" w:lineRule="auto"/>
        <w:rPr>
          <w:rFonts w:hAnsi="宋体" w:cs="宋体"/>
          <w:szCs w:val="24"/>
          <w:highlight w:val="none"/>
          <w:u w:val="dotted"/>
        </w:rPr>
      </w:pPr>
      <w:r>
        <w:rPr>
          <w:rFonts w:hint="eastAsia" w:hAnsi="宋体" w:cs="宋体"/>
          <w:szCs w:val="24"/>
          <w:highlight w:val="none"/>
          <w:u w:val="dotted"/>
        </w:rPr>
        <w:t xml:space="preserve">                                                     </w:t>
      </w:r>
    </w:p>
    <w:p>
      <w:pPr>
        <w:adjustRightInd w:val="0"/>
        <w:snapToGrid w:val="0"/>
        <w:spacing w:line="360" w:lineRule="auto"/>
        <w:rPr>
          <w:rFonts w:hAnsi="宋体" w:cs="宋体"/>
          <w:szCs w:val="24"/>
          <w:highlight w:val="none"/>
          <w:u w:val="dotted"/>
        </w:rPr>
      </w:pPr>
      <w:r>
        <w:rPr>
          <w:rFonts w:hint="eastAsia" w:hAnsi="宋体" w:cs="宋体"/>
          <w:szCs w:val="24"/>
          <w:highlight w:val="none"/>
        </w:rPr>
        <w:t>质疑事项2</w:t>
      </w:r>
    </w:p>
    <w:p>
      <w:pPr>
        <w:adjustRightInd w:val="0"/>
        <w:snapToGrid w:val="0"/>
        <w:spacing w:line="360" w:lineRule="auto"/>
        <w:rPr>
          <w:rFonts w:hAnsi="宋体" w:cs="宋体"/>
          <w:szCs w:val="24"/>
          <w:highlight w:val="none"/>
        </w:rPr>
      </w:pPr>
      <w:r>
        <w:rPr>
          <w:rFonts w:hint="eastAsia" w:hAnsi="宋体" w:cs="宋体"/>
          <w:szCs w:val="24"/>
          <w:highlight w:val="none"/>
        </w:rPr>
        <w:t>……</w:t>
      </w:r>
    </w:p>
    <w:p>
      <w:pPr>
        <w:adjustRightInd w:val="0"/>
        <w:snapToGrid w:val="0"/>
        <w:spacing w:line="360" w:lineRule="auto"/>
        <w:rPr>
          <w:rFonts w:hAnsi="宋体" w:cs="宋体"/>
          <w:bCs/>
          <w:szCs w:val="24"/>
          <w:highlight w:val="none"/>
        </w:rPr>
      </w:pPr>
      <w:r>
        <w:rPr>
          <w:rFonts w:hint="eastAsia" w:hAnsi="宋体" w:cs="宋体"/>
          <w:bCs/>
          <w:szCs w:val="24"/>
          <w:highlight w:val="none"/>
        </w:rPr>
        <w:t>四、与质疑事项相关的质疑请求</w:t>
      </w:r>
    </w:p>
    <w:p>
      <w:pPr>
        <w:adjustRightInd w:val="0"/>
        <w:snapToGrid w:val="0"/>
        <w:spacing w:line="360" w:lineRule="auto"/>
        <w:rPr>
          <w:rFonts w:hAnsi="宋体" w:cs="宋体"/>
          <w:szCs w:val="24"/>
          <w:highlight w:val="none"/>
          <w:u w:val="dotted"/>
        </w:rPr>
      </w:pPr>
      <w:r>
        <w:rPr>
          <w:rFonts w:hint="eastAsia" w:hAnsi="宋体" w:cs="宋体"/>
          <w:szCs w:val="24"/>
          <w:highlight w:val="none"/>
        </w:rPr>
        <w:t>请求：</w:t>
      </w:r>
      <w:r>
        <w:rPr>
          <w:rFonts w:hint="eastAsia" w:hAnsi="宋体" w:cs="宋体"/>
          <w:szCs w:val="24"/>
          <w:highlight w:val="none"/>
          <w:u w:val="dotted"/>
        </w:rPr>
        <w:t xml:space="preserve">                                               </w:t>
      </w:r>
    </w:p>
    <w:p>
      <w:pPr>
        <w:rPr>
          <w:rFonts w:hAnsi="宋体" w:cs="宋体"/>
          <w:szCs w:val="24"/>
          <w:highlight w:val="none"/>
        </w:rPr>
      </w:pPr>
      <w:r>
        <w:rPr>
          <w:rFonts w:hint="eastAsia" w:hAnsi="宋体" w:cs="宋体"/>
          <w:szCs w:val="24"/>
          <w:highlight w:val="none"/>
        </w:rPr>
        <w:t xml:space="preserve">签字(签章)：                   公章：                      </w:t>
      </w:r>
    </w:p>
    <w:p>
      <w:pPr>
        <w:rPr>
          <w:rFonts w:hAnsi="宋体" w:cs="宋体"/>
          <w:szCs w:val="24"/>
          <w:highlight w:val="none"/>
        </w:rPr>
      </w:pPr>
      <w:r>
        <w:rPr>
          <w:rFonts w:hint="eastAsia" w:hAnsi="宋体" w:cs="宋体"/>
          <w:szCs w:val="24"/>
          <w:highlight w:val="none"/>
        </w:rPr>
        <w:t xml:space="preserve">日期：    </w:t>
      </w:r>
    </w:p>
    <w:p>
      <w:pPr>
        <w:rPr>
          <w:rFonts w:hint="eastAsia" w:hAnsi="宋体" w:cs="宋体"/>
          <w:b/>
          <w:sz w:val="44"/>
          <w:szCs w:val="44"/>
          <w:highlight w:val="none"/>
        </w:rPr>
      </w:pPr>
      <w:r>
        <w:rPr>
          <w:rFonts w:hint="eastAsia" w:hAnsi="宋体" w:cs="宋体"/>
          <w:b/>
          <w:sz w:val="44"/>
          <w:szCs w:val="44"/>
          <w:highlight w:val="none"/>
        </w:rPr>
        <w:br w:type="page"/>
      </w:r>
    </w:p>
    <w:p>
      <w:pPr>
        <w:jc w:val="center"/>
        <w:rPr>
          <w:rFonts w:hAnsi="宋体" w:cs="宋体"/>
          <w:b/>
          <w:sz w:val="44"/>
          <w:szCs w:val="44"/>
          <w:highlight w:val="none"/>
        </w:rPr>
      </w:pPr>
      <w:r>
        <w:rPr>
          <w:rFonts w:hint="eastAsia" w:hAnsi="宋体" w:cs="宋体"/>
          <w:b/>
          <w:sz w:val="44"/>
          <w:szCs w:val="44"/>
          <w:highlight w:val="none"/>
        </w:rPr>
        <w:t>投诉书范本</w:t>
      </w:r>
    </w:p>
    <w:p>
      <w:pPr>
        <w:rPr>
          <w:rFonts w:hAnsi="宋体" w:cs="宋体"/>
          <w:szCs w:val="24"/>
          <w:highlight w:val="none"/>
        </w:rPr>
      </w:pPr>
      <w:r>
        <w:rPr>
          <w:rFonts w:hint="eastAsia" w:hAnsi="宋体" w:cs="宋体"/>
          <w:szCs w:val="24"/>
          <w:highlight w:val="none"/>
        </w:rPr>
        <w:t>一、投诉相关主体基本情况</w:t>
      </w:r>
    </w:p>
    <w:p>
      <w:pPr>
        <w:rPr>
          <w:rFonts w:hAnsi="宋体" w:cs="宋体"/>
          <w:szCs w:val="24"/>
          <w:highlight w:val="none"/>
          <w:u w:val="dotted"/>
        </w:rPr>
      </w:pPr>
      <w:r>
        <w:rPr>
          <w:rFonts w:hint="eastAsia" w:hAnsi="宋体" w:cs="宋体"/>
          <w:szCs w:val="24"/>
          <w:highlight w:val="none"/>
        </w:rPr>
        <w:t>投诉人：</w:t>
      </w:r>
      <w:r>
        <w:rPr>
          <w:rFonts w:hint="eastAsia" w:hAnsi="宋体" w:cs="宋体"/>
          <w:szCs w:val="24"/>
          <w:highlight w:val="none"/>
          <w:u w:val="dotted"/>
        </w:rPr>
        <w:t xml:space="preserve">                                               </w:t>
      </w:r>
    </w:p>
    <w:p>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pPr>
        <w:tabs>
          <w:tab w:val="left" w:pos="6510"/>
        </w:tabs>
        <w:jc w:val="left"/>
        <w:rPr>
          <w:rFonts w:hAnsi="宋体" w:cs="宋体"/>
          <w:szCs w:val="24"/>
          <w:highlight w:val="none"/>
        </w:rPr>
      </w:pPr>
      <w:r>
        <w:rPr>
          <w:rFonts w:hint="eastAsia" w:hAnsi="宋体" w:cs="宋体"/>
          <w:szCs w:val="24"/>
          <w:highlight w:val="none"/>
        </w:rPr>
        <w:t>法定代表人/主要负责人：</w:t>
      </w:r>
      <w:r>
        <w:rPr>
          <w:rFonts w:hint="eastAsia" w:hAnsi="宋体" w:cs="宋体"/>
          <w:szCs w:val="24"/>
          <w:highlight w:val="none"/>
          <w:u w:val="dotted"/>
        </w:rPr>
        <w:t xml:space="preserve">                                   </w:t>
      </w:r>
      <w:r>
        <w:rPr>
          <w:rFonts w:hint="eastAsia" w:hAnsi="宋体" w:cs="宋体"/>
          <w:szCs w:val="24"/>
          <w:highlight w:val="none"/>
        </w:rPr>
        <w:t xml:space="preserve">  </w:t>
      </w:r>
    </w:p>
    <w:p>
      <w:pPr>
        <w:tabs>
          <w:tab w:val="left" w:pos="6510"/>
        </w:tabs>
        <w:rPr>
          <w:rFonts w:hAnsi="宋体" w:cs="宋体"/>
          <w:szCs w:val="24"/>
          <w:highlight w:val="none"/>
          <w:u w:val="dotted"/>
        </w:rPr>
      </w:pPr>
      <w:r>
        <w:rPr>
          <w:rFonts w:hint="eastAsia" w:hAnsi="宋体" w:cs="宋体"/>
          <w:szCs w:val="24"/>
          <w:highlight w:val="none"/>
        </w:rPr>
        <w:t>联系电话：</w:t>
      </w:r>
      <w:r>
        <w:rPr>
          <w:rFonts w:hint="eastAsia" w:hAnsi="宋体" w:cs="宋体"/>
          <w:szCs w:val="24"/>
          <w:highlight w:val="none"/>
          <w:u w:val="dotted"/>
        </w:rPr>
        <w:t xml:space="preserve">                                             </w:t>
      </w:r>
    </w:p>
    <w:p>
      <w:pPr>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pPr>
        <w:rPr>
          <w:rFonts w:hAnsi="宋体" w:cs="宋体"/>
          <w:szCs w:val="24"/>
          <w:highlight w:val="none"/>
          <w:u w:val="dotted"/>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r>
        <w:rPr>
          <w:rFonts w:hint="eastAsia" w:hAnsi="宋体" w:cs="宋体"/>
          <w:szCs w:val="24"/>
          <w:highlight w:val="none"/>
          <w:u w:val="dotted"/>
        </w:rPr>
        <w:t xml:space="preserve">                   </w:t>
      </w:r>
    </w:p>
    <w:p>
      <w:pPr>
        <w:rPr>
          <w:rFonts w:hAnsi="宋体" w:cs="宋体"/>
          <w:szCs w:val="24"/>
          <w:highlight w:val="none"/>
          <w:u w:val="single"/>
        </w:rPr>
      </w:pPr>
      <w:r>
        <w:rPr>
          <w:rFonts w:hint="eastAsia" w:hAnsi="宋体" w:cs="宋体"/>
          <w:szCs w:val="24"/>
          <w:highlight w:val="none"/>
        </w:rPr>
        <w:t>被投诉人1：</w:t>
      </w:r>
      <w:r>
        <w:rPr>
          <w:rFonts w:hint="eastAsia" w:hAnsi="宋体" w:cs="宋体"/>
          <w:szCs w:val="24"/>
          <w:highlight w:val="none"/>
          <w:u w:val="dotted"/>
        </w:rPr>
        <w:t xml:space="preserve">                                           </w:t>
      </w:r>
      <w:r>
        <w:rPr>
          <w:rFonts w:hint="eastAsia" w:hAnsi="宋体" w:cs="宋体"/>
          <w:szCs w:val="24"/>
          <w:highlight w:val="none"/>
          <w:u w:val="single"/>
        </w:rPr>
        <w:t xml:space="preserve">  </w:t>
      </w:r>
    </w:p>
    <w:p>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pPr>
        <w:rPr>
          <w:rFonts w:hAnsi="宋体" w:cs="宋体"/>
          <w:szCs w:val="24"/>
          <w:highlight w:val="none"/>
        </w:rPr>
      </w:pPr>
      <w:r>
        <w:rPr>
          <w:rFonts w:hint="eastAsia" w:hAnsi="宋体" w:cs="宋体"/>
          <w:szCs w:val="24"/>
          <w:highlight w:val="none"/>
        </w:rPr>
        <w:t>被投诉人2</w:t>
      </w:r>
    </w:p>
    <w:p>
      <w:pPr>
        <w:rPr>
          <w:rFonts w:hAnsi="宋体" w:cs="宋体"/>
          <w:szCs w:val="24"/>
          <w:highlight w:val="none"/>
          <w:u w:val="dotted"/>
        </w:rPr>
      </w:pPr>
      <w:r>
        <w:rPr>
          <w:rFonts w:hint="eastAsia" w:hAnsi="宋体" w:cs="宋体"/>
          <w:szCs w:val="24"/>
          <w:highlight w:val="none"/>
        </w:rPr>
        <w:t>……</w:t>
      </w:r>
    </w:p>
    <w:p>
      <w:pPr>
        <w:rPr>
          <w:rFonts w:hAnsi="宋体" w:cs="宋体"/>
          <w:szCs w:val="24"/>
          <w:highlight w:val="none"/>
          <w:u w:val="single"/>
        </w:rPr>
      </w:pPr>
      <w:r>
        <w:rPr>
          <w:rFonts w:hint="eastAsia" w:hAnsi="宋体" w:cs="宋体"/>
          <w:szCs w:val="24"/>
          <w:highlight w:val="none"/>
        </w:rPr>
        <w:t>相关供应商：</w:t>
      </w:r>
      <w:r>
        <w:rPr>
          <w:rFonts w:hint="eastAsia" w:hAnsi="宋体" w:cs="宋体"/>
          <w:szCs w:val="24"/>
          <w:highlight w:val="none"/>
          <w:u w:val="dotted"/>
        </w:rPr>
        <w:t xml:space="preserve">                                           </w:t>
      </w:r>
      <w:r>
        <w:rPr>
          <w:rFonts w:hint="eastAsia" w:hAnsi="宋体" w:cs="宋体"/>
          <w:szCs w:val="24"/>
          <w:highlight w:val="none"/>
          <w:u w:val="single"/>
        </w:rPr>
        <w:t xml:space="preserve">    </w:t>
      </w:r>
    </w:p>
    <w:p>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pPr>
        <w:rPr>
          <w:rFonts w:hAnsi="宋体" w:cs="宋体"/>
          <w:szCs w:val="24"/>
          <w:highlight w:val="none"/>
        </w:rPr>
      </w:pPr>
      <w:r>
        <w:rPr>
          <w:rFonts w:hint="eastAsia" w:hAnsi="宋体" w:cs="宋体"/>
          <w:szCs w:val="24"/>
          <w:highlight w:val="none"/>
        </w:rPr>
        <w:t>二、投诉项目基本情况</w:t>
      </w:r>
    </w:p>
    <w:p>
      <w:pPr>
        <w:rPr>
          <w:rFonts w:hAnsi="宋体" w:cs="宋体"/>
          <w:szCs w:val="24"/>
          <w:highlight w:val="none"/>
          <w:u w:val="dotted"/>
        </w:rPr>
      </w:pPr>
      <w:r>
        <w:rPr>
          <w:rFonts w:hint="eastAsia" w:hAnsi="宋体" w:cs="宋体"/>
          <w:szCs w:val="24"/>
          <w:highlight w:val="none"/>
        </w:rPr>
        <w:t>采购项目名称：</w:t>
      </w:r>
      <w:r>
        <w:rPr>
          <w:rFonts w:hint="eastAsia" w:hAnsi="宋体" w:cs="宋体"/>
          <w:szCs w:val="24"/>
          <w:highlight w:val="none"/>
          <w:u w:val="dotted"/>
        </w:rPr>
        <w:t xml:space="preserve">                                        </w:t>
      </w:r>
    </w:p>
    <w:p>
      <w:pPr>
        <w:rPr>
          <w:rFonts w:hAnsi="宋体" w:cs="宋体"/>
          <w:szCs w:val="24"/>
          <w:highlight w:val="none"/>
          <w:u w:val="single"/>
        </w:rPr>
      </w:pPr>
      <w:r>
        <w:rPr>
          <w:rFonts w:hint="eastAsia" w:hAnsi="宋体" w:cs="宋体"/>
          <w:szCs w:val="24"/>
          <w:highlight w:val="none"/>
        </w:rPr>
        <w:t>采购项目编号：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pPr>
        <w:rPr>
          <w:rFonts w:hAnsi="宋体" w:cs="宋体"/>
          <w:szCs w:val="24"/>
          <w:highlight w:val="none"/>
        </w:rPr>
      </w:pPr>
      <w:r>
        <w:rPr>
          <w:rFonts w:hint="eastAsia" w:hAnsi="宋体" w:cs="宋体"/>
          <w:szCs w:val="24"/>
          <w:highlight w:val="none"/>
        </w:rPr>
        <w:t>采购人名称：</w:t>
      </w:r>
      <w:r>
        <w:rPr>
          <w:rFonts w:hint="eastAsia" w:hAnsi="宋体" w:cs="宋体"/>
          <w:szCs w:val="24"/>
          <w:highlight w:val="none"/>
          <w:u w:val="dotted"/>
        </w:rPr>
        <w:t xml:space="preserve">                                           </w:t>
      </w:r>
      <w:r>
        <w:rPr>
          <w:rFonts w:hint="eastAsia" w:hAnsi="宋体" w:cs="宋体"/>
          <w:szCs w:val="24"/>
          <w:highlight w:val="none"/>
          <w:u w:val="single"/>
        </w:rPr>
        <w:t xml:space="preserve">  </w:t>
      </w:r>
    </w:p>
    <w:p>
      <w:pPr>
        <w:rPr>
          <w:rFonts w:hAnsi="宋体" w:cs="宋体"/>
          <w:szCs w:val="24"/>
          <w:highlight w:val="none"/>
          <w:u w:val="single"/>
        </w:rPr>
      </w:pPr>
      <w:r>
        <w:rPr>
          <w:rFonts w:hint="eastAsia" w:hAnsi="宋体" w:cs="宋体"/>
          <w:szCs w:val="24"/>
          <w:highlight w:val="none"/>
        </w:rPr>
        <w:t>代理机构名称：</w:t>
      </w:r>
      <w:r>
        <w:rPr>
          <w:rFonts w:hint="eastAsia" w:hAnsi="宋体" w:cs="宋体"/>
          <w:szCs w:val="24"/>
          <w:highlight w:val="none"/>
          <w:u w:val="dotted"/>
        </w:rPr>
        <w:t xml:space="preserve">                                         </w:t>
      </w:r>
    </w:p>
    <w:p>
      <w:pPr>
        <w:rPr>
          <w:rFonts w:hAnsi="宋体" w:cs="宋体"/>
          <w:szCs w:val="24"/>
          <w:highlight w:val="none"/>
          <w:u w:val="dotted"/>
        </w:rPr>
      </w:pPr>
      <w:r>
        <w:rPr>
          <w:rFonts w:hint="eastAsia" w:hAnsi="宋体" w:cs="宋体"/>
          <w:szCs w:val="24"/>
          <w:highlight w:val="none"/>
        </w:rPr>
        <w:t>采购文件公告: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pPr>
        <w:rPr>
          <w:rFonts w:hAnsi="宋体" w:cs="宋体"/>
          <w:szCs w:val="24"/>
          <w:highlight w:val="none"/>
          <w:u w:val="single"/>
        </w:rPr>
      </w:pPr>
      <w:r>
        <w:rPr>
          <w:rFonts w:hint="eastAsia" w:hAnsi="宋体" w:cs="宋体"/>
          <w:szCs w:val="24"/>
          <w:highlight w:val="none"/>
        </w:rPr>
        <w:t>采购结果公告: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pPr>
        <w:rPr>
          <w:rFonts w:hAnsi="宋体" w:cs="宋体"/>
          <w:szCs w:val="24"/>
          <w:highlight w:val="none"/>
        </w:rPr>
      </w:pPr>
      <w:r>
        <w:rPr>
          <w:rFonts w:hint="eastAsia" w:hAnsi="宋体" w:cs="宋体"/>
          <w:szCs w:val="24"/>
          <w:highlight w:val="none"/>
        </w:rPr>
        <w:t>三、质疑基本情况</w:t>
      </w:r>
    </w:p>
    <w:p>
      <w:pPr>
        <w:ind w:firstLine="480" w:firstLineChars="200"/>
        <w:rPr>
          <w:rFonts w:hAnsi="宋体" w:cs="宋体"/>
          <w:szCs w:val="24"/>
          <w:highlight w:val="none"/>
          <w:u w:val="dotted"/>
        </w:rPr>
      </w:pPr>
      <w:r>
        <w:rPr>
          <w:rFonts w:hint="eastAsia" w:hAnsi="宋体" w:cs="宋体"/>
          <w:szCs w:val="24"/>
          <w:highlight w:val="none"/>
        </w:rPr>
        <w:t>投诉人于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日,向</w:t>
      </w:r>
      <w:r>
        <w:rPr>
          <w:rFonts w:hint="eastAsia" w:hAnsi="宋体" w:cs="宋体"/>
          <w:szCs w:val="24"/>
          <w:highlight w:val="none"/>
          <w:u w:val="dotted"/>
        </w:rPr>
        <w:t xml:space="preserve">                   </w:t>
      </w:r>
      <w:r>
        <w:rPr>
          <w:rFonts w:hint="eastAsia" w:hAnsi="宋体" w:cs="宋体"/>
          <w:szCs w:val="24"/>
          <w:highlight w:val="none"/>
        </w:rPr>
        <w:t>提出质疑，质疑事项为：</w:t>
      </w:r>
      <w:r>
        <w:rPr>
          <w:rFonts w:hint="eastAsia" w:hAnsi="宋体" w:cs="宋体"/>
          <w:szCs w:val="24"/>
          <w:highlight w:val="none"/>
          <w:u w:val="dotted"/>
        </w:rPr>
        <w:t xml:space="preserve">                                </w:t>
      </w:r>
    </w:p>
    <w:p>
      <w:pPr>
        <w:rPr>
          <w:rFonts w:hAnsi="宋体" w:cs="宋体"/>
          <w:szCs w:val="24"/>
          <w:highlight w:val="none"/>
          <w:u w:val="dotted"/>
        </w:rPr>
      </w:pPr>
      <w:r>
        <w:rPr>
          <w:rFonts w:hint="eastAsia" w:hAnsi="宋体" w:cs="宋体"/>
          <w:szCs w:val="24"/>
          <w:highlight w:val="none"/>
          <w:u w:val="dotted"/>
        </w:rPr>
        <w:t xml:space="preserve">                                                     </w:t>
      </w:r>
      <w:r>
        <w:rPr>
          <w:rFonts w:hint="eastAsia" w:hAnsi="宋体" w:cs="宋体"/>
          <w:szCs w:val="24"/>
          <w:highlight w:val="none"/>
        </w:rPr>
        <w:t xml:space="preserve">  </w:t>
      </w:r>
    </w:p>
    <w:p>
      <w:pPr>
        <w:ind w:firstLine="360" w:firstLineChars="150"/>
        <w:rPr>
          <w:rFonts w:hAnsi="宋体" w:cs="宋体"/>
          <w:szCs w:val="24"/>
          <w:highlight w:val="none"/>
        </w:rPr>
      </w:pPr>
      <w:r>
        <w:rPr>
          <w:rFonts w:hint="eastAsia" w:hAnsi="宋体" w:cs="宋体"/>
          <w:szCs w:val="24"/>
          <w:highlight w:val="none"/>
          <w:u w:val="dotted"/>
        </w:rPr>
        <w:t>采购人/代理机构</w:t>
      </w:r>
      <w:r>
        <w:rPr>
          <w:rFonts w:hint="eastAsia" w:hAnsi="宋体" w:cs="宋体"/>
          <w:szCs w:val="24"/>
          <w:highlight w:val="none"/>
        </w:rPr>
        <w:t>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日,就质疑事项作出了答复/没有在法定期限内作出答复。</w:t>
      </w:r>
    </w:p>
    <w:p>
      <w:pPr>
        <w:rPr>
          <w:rFonts w:hAnsi="宋体" w:cs="宋体"/>
          <w:szCs w:val="24"/>
          <w:highlight w:val="none"/>
        </w:rPr>
      </w:pPr>
      <w:r>
        <w:rPr>
          <w:rFonts w:hint="eastAsia" w:hAnsi="宋体" w:cs="宋体"/>
          <w:szCs w:val="24"/>
          <w:highlight w:val="none"/>
        </w:rPr>
        <w:t>四、投诉事项具体内容</w:t>
      </w:r>
    </w:p>
    <w:p>
      <w:pPr>
        <w:rPr>
          <w:rFonts w:hAnsi="宋体" w:cs="宋体"/>
          <w:szCs w:val="24"/>
          <w:highlight w:val="none"/>
          <w:u w:val="single"/>
        </w:rPr>
      </w:pPr>
      <w:r>
        <w:rPr>
          <w:rFonts w:hint="eastAsia" w:hAnsi="宋体" w:cs="宋体"/>
          <w:szCs w:val="24"/>
          <w:highlight w:val="none"/>
        </w:rPr>
        <w:t>投诉事项 1：</w:t>
      </w:r>
      <w:r>
        <w:rPr>
          <w:rFonts w:hint="eastAsia" w:hAnsi="宋体" w:cs="宋体"/>
          <w:szCs w:val="24"/>
          <w:highlight w:val="none"/>
          <w:u w:val="dotted"/>
        </w:rPr>
        <w:t xml:space="preserve">                                       </w:t>
      </w:r>
    </w:p>
    <w:p>
      <w:pPr>
        <w:rPr>
          <w:rFonts w:hAnsi="宋体" w:cs="宋体"/>
          <w:szCs w:val="24"/>
          <w:highlight w:val="none"/>
        </w:rPr>
      </w:pPr>
      <w:r>
        <w:rPr>
          <w:rFonts w:hint="eastAsia" w:hAnsi="宋体" w:cs="宋体"/>
          <w:szCs w:val="24"/>
          <w:highlight w:val="none"/>
        </w:rPr>
        <w:t>事实依据：</w:t>
      </w:r>
      <w:r>
        <w:rPr>
          <w:rFonts w:hint="eastAsia" w:hAnsi="宋体" w:cs="宋体"/>
          <w:szCs w:val="24"/>
          <w:highlight w:val="none"/>
          <w:u w:val="dotted"/>
        </w:rPr>
        <w:t xml:space="preserve">                                         </w:t>
      </w:r>
    </w:p>
    <w:p>
      <w:pPr>
        <w:rPr>
          <w:rFonts w:hAnsi="宋体" w:cs="宋体"/>
          <w:szCs w:val="24"/>
          <w:highlight w:val="none"/>
          <w:u w:val="dotted"/>
        </w:rPr>
      </w:pPr>
      <w:r>
        <w:rPr>
          <w:rFonts w:hint="eastAsia" w:hAnsi="宋体" w:cs="宋体"/>
          <w:szCs w:val="24"/>
          <w:highlight w:val="none"/>
          <w:u w:val="dotted"/>
        </w:rPr>
        <w:t xml:space="preserve">                                                      </w:t>
      </w:r>
    </w:p>
    <w:p>
      <w:pPr>
        <w:rPr>
          <w:rFonts w:hAnsi="宋体" w:cs="宋体"/>
          <w:szCs w:val="24"/>
          <w:highlight w:val="none"/>
          <w:u w:val="single"/>
        </w:rPr>
      </w:pPr>
      <w:r>
        <w:rPr>
          <w:rFonts w:hint="eastAsia" w:hAnsi="宋体" w:cs="宋体"/>
          <w:szCs w:val="24"/>
          <w:highlight w:val="none"/>
        </w:rPr>
        <w:t>法律依据：</w:t>
      </w:r>
      <w:r>
        <w:rPr>
          <w:rFonts w:hint="eastAsia" w:hAnsi="宋体" w:cs="宋体"/>
          <w:szCs w:val="24"/>
          <w:highlight w:val="none"/>
          <w:u w:val="dotted"/>
        </w:rPr>
        <w:t xml:space="preserve">                                          </w:t>
      </w:r>
    </w:p>
    <w:p>
      <w:pPr>
        <w:rPr>
          <w:rFonts w:hAnsi="宋体" w:cs="宋体"/>
          <w:szCs w:val="24"/>
          <w:highlight w:val="none"/>
          <w:u w:val="dotted"/>
        </w:rPr>
      </w:pPr>
      <w:r>
        <w:rPr>
          <w:rFonts w:hint="eastAsia" w:hAnsi="宋体" w:cs="宋体"/>
          <w:szCs w:val="24"/>
          <w:highlight w:val="none"/>
          <w:u w:val="dotted"/>
        </w:rPr>
        <w:t xml:space="preserve">                                                      </w:t>
      </w:r>
    </w:p>
    <w:p>
      <w:pPr>
        <w:rPr>
          <w:rFonts w:hAnsi="宋体" w:cs="宋体"/>
          <w:szCs w:val="24"/>
          <w:highlight w:val="none"/>
        </w:rPr>
      </w:pPr>
      <w:r>
        <w:rPr>
          <w:rFonts w:hint="eastAsia" w:hAnsi="宋体" w:cs="宋体"/>
          <w:szCs w:val="24"/>
          <w:highlight w:val="none"/>
        </w:rPr>
        <w:t>投诉事项2</w:t>
      </w:r>
    </w:p>
    <w:p>
      <w:pPr>
        <w:rPr>
          <w:rFonts w:hAnsi="宋体" w:cs="宋体"/>
          <w:szCs w:val="24"/>
          <w:highlight w:val="none"/>
          <w:u w:val="dotted"/>
        </w:rPr>
      </w:pPr>
      <w:r>
        <w:rPr>
          <w:rFonts w:hint="eastAsia" w:hAnsi="宋体" w:cs="宋体"/>
          <w:szCs w:val="24"/>
          <w:highlight w:val="none"/>
        </w:rPr>
        <w:t>……</w:t>
      </w:r>
    </w:p>
    <w:p>
      <w:pPr>
        <w:rPr>
          <w:rFonts w:hAnsi="宋体" w:cs="宋体"/>
          <w:szCs w:val="24"/>
          <w:highlight w:val="none"/>
        </w:rPr>
      </w:pPr>
      <w:r>
        <w:rPr>
          <w:rFonts w:hint="eastAsia" w:hAnsi="宋体" w:cs="宋体"/>
          <w:szCs w:val="24"/>
          <w:highlight w:val="none"/>
        </w:rPr>
        <w:t>五、与投诉事项相关的投诉请求</w:t>
      </w:r>
    </w:p>
    <w:p>
      <w:pPr>
        <w:rPr>
          <w:rFonts w:hAnsi="宋体" w:cs="宋体"/>
          <w:szCs w:val="24"/>
          <w:highlight w:val="none"/>
        </w:rPr>
      </w:pPr>
      <w:r>
        <w:rPr>
          <w:rFonts w:hint="eastAsia" w:hAnsi="宋体" w:cs="宋体"/>
          <w:szCs w:val="24"/>
          <w:highlight w:val="none"/>
        </w:rPr>
        <w:t>请求：</w:t>
      </w:r>
      <w:r>
        <w:rPr>
          <w:rFonts w:hint="eastAsia" w:hAnsi="宋体" w:cs="宋体"/>
          <w:szCs w:val="24"/>
          <w:highlight w:val="none"/>
          <w:u w:val="dotted"/>
        </w:rPr>
        <w:t xml:space="preserve">                                              </w:t>
      </w:r>
      <w:r>
        <w:rPr>
          <w:rFonts w:hint="eastAsia" w:hAnsi="宋体" w:cs="宋体"/>
          <w:szCs w:val="24"/>
          <w:highlight w:val="none"/>
        </w:rPr>
        <w:t xml:space="preserve"> </w:t>
      </w:r>
    </w:p>
    <w:p>
      <w:pPr>
        <w:rPr>
          <w:rFonts w:hAnsi="宋体" w:cs="宋体"/>
          <w:szCs w:val="24"/>
          <w:highlight w:val="none"/>
          <w:u w:val="single"/>
        </w:rPr>
      </w:pPr>
      <w:r>
        <w:rPr>
          <w:rFonts w:hint="eastAsia" w:hAnsi="宋体" w:cs="宋体"/>
          <w:szCs w:val="24"/>
          <w:highlight w:val="none"/>
        </w:rPr>
        <w:t xml:space="preserve">                                                                                                    </w:t>
      </w:r>
    </w:p>
    <w:p>
      <w:pPr>
        <w:rPr>
          <w:rFonts w:hAnsi="宋体" w:cs="宋体"/>
          <w:szCs w:val="24"/>
          <w:highlight w:val="none"/>
        </w:rPr>
      </w:pPr>
      <w:r>
        <w:rPr>
          <w:rFonts w:hint="eastAsia" w:hAnsi="宋体" w:cs="宋体"/>
          <w:szCs w:val="24"/>
          <w:highlight w:val="none"/>
        </w:rPr>
        <w:t xml:space="preserve">签字(签章)：                   公章：                      </w:t>
      </w:r>
    </w:p>
    <w:p>
      <w:pPr>
        <w:rPr>
          <w:highlight w:val="none"/>
        </w:rPr>
      </w:pPr>
      <w:r>
        <w:rPr>
          <w:rFonts w:hint="eastAsia" w:hAnsi="宋体" w:cs="宋体"/>
          <w:szCs w:val="24"/>
          <w:highlight w:val="none"/>
        </w:rPr>
        <w:t xml:space="preserve">日期： </w:t>
      </w:r>
    </w:p>
    <w:sectPr>
      <w:pgSz w:w="11906" w:h="16838"/>
      <w:pgMar w:top="1417" w:right="1134" w:bottom="1417" w:left="1417" w:header="1134" w:footer="992" w:gutter="0"/>
      <w:pgNumType w:fmt="decimal"/>
      <w:cols w:space="720" w:num="1"/>
      <w:titlePg/>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rFonts w:hint="eastAsia" w:eastAsia="宋体"/>
        <w:sz w:val="18"/>
        <w:szCs w:val="18"/>
        <w:lang w:eastAsia="zh-CN"/>
      </w:rPr>
    </w:pPr>
    <w:r>
      <w:rPr>
        <w:sz w:val="18"/>
        <w:szCs w:val="18"/>
      </w:rPr>
      <mc:AlternateContent>
        <mc:Choice Requires="wps">
          <w:drawing>
            <wp:anchor distT="0" distB="0" distL="0" distR="0" simplePos="0" relativeHeight="251659264"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18"/>
                            </w:rPr>
                          </w:pPr>
                        </w:p>
                      </w:txbxContent>
                    </wps:txbx>
                    <wps:bodyPr wrap="none" lIns="0" tIns="0" rIns="0" bIns="0">
                      <a:spAutoFit/>
                    </wps:bodyPr>
                  </wps:wsp>
                </a:graphicData>
              </a:graphic>
            </wp:anchor>
          </w:drawing>
        </mc:Choice>
        <mc:Fallback>
          <w:pict>
            <v:rect id="文本框 3" o:spid="_x0000_s1026" o:spt="1" style="position:absolute;left:0pt;margin-left:229.35pt;margin-top:0pt;height:144pt;width:144pt;mso-position-horizontal-relative:margin;mso-wrap-style:none;z-index:251659264;mso-width-relative:page;mso-height-relative:page;" filled="f" stroked="f" coordsize="21600,21600" o:gfxdata="UEsDBAoAAAAAAIdO4kAAAAAAAAAAAAAAAAAEAAAAZHJzL1BLAwQUAAAACACHTuJAGTS2btUAAAAI&#10;AQAADwAAAGRycy9kb3ducmV2LnhtbE2Py27CMBRE95X6D9at1F2xiShYaRwWlZDaqhsCH2Dim4fq&#10;R2QbQv++tytYjmY0c6baXp1lF4xpDF7BciGAoW+DGX2v4HjYvUhgKWtvtA0eFfxigm39+FDp0oTZ&#10;7/HS5J5RiU+lVjDkPJWcp3ZAp9MiTOjJ60J0OpOMPTdRz1TuLC+EWHOnR08Lg57wfcD2pzk7BfzQ&#10;7GbZ2CjCV9F928+PfYdBqeenpXgDlvGab2H4xyd0qInpFM7eJGYVrF7lhqIK6BHZm9Wa5ElBIaUA&#10;Xlf8/kD9B1BLAwQUAAAACACHTuJAXgoRbr0BAAB7AwAADgAAAGRycy9lMm9Eb2MueG1srVNLjhMx&#10;EN0jcQfLe+JOGA2hlc4IKZoREoKRBg7guO20Jf/kctKdCww3YMWGPefKOSi7Oxk0bGbBxqlyVV69&#10;98q9uhmsIQcZQXvX0PmsokQ64Vvtdg399vX2zZISSNy13HgnG3qUQG/Wr1+t+lDLhe+8aWUkCOKg&#10;7kNDu5RCzRiITloOMx+kw6Ly0fKEadyxNvIe0a1hi6q6Zr2PbYheSAC83YxFOiHGlwB6pbSQGy/2&#10;Vro0okZpeEJJ0OkAdF3YKiVF+qIUyERMQ1FpKicOwXibT7Ze8XoXeei0mCjwl1B4psly7XDoBWrD&#10;Eyf7qP+BslpED16lmfCWjUKKI6hiXj3z5qHjQRYtaDWEi+nw/2DF58N9JLpt6FX1/h0ljlvc+enH&#10;99PP36dfj+RtdqgPUGPjQ7iPUwYYZrmDijb/ohAyFFePF1flkIjAy/lysVxWaLjA2jlBHPb09xAh&#10;3UlvSQ4aGnFtxU1++ARpbD235GnG5dP5W23MWM03LNMcieUoDdthYrv17RFV9rjmhjp81ZSYjw5d&#10;zC/iHMRzsJ2CPAPCh33COYVERh2hpmG4kyJjej956X/npevpm1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k0tm7VAAAACAEAAA8AAAAAAAAAAQAgAAAAIgAAAGRycy9kb3ducmV2LnhtbFBLAQIU&#10;ABQAAAAIAIdO4kBeChFuvQEAAHsDAAAOAAAAAAAAAAEAIAAAACQBAABkcnMvZTJvRG9jLnhtbFBL&#10;BQYAAAAABgAGAFkBAABTBQAAAAA=&#10;">
              <v:fill on="f" focussize="0,0"/>
              <v:stroke on="f"/>
              <v:imagedata o:title=""/>
              <o:lock v:ext="edit" aspectratio="f"/>
              <v:textbox inset="0mm,0mm,0mm,0mm" style="mso-fit-shape-to-text:t;">
                <w:txbxContent>
                  <w:p>
                    <w:pPr>
                      <w:snapToGrid w:val="0"/>
                      <w:rPr>
                        <w:sz w:val="18"/>
                      </w:rPr>
                    </w:pPr>
                  </w:p>
                </w:txbxContent>
              </v:textbox>
            </v:rect>
          </w:pict>
        </mc:Fallback>
      </mc:AlternateContent>
    </w:r>
    <w:r>
      <w:rPr>
        <w:rFonts w:hint="eastAsia"/>
        <w:sz w:val="18"/>
        <w:szCs w:val="18"/>
      </w:rPr>
      <w:t xml:space="preserve"> </w:t>
    </w:r>
    <w:r>
      <w:rPr>
        <w:rFonts w:hint="eastAsia" w:cs="宋体"/>
        <w:color w:val="333333"/>
        <w:sz w:val="18"/>
        <w:szCs w:val="18"/>
        <w:shd w:val="clear" w:color="auto" w:fill="FFFFFF"/>
        <w:lang w:eastAsia="zh-CN"/>
      </w:rPr>
      <w:t>陕西至诚项目管理集团有限公司</w:t>
    </w:r>
    <w:r>
      <w:rPr>
        <w:rFonts w:hint="eastAsia"/>
        <w:sz w:val="18"/>
        <w:szCs w:val="18"/>
      </w:rPr>
      <w:t xml:space="preserve">                                   地址：</w:t>
    </w:r>
    <w:r>
      <w:rPr>
        <w:sz w:val="18"/>
        <w:szCs w:val="18"/>
      </w:rPr>
      <mc:AlternateContent>
        <mc:Choice Requires="wps">
          <w:drawing>
            <wp:anchor distT="0" distB="0" distL="0" distR="0" simplePos="0" relativeHeight="251659264"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18"/>
                            </w:rPr>
                          </w:pPr>
                        </w:p>
                      </w:txbxContent>
                    </wps:txbx>
                    <wps:bodyPr wrap="none" lIns="0" tIns="0" rIns="0" bIns="0">
                      <a:spAutoFit/>
                    </wps:bodyPr>
                  </wps:wsp>
                </a:graphicData>
              </a:graphic>
            </wp:anchor>
          </w:drawing>
        </mc:Choice>
        <mc:Fallback>
          <w:pict>
            <v:rect id="文本框 4" o:spid="_x0000_s1026" o:spt="1" style="position:absolute;left:0pt;margin-left:229.35pt;margin-top:0pt;height:144pt;width:144pt;mso-position-horizontal-relative:margin;mso-wrap-style:none;z-index:251659264;mso-width-relative:page;mso-height-relative:page;" filled="f" stroked="f" coordsize="21600,21600" o:gfxdata="UEsDBAoAAAAAAIdO4kAAAAAAAAAAAAAAAAAEAAAAZHJzL1BLAwQUAAAACACHTuJAGTS2btUAAAAI&#10;AQAADwAAAGRycy9kb3ducmV2LnhtbE2Py27CMBRE95X6D9at1F2xiShYaRwWlZDaqhsCH2Dim4fq&#10;R2QbQv++tytYjmY0c6baXp1lF4xpDF7BciGAoW+DGX2v4HjYvUhgKWtvtA0eFfxigm39+FDp0oTZ&#10;7/HS5J5RiU+lVjDkPJWcp3ZAp9MiTOjJ60J0OpOMPTdRz1TuLC+EWHOnR08Lg57wfcD2pzk7BfzQ&#10;7GbZ2CjCV9F928+PfYdBqeenpXgDlvGab2H4xyd0qInpFM7eJGYVrF7lhqIK6BHZm9Wa5ElBIaUA&#10;Xlf8/kD9B1BLAwQUAAAACACHTuJAjA/g2rwBAAB7AwAADgAAAGRycy9lMm9Eb2MueG1srVNLbtsw&#10;EN0X6B0I7mvKRlC4guWggJEiQNAGSHsAmiItAvyBQ1vyBdobdNVN9z2Xz9EhJTtBsskiG3qGM37z&#10;3htqdT1YQw4ygvauofNZRYl0wrfa7Rr64/vNhyUlkLhrufFONvQogV6v379b9aGWC99508pIEMRB&#10;3YeGdimFmjEQnbQcZj5Ih0Xlo+UJ07hjbeQ9olvDFlX1kfU+tiF6IQHwdjMW6YQYXwPoldJCbrzY&#10;W+nSiBql4QklQacD0HVhq5QU6ZtSIBMxDUWlqZw4BONtPtl6xetd5KHTYqLAX0PhmSbLtcOhF6gN&#10;T5zso34BZbWIHrxKM+EtG4UUR1DFvHrmzUPHgyxa0GoIF9Ph7WDF18N9JLpt6FX1CTfvuMWdn37/&#10;Ov35d/r7k1xlh/oANTY+hPs4ZYBhljuoaPMvCiFDcfV4cVUOiQi8nC8Xy2WFhgusnRPEYY9/DxHS&#10;F+ktyUFDI66tuMkPd5DG1nNLnmZcPp2/0caM1XzDMs2RWI7SsB0mtlvfHlFlj2tuqMNXTYm5dehi&#10;fhHnIJ6D7RTkGRA+7xPOKSQy6gg1DcOdFBnT+8lLf5qXrsdvZ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TS2btUAAAAIAQAADwAAAAAAAAABACAAAAAiAAAAZHJzL2Rvd25yZXYueG1sUEsBAhQA&#10;FAAAAAgAh07iQIwP4Nq8AQAAewMAAA4AAAAAAAAAAQAgAAAAJAEAAGRycy9lMm9Eb2MueG1sUEsF&#10;BgAAAAAGAAYAWQEAAFIFAAAAAA==&#10;">
              <v:fill on="f" focussize="0,0"/>
              <v:stroke on="f"/>
              <v:imagedata o:title=""/>
              <o:lock v:ext="edit" aspectratio="f"/>
              <v:textbox inset="0mm,0mm,0mm,0mm" style="mso-fit-shape-to-text:t;">
                <w:txbxContent>
                  <w:p>
                    <w:pPr>
                      <w:snapToGrid w:val="0"/>
                      <w:rPr>
                        <w:sz w:val="18"/>
                      </w:rPr>
                    </w:pPr>
                  </w:p>
                </w:txbxContent>
              </v:textbox>
            </v:rect>
          </w:pict>
        </mc:Fallback>
      </mc:AlternateContent>
    </w:r>
    <w:r>
      <w:rPr>
        <w:sz w:val="18"/>
        <w:szCs w:val="18"/>
      </w:rPr>
      <mc:AlternateContent>
        <mc:Choice Requires="wps">
          <w:drawing>
            <wp:anchor distT="0" distB="0" distL="0" distR="0" simplePos="0" relativeHeight="251659264"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409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18"/>
                            </w:rPr>
                          </w:pPr>
                        </w:p>
                      </w:txbxContent>
                    </wps:txbx>
                    <wps:bodyPr wrap="none" lIns="0" tIns="0" rIns="0" bIns="0">
                      <a:spAutoFit/>
                    </wps:bodyPr>
                  </wps:wsp>
                </a:graphicData>
              </a:graphic>
            </wp:anchor>
          </w:drawing>
        </mc:Choice>
        <mc:Fallback>
          <w:pict>
            <v:rect id="文本框 5" o:spid="_x0000_s1026" o:spt="1" style="position:absolute;left:0pt;margin-left:229.35pt;margin-top:0pt;height:144pt;width:144pt;mso-position-horizontal-relative:margin;mso-wrap-style:none;z-index:251659264;mso-width-relative:page;mso-height-relative:page;" filled="f" stroked="f" coordsize="21600,21600" o:gfxdata="UEsDBAoAAAAAAIdO4kAAAAAAAAAAAAAAAAAEAAAAZHJzL1BLAwQUAAAACACHTuJAGTS2btUAAAAI&#10;AQAADwAAAGRycy9kb3ducmV2LnhtbE2Py27CMBRE95X6D9at1F2xiShYaRwWlZDaqhsCH2Dim4fq&#10;R2QbQv++tytYjmY0c6baXp1lF4xpDF7BciGAoW+DGX2v4HjYvUhgKWtvtA0eFfxigm39+FDp0oTZ&#10;7/HS5J5RiU+lVjDkPJWcp3ZAp9MiTOjJ60J0OpOMPTdRz1TuLC+EWHOnR08Lg57wfcD2pzk7BfzQ&#10;7GbZ2CjCV9F928+PfYdBqeenpXgDlvGab2H4xyd0qInpFM7eJGYVrF7lhqIK6BHZm9Wa5ElBIaUA&#10;Xlf8/kD9B1BLAwQUAAAACACHTuJA0Ctnob0BAAB7AwAADgAAAGRycy9lMm9Eb2MueG1srVNLbtsw&#10;EN0XyB0I7mPKRls4guWggJEgQNEGSHsAmiItAvyBQ1vyBdobdNVN9z2Xz9EhJTtFusmiG3qGM37z&#10;3htqdTtYQw4ygvauofNZRYl0wrfa7Rr69cvd9ZISSNy13HgnG3qUQG/XV29WfajlwnfetDISBHFQ&#10;96GhXUqhZgxEJy2HmQ/SYVH5aHnCNO5YG3mP6NawRVW9Z72PbYheSAC83YxFOiHG1wB6pbSQGy/2&#10;Vro0okZpeEJJ0OkAdF3YKiVF+qwUyERMQ1FpKicOwXibT7Ze8XoXeei0mCjw11B4ocly7XDoBWrD&#10;Eyf7qP+BslpED16lmfCWjUKKI6hiXr3w5qnjQRYtaDWEi+nw/2DFp8NjJLpt6Nvq5oYSxy3u/PTj&#10;++nn79Ovb+RddqgPUGPjU3iMUwYYZrmDijb/ohAyFFePF1flkIjAy/lysVxWaLjA2jlBHPb89xAh&#10;3UtvSQ4aGnFtxU1++AhpbD235GnG5dP5O23MWM03LNMcieUoDdthYrv17RFV9rjmhjp81ZSYB4cu&#10;5hdxDuI52E5BngHhwz7hnEIio45Q0zDcSZExvZ+89L/z0vX8za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k0tm7VAAAACAEAAA8AAAAAAAAAAQAgAAAAIgAAAGRycy9kb3ducmV2LnhtbFBLAQIU&#10;ABQAAAAIAIdO4kDQK2ehvQEAAHsDAAAOAAAAAAAAAAEAIAAAACQBAABkcnMvZTJvRG9jLnhtbFBL&#10;BQYAAAAABgAGAFkBAABTBQAAAAA=&#10;">
              <v:fill on="f" focussize="0,0"/>
              <v:stroke on="f"/>
              <v:imagedata o:title=""/>
              <o:lock v:ext="edit" aspectratio="f"/>
              <v:textbox inset="0mm,0mm,0mm,0mm" style="mso-fit-shape-to-text:t;">
                <w:txbxContent>
                  <w:p>
                    <w:pPr>
                      <w:snapToGrid w:val="0"/>
                      <w:rPr>
                        <w:sz w:val="18"/>
                      </w:rPr>
                    </w:pPr>
                  </w:p>
                </w:txbxContent>
              </v:textbox>
            </v:rect>
          </w:pict>
        </mc:Fallback>
      </mc:AlternateContent>
    </w:r>
    <w:r>
      <w:rPr>
        <w:sz w:val="18"/>
        <w:szCs w:val="18"/>
      </w:rPr>
      <mc:AlternateContent>
        <mc:Choice Requires="wps">
          <w:drawing>
            <wp:anchor distT="0" distB="0" distL="0" distR="0" simplePos="0" relativeHeight="251659264"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410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18"/>
                            </w:rPr>
                          </w:pPr>
                        </w:p>
                      </w:txbxContent>
                    </wps:txbx>
                    <wps:bodyPr wrap="none" lIns="0" tIns="0" rIns="0" bIns="0">
                      <a:spAutoFit/>
                    </wps:bodyPr>
                  </wps:wsp>
                </a:graphicData>
              </a:graphic>
            </wp:anchor>
          </w:drawing>
        </mc:Choice>
        <mc:Fallback>
          <w:pict>
            <v:rect id="文本框 6" o:spid="_x0000_s1026" o:spt="1" style="position:absolute;left:0pt;margin-left:229.35pt;margin-top:0pt;height:144pt;width:144pt;mso-position-horizontal-relative:margin;mso-wrap-style:none;z-index:251659264;mso-width-relative:page;mso-height-relative:page;" filled="f" stroked="f" coordsize="21600,21600" o:gfxdata="UEsDBAoAAAAAAIdO4kAAAAAAAAAAAAAAAAAEAAAAZHJzL1BLAwQUAAAACACHTuJAGTS2btUAAAAI&#10;AQAADwAAAGRycy9kb3ducmV2LnhtbE2Py27CMBRE95X6D9at1F2xiShYaRwWlZDaqhsCH2Dim4fq&#10;R2QbQv++tytYjmY0c6baXp1lF4xpDF7BciGAoW+DGX2v4HjYvUhgKWtvtA0eFfxigm39+FDp0oTZ&#10;7/HS5J5RiU+lVjDkPJWcp3ZAp9MiTOjJ60J0OpOMPTdRz1TuLC+EWHOnR08Lg57wfcD2pzk7BfzQ&#10;7GbZ2CjCV9F928+PfYdBqeenpXgDlvGab2H4xyd0qInpFM7eJGYVrF7lhqIK6BHZm9Wa5ElBIaUA&#10;Xlf8/kD9B1BLAwQUAAAACACHTuJA7b9u2rsBAAB7AwAADgAAAGRycy9lMm9Eb2MueG1srVPNahsx&#10;EL4X8g5C91prU4JZvA4FkxAITSDtA8haySvQHxrZu36B5g166qX3PpefoyPt2inpJYde5BnN+Jvv&#10;+0a7uhmsIQcZQXvX0PmsokQ64Vvtdg399vX245ISSNy13HgnG3qUQG/WVx9WfajlwnfetDISBHFQ&#10;96GhXUqhZgxEJy2HmQ/SYVH5aHnCNO5YG3mP6NawRVVds97HNkQvJADebsYinRDjewC9UlrIjRd7&#10;K10aUaM0PKEk6HQAui5slZIiPSoFMhHTUFSayolDMN7mk61XvN5FHjotJgr8PRTeaLJcOxx6gdrw&#10;xMk+6n+grBbRg1dpJrxlo5DiCKqYV2+8ee54kEULWg3hYjr8P1jx5fAUiW4b+mleoSmOW9z56cfL&#10;6efv06/v5Do71AeosfE5PMUpAwyz3EFFm39RCBmKq8eLq3JIRODlfLlYLjO2wNo5QRz2+vcQId1J&#10;b0kOGhpxbcVNfniANLaeW/I04/Lp/K02ZqzmG5ZpjsRylIbtMLHd+vaIKntcc0MdvmpKzL1DF/OL&#10;OAfxHGynIM+A8HmfcE4hkVFHqGkY7qTImN5PXvrfeel6/Wb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ZNLZu1QAAAAgBAAAPAAAAAAAAAAEAIAAAACIAAABkcnMvZG93bnJldi54bWxQSwECFAAU&#10;AAAACACHTuJA7b9u2rsBAAB7AwAADgAAAAAAAAABACAAAAAkAQAAZHJzL2Uyb0RvYy54bWxQSwUG&#10;AAAAAAYABgBZAQAAUQUAAAAA&#10;">
              <v:fill on="f" focussize="0,0"/>
              <v:stroke on="f"/>
              <v:imagedata o:title=""/>
              <o:lock v:ext="edit" aspectratio="f"/>
              <v:textbox inset="0mm,0mm,0mm,0mm" style="mso-fit-shape-to-text:t;">
                <w:txbxContent>
                  <w:p>
                    <w:pPr>
                      <w:snapToGrid w:val="0"/>
                      <w:rPr>
                        <w:sz w:val="18"/>
                      </w:rPr>
                    </w:pPr>
                  </w:p>
                </w:txbxContent>
              </v:textbox>
            </v:rect>
          </w:pict>
        </mc:Fallback>
      </mc:AlternateContent>
    </w:r>
    <w:r>
      <w:rPr>
        <w:sz w:val="18"/>
        <w:szCs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18"/>
                            </w:rPr>
                          </w:pPr>
                        </w:p>
                      </w:txbxContent>
                    </wps:txbx>
                    <wps:bodyPr wrap="none" lIns="0" tIns="0" rIns="0" bIns="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Gb6aG8AQAAewMAAA4AAABkcnMvZTJvRG9jLnhtbK1TS44TMRDdI3EH&#10;y3vi7ghB1EpnNFI0CAnBSAMHcNx22pJ/cjnpzgXgBqzYsOdcOQdldyeDhs0sZuNUuSqv3nvlXt+M&#10;1pCjjKC9a2m9qCiRTvhOu31Lv329e7OiBBJ3HTfeyZaeJNCbzetX6yE0cul7bzoZCYI4aIbQ0j6l&#10;0DAGopeWw8IH6bCofLQ8YRr3rIt8QHRr2LKq3rHBxy5ELyQA3m6nIp0R43MAvVJayK0XBytdmlCj&#10;NDyhJOh1ALopbJWSIn1RCmQipqWoNJUTh2C8yyfbrHmzjzz0WswU+HMoPNFkuXY49Aq15YmTQ9T/&#10;QVktogev0kJ4yyYhxRFUUVdPvHnoeZBFC1oN4Wo6vBys+Hy8j0R3LX1bVzUljlvc+fnnj/OvP+ff&#10;38n77NAQoMHGh3Af5wwwzHJHFW3+RSFkLK6erq7KMRGBl/VquVpVaLjA2iVBHPb49xAhfZDekhy0&#10;NOLaipv8+AnS1HppydOMy6fzd9qYqZpvWKY5EctRGnfjzHbnuxOqHHDNLXX4qikxHx26mF/EJYiX&#10;YDcHeQaE20PCOYVERp2g5mG4kyJjfj956f/mpevxm9n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Cxm+mhvAEAAHsDAAAOAAAAAAAAAAEAIAAAAB8BAABkcnMvZTJvRG9jLnhtbFBLBQYAAAAA&#10;BgAGAFkBAABNBQAAAAA=&#10;">
              <v:fill on="f" focussize="0,0"/>
              <v:stroke on="f"/>
              <v:imagedata o:title=""/>
              <o:lock v:ext="edit" aspectratio="f"/>
              <v:textbox inset="0mm,0mm,0mm,0mm" style="mso-fit-shape-to-text:t;">
                <w:txbxContent>
                  <w:p>
                    <w:pPr>
                      <w:snapToGrid w:val="0"/>
                      <w:rPr>
                        <w:sz w:val="18"/>
                      </w:rPr>
                    </w:pPr>
                  </w:p>
                </w:txbxContent>
              </v:textbox>
            </v:rect>
          </w:pict>
        </mc:Fallback>
      </mc:AlternateContent>
    </w:r>
    <w:r>
      <w:rPr>
        <w:rFonts w:hint="eastAsia"/>
        <w:sz w:val="18"/>
        <w:szCs w:val="18"/>
        <w:lang w:eastAsia="zh-CN"/>
      </w:rPr>
      <w:t>陕西省西安市经济技术开发区未央路171-1号银池道拉斯财富中心21楼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pPr>
    <w:r>
      <w:rPr>
        <w:sz w:val="18"/>
        <w:szCs w:val="18"/>
      </w:rPr>
      <mc:AlternateContent>
        <mc:Choice Requires="wps">
          <w:drawing>
            <wp:anchor distT="0" distB="0" distL="0" distR="0" simplePos="0" relativeHeight="251659264"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4102"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18"/>
                            </w:rPr>
                          </w:pPr>
                        </w:p>
                      </w:txbxContent>
                    </wps:txbx>
                    <wps:bodyPr wrap="none" lIns="0" tIns="0" rIns="0" bIns="0">
                      <a:spAutoFit/>
                    </wps:bodyPr>
                  </wps:wsp>
                </a:graphicData>
              </a:graphic>
            </wp:anchor>
          </w:drawing>
        </mc:Choice>
        <mc:Fallback>
          <w:pict>
            <v:rect id="文本框 11" o:spid="_x0000_s1026" o:spt="1" style="position:absolute;left:0pt;margin-left:229.35pt;margin-top:0pt;height:144pt;width:144pt;mso-position-horizontal-relative:margin;mso-wrap-style:none;z-index:251659264;mso-width-relative:page;mso-height-relative:page;" filled="f" stroked="f" coordsize="21600,21600" o:gfxdata="UEsDBAoAAAAAAIdO4kAAAAAAAAAAAAAAAAAEAAAAZHJzL1BLAwQUAAAACACHTuJAGTS2btUAAAAI&#10;AQAADwAAAGRycy9kb3ducmV2LnhtbE2Py27CMBRE95X6D9at1F2xiShYaRwWlZDaqhsCH2Dim4fq&#10;R2QbQv++tytYjmY0c6baXp1lF4xpDF7BciGAoW+DGX2v4HjYvUhgKWtvtA0eFfxigm39+FDp0oTZ&#10;7/HS5J5RiU+lVjDkPJWcp3ZAp9MiTOjJ60J0OpOMPTdRz1TuLC+EWHOnR08Lg57wfcD2pzk7BfzQ&#10;7GbZ2CjCV9F928+PfYdBqeenpXgDlvGab2H4xyd0qInpFM7eJGYVrF7lhqIK6BHZm9Wa5ElBIaUA&#10;Xlf8/kD9B1BLAwQUAAAACACHTuJAF1b8G7wBAAB8AwAADgAAAGRycy9lMm9Eb2MueG1srVNLihsx&#10;EN0HcgehfaxuE4Jp3B4GzAyBkAxMcgBZLbkF+qGS3e0LJDfIKpvscy6fIyV12zNMNrPIRq5SlV+9&#10;90q9vhmtIUcZQXvX0npRUSKd8J12+5Z++3r3bkUJJO46bryTLT1JoDebt2/WQ2jk0vfedDISBHHQ&#10;DKGlfUqhYQxELy2HhQ/SYVH5aHnCNO5ZF/mA6NawZVV9YIOPXYheSAC83U5FOiPG1wB6pbSQWy8O&#10;Vro0oUZpeEJJ0OsAdFPYKiVF+qIUyERMS1FpKicOwXiXT7ZZ82Yfeei1mCnw11B4ocly7XDoFWrL&#10;EyeHqP+BslpED16lhfCWTUKKI6iirl5489jzIIsWtBrC1XT4f7Di8/EhEt219H1dLSlx3OLOzz9/&#10;nH/9Of/+Tuo6WzQEaLDzMTzEOQMMs95RRZt/UQkZi62nq61yTETgZb1arlYVOi6wdkkQhz39PURI&#10;99JbkoOWRtxbsZMfP0GaWi8teZpx+XT+ThszVfMNyzQnYjlK426c2e58d0KZA+65pQ6fNSXmo0Mb&#10;85O4BPES7OYgz4Bwe0g4p5DIqBPUPAyXUmTMDyhv/Xleup4+ms1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TS2btUAAAAIAQAADwAAAAAAAAABACAAAAAiAAAAZHJzL2Rvd25yZXYueG1sUEsBAhQA&#10;FAAAAAgAh07iQBdW/Bu8AQAAfAMAAA4AAAAAAAAAAQAgAAAAJAEAAGRycy9lMm9Eb2MueG1sUEsF&#10;BgAAAAAGAAYAWQEAAFIFAAAAAA==&#10;">
              <v:fill on="f" focussize="0,0"/>
              <v:stroke on="f"/>
              <v:imagedata o:title=""/>
              <o:lock v:ext="edit" aspectratio="f"/>
              <v:textbox inset="0mm,0mm,0mm,0mm" style="mso-fit-shape-to-text:t;">
                <w:txbxContent>
                  <w:p>
                    <w:pPr>
                      <w:snapToGrid w:val="0"/>
                      <w:rPr>
                        <w:sz w:val="18"/>
                      </w:rP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rFonts w:hint="eastAsia" w:eastAsia="宋体"/>
        <w:sz w:val="18"/>
        <w:szCs w:val="18"/>
        <w:lang w:eastAsia="zh-CN"/>
      </w:rPr>
    </w:pPr>
    <w:r>
      <w:rPr>
        <w:sz w:val="18"/>
        <w:szCs w:val="18"/>
      </w:rPr>
      <mc:AlternateContent>
        <mc:Choice Requires="wps">
          <w:drawing>
            <wp:anchor distT="0" distB="0" distL="0" distR="0" simplePos="0" relativeHeight="251659264"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4104"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18"/>
                            </w:rPr>
                          </w:pPr>
                        </w:p>
                      </w:txbxContent>
                    </wps:txbx>
                    <wps:bodyPr wrap="none" lIns="0" tIns="0" rIns="0" bIns="0">
                      <a:spAutoFit/>
                    </wps:bodyPr>
                  </wps:wsp>
                </a:graphicData>
              </a:graphic>
            </wp:anchor>
          </w:drawing>
        </mc:Choice>
        <mc:Fallback>
          <w:pict>
            <v:rect id="文本框 16" o:spid="_x0000_s1026" o:spt="1" style="position:absolute;left:0pt;margin-left:229.35pt;margin-top:0pt;height:144pt;width:144pt;mso-position-horizontal-relative:margin;mso-wrap-style:none;z-index:251659264;mso-width-relative:page;mso-height-relative:page;" filled="f" stroked="f" coordsize="21600,21600" o:gfxdata="UEsDBAoAAAAAAIdO4kAAAAAAAAAAAAAAAAAEAAAAZHJzL1BLAwQUAAAACACHTuJAGTS2btUAAAAI&#10;AQAADwAAAGRycy9kb3ducmV2LnhtbE2Py27CMBRE95X6D9at1F2xiShYaRwWlZDaqhsCH2Dim4fq&#10;R2QbQv++tytYjmY0c6baXp1lF4xpDF7BciGAoW+DGX2v4HjYvUhgKWtvtA0eFfxigm39+FDp0oTZ&#10;7/HS5J5RiU+lVjDkPJWcp3ZAp9MiTOjJ60J0OpOMPTdRz1TuLC+EWHOnR08Lg57wfcD2pzk7BfzQ&#10;7GbZ2CjCV9F928+PfYdBqeenpXgDlvGab2H4xyd0qInpFM7eJGYVrF7lhqIK6BHZm9Wa5ElBIaUA&#10;Xlf8/kD9B1BLAwQUAAAACACHTuJA4VNpg70BAAB8AwAADgAAAGRycy9lMm9Eb2MueG1srVNLihsx&#10;EN0HcgehfaxuMwymcXsImAmBkAxMcgBZLbkF+qGS3e0LJDfIKpvscy6fIyV12zNMNrPIRq5SlV+9&#10;90q9vhutIUcZQXvX0npRUSKd8J12+5Z++3r/bkUJJO46bryTLT1JoHebt2/WQ2jk0vfedDISBHHQ&#10;DKGlfUqhYQxELy2HhQ/SYVH5aHnCNO5ZF/mA6NawZVXdssHHLkQvJADebqcinRHjawC9UlrIrRcH&#10;K12aUKM0PKEk6HUAuilslZIifVEKZCKmpag0lROHYLzLJ9usebOPPPRazBT4ayi80GS5djj0CrXl&#10;iZND1P9AWS2iB6/SQnjLJiHFEVRRVy+8eex5kEULWg3hajr8P1jx+fgQie5aelNXN5Q4bnHn558/&#10;zr/+nH9/J/VttmgI0GDnY3iIcwYYZr2jijb/ohIyFltPV1vlmIjAy3q1XK0qdFxg7ZIgDnv6e4iQ&#10;PkhvSQ5aGnFvxU5+/ARpar205GnG5dP5e23MVM03LNOciOUojbtxZrvz3QllDrjnljp81pSYjw5t&#10;zE/iEsRLsJuDPAPC+0PCOYVERp2g5mG4lCJjfkB568/z0vX00W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k0tm7VAAAACAEAAA8AAAAAAAAAAQAgAAAAIgAAAGRycy9kb3ducmV2LnhtbFBLAQIU&#10;ABQAAAAIAIdO4kDhU2mDvQEAAHwDAAAOAAAAAAAAAAEAIAAAACQBAABkcnMvZTJvRG9jLnhtbFBL&#10;BQYAAAAABgAGAFkBAABTBQAAAAA=&#10;">
              <v:fill on="f" focussize="0,0"/>
              <v:stroke on="f"/>
              <v:imagedata o:title=""/>
              <o:lock v:ext="edit" aspectratio="f"/>
              <v:textbox inset="0mm,0mm,0mm,0mm" style="mso-fit-shape-to-text:t;">
                <w:txbxContent>
                  <w:p>
                    <w:pPr>
                      <w:snapToGrid w:val="0"/>
                      <w:rPr>
                        <w:sz w:val="18"/>
                      </w:rPr>
                    </w:pPr>
                  </w:p>
                </w:txbxContent>
              </v:textbox>
            </v:rect>
          </w:pict>
        </mc:Fallback>
      </mc:AlternateContent>
    </w:r>
    <w:r>
      <w:rPr>
        <w:rFonts w:hint="eastAsia"/>
        <w:sz w:val="18"/>
        <w:szCs w:val="18"/>
      </w:rPr>
      <w:t xml:space="preserve"> </w:t>
    </w:r>
    <w:r>
      <w:rPr>
        <w:rFonts w:hint="eastAsia" w:cs="宋体"/>
        <w:color w:val="333333"/>
        <w:sz w:val="18"/>
        <w:szCs w:val="18"/>
        <w:shd w:val="clear" w:color="auto" w:fill="FFFFFF"/>
        <w:lang w:eastAsia="zh-CN"/>
      </w:rPr>
      <w:t>陕西至诚项目管理集团有限公司</w:t>
    </w:r>
    <w:r>
      <w:rPr>
        <w:rFonts w:hint="eastAsia"/>
        <w:sz w:val="18"/>
        <w:szCs w:val="18"/>
      </w:rPr>
      <w:t xml:space="preserve">                                   地址：</w:t>
    </w:r>
    <w:r>
      <w:rPr>
        <w:sz w:val="18"/>
        <w:szCs w:val="18"/>
      </w:rPr>
      <mc:AlternateContent>
        <mc:Choice Requires="wps">
          <w:drawing>
            <wp:anchor distT="0" distB="0" distL="0" distR="0" simplePos="0" relativeHeight="251659264"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4105" name="文本框 1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18"/>
                            </w:rPr>
                          </w:pPr>
                        </w:p>
                      </w:txbxContent>
                    </wps:txbx>
                    <wps:bodyPr wrap="none" lIns="0" tIns="0" rIns="0" bIns="0">
                      <a:spAutoFit/>
                    </wps:bodyPr>
                  </wps:wsp>
                </a:graphicData>
              </a:graphic>
            </wp:anchor>
          </w:drawing>
        </mc:Choice>
        <mc:Fallback>
          <w:pict>
            <v:rect id="文本框 17" o:spid="_x0000_s1026" o:spt="1" style="position:absolute;left:0pt;margin-left:229.35pt;margin-top:0pt;height:144pt;width:144pt;mso-position-horizontal-relative:margin;mso-wrap-style:none;z-index:251659264;mso-width-relative:page;mso-height-relative:page;" filled="f" stroked="f" coordsize="21600,21600" o:gfxdata="UEsDBAoAAAAAAIdO4kAAAAAAAAAAAAAAAAAEAAAAZHJzL1BLAwQUAAAACACHTuJAGTS2btUAAAAI&#10;AQAADwAAAGRycy9kb3ducmV2LnhtbE2Py27CMBRE95X6D9at1F2xiShYaRwWlZDaqhsCH2Dim4fq&#10;R2QbQv++tytYjmY0c6baXp1lF4xpDF7BciGAoW+DGX2v4HjYvUhgKWtvtA0eFfxigm39+FDp0oTZ&#10;7/HS5J5RiU+lVjDkPJWcp3ZAp9MiTOjJ60J0OpOMPTdRz1TuLC+EWHOnR08Lg57wfcD2pzk7BfzQ&#10;7GbZ2CjCV9F928+PfYdBqeenpXgDlvGab2H4xyd0qInpFM7eJGYVrF7lhqIK6BHZm9Wa5ElBIaUA&#10;Xlf8/kD9B1BLAwQUAAAACACHTuJA5rldnL0BAAB8AwAADgAAAGRycy9lMm9Eb2MueG1srVNLjhMx&#10;EN0jcQfLe+LuiE/USmeEFA1CQjDSMAdw3Hbakn9yOenOBeAGrNiw51w5B2V3J4OGzSzYOFWuyqv3&#10;XrnXN6M15CgjaO9aWi8qSqQTvtNu39KHr7evVpRA4q7jxjvZ0pMEerN5+WI9hEYufe9NJyNBEAfN&#10;EFrapxQaxkD00nJY+CAdFpWPlidM4551kQ+Ibg1bVtVbNvjYheiFBMDb7VSkM2J8DqBXSgu59eJg&#10;pUsTapSGJ5QEvQ5AN4WtUlKkL0qBTMS0FJWmcuIQjHf5ZJs1b/aRh16LmQJ/DoUnmizXDodeobY8&#10;cXKI+h8oq0X04FVaCG/ZJKQ4girq6ok39z0PsmhBqyFcTYf/Bys+H+8i0V1LX9fVG0oct7jz84/v&#10;55+/z7++kfpdtmgI0GDnfbiLcwYYZr2jijb/ohIyFltPV1vlmIjAy3q1XK0qdFxg7ZIgDnv8e4iQ&#10;PkhvSQ5aGnFvxU5+/ARpar205GnG5dP5W23MVM03LNOciOUojbtxZrvz3QllDrjnljp81pSYjw5t&#10;zE/iEsRLsJuDPAPC+0PCOYVERp2g5mG4lCJjfkB563/npevxo9n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k0tm7VAAAACAEAAA8AAAAAAAAAAQAgAAAAIgAAAGRycy9kb3ducmV2LnhtbFBLAQIU&#10;ABQAAAAIAIdO4kDmuV2cvQEAAHwDAAAOAAAAAAAAAAEAIAAAACQBAABkcnMvZTJvRG9jLnhtbFBL&#10;BQYAAAAABgAGAFkBAABTBQAAAAA=&#10;">
              <v:fill on="f" focussize="0,0"/>
              <v:stroke on="f"/>
              <v:imagedata o:title=""/>
              <o:lock v:ext="edit" aspectratio="f"/>
              <v:textbox inset="0mm,0mm,0mm,0mm" style="mso-fit-shape-to-text:t;">
                <w:txbxContent>
                  <w:p>
                    <w:pPr>
                      <w:snapToGrid w:val="0"/>
                      <w:rPr>
                        <w:sz w:val="18"/>
                      </w:rPr>
                    </w:pPr>
                  </w:p>
                </w:txbxContent>
              </v:textbox>
            </v:rect>
          </w:pict>
        </mc:Fallback>
      </mc:AlternateContent>
    </w:r>
    <w:r>
      <w:rPr>
        <w:sz w:val="18"/>
        <w:szCs w:val="18"/>
      </w:rPr>
      <mc:AlternateContent>
        <mc:Choice Requires="wps">
          <w:drawing>
            <wp:anchor distT="0" distB="0" distL="0" distR="0" simplePos="0" relativeHeight="251659264"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4106" name="文本框 1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18"/>
                            </w:rPr>
                          </w:pPr>
                        </w:p>
                      </w:txbxContent>
                    </wps:txbx>
                    <wps:bodyPr wrap="none" lIns="0" tIns="0" rIns="0" bIns="0">
                      <a:spAutoFit/>
                    </wps:bodyPr>
                  </wps:wsp>
                </a:graphicData>
              </a:graphic>
            </wp:anchor>
          </w:drawing>
        </mc:Choice>
        <mc:Fallback>
          <w:pict>
            <v:rect id="文本框 18" o:spid="_x0000_s1026" o:spt="1" style="position:absolute;left:0pt;margin-left:229.35pt;margin-top:0pt;height:144pt;width:144pt;mso-position-horizontal-relative:margin;mso-wrap-style:none;z-index:251659264;mso-width-relative:page;mso-height-relative:page;" filled="f" stroked="f" coordsize="21600,21600" o:gfxdata="UEsDBAoAAAAAAIdO4kAAAAAAAAAAAAAAAAAEAAAAZHJzL1BLAwQUAAAACACHTuJAGTS2btUAAAAI&#10;AQAADwAAAGRycy9kb3ducmV2LnhtbE2Py27CMBRE95X6D9at1F2xiShYaRwWlZDaqhsCH2Dim4fq&#10;R2QbQv++tytYjmY0c6baXp1lF4xpDF7BciGAoW+DGX2v4HjYvUhgKWtvtA0eFfxigm39+FDp0oTZ&#10;7/HS5J5RiU+lVjDkPJWcp3ZAp9MiTOjJ60J0OpOMPTdRz1TuLC+EWHOnR08Lg57wfcD2pzk7BfzQ&#10;7GbZ2CjCV9F928+PfYdBqeenpXgDlvGab2H4xyd0qInpFM7eJGYVrF7lhqIK6BHZm9Wa5ElBIaUA&#10;Xlf8/kD9B1BLAwQUAAAACACHTuJAmLyRBL0BAAB8AwAADgAAAGRycy9lMm9Eb2MueG1srVNLbtsw&#10;EN0XyB0I7mtKRhEIguWggJEgQNAESHsAmiItAvyBQ1vyBZobdNVN9z2Xz9GhJDtFusmiG3qGM37z&#10;3htqdTNYQw4ygvauoeWioEQ64Vvtdg399vX2Y0UJJO5abryTDT1KoDfrqw+rPtRy6TtvWhkJgjio&#10;+9DQLqVQMwaik5bDwgfpsKh8tDxhGnesjbxHdGvYsiiuWe9jG6IXEgBvN1ORzojxPYBeKS3kxou9&#10;lS5NqFEanlASdDoAXY9slZIiPSoFMhHTUFSaxhOHYLzNJ1uveL2LPHRazBT4eyi80WS5djj0ArXh&#10;iZN91P9AWS2iB6/SQnjLJiGjI6iiLN5489zxIEctaDWEi+nw/2DFl8NTJLpt6KeyuKbEcYs7P/14&#10;Of38ffr1nZRVtqgPUGPnc3iKcwYYZr2Dijb/ohIyjLYeL7bKIRGBl2W1rKoCHRdYOyeIw17/HiKk&#10;O+ktyUFDI+5ttJMfHiBNreeWPM24fDp/q42ZqvmGZZoTsRylYTvMbLe+PaLMHvfcUIfPmhJz79DG&#10;/CTOQTwH2znIMyB83iecM5LIqBPUPAyXMsqYH1De+t/52PX60a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k0tm7VAAAACAEAAA8AAAAAAAAAAQAgAAAAIgAAAGRycy9kb3ducmV2LnhtbFBLAQIU&#10;ABQAAAAIAIdO4kCYvJEEvQEAAHwDAAAOAAAAAAAAAAEAIAAAACQBAABkcnMvZTJvRG9jLnhtbFBL&#10;BQYAAAAABgAGAFkBAABTBQAAAAA=&#10;">
              <v:fill on="f" focussize="0,0"/>
              <v:stroke on="f"/>
              <v:imagedata o:title=""/>
              <o:lock v:ext="edit" aspectratio="f"/>
              <v:textbox inset="0mm,0mm,0mm,0mm" style="mso-fit-shape-to-text:t;">
                <w:txbxContent>
                  <w:p>
                    <w:pPr>
                      <w:snapToGrid w:val="0"/>
                      <w:rPr>
                        <w:sz w:val="18"/>
                      </w:rPr>
                    </w:pPr>
                  </w:p>
                </w:txbxContent>
              </v:textbox>
            </v:rect>
          </w:pict>
        </mc:Fallback>
      </mc:AlternateContent>
    </w:r>
    <w:r>
      <w:rPr>
        <w:sz w:val="18"/>
        <w:szCs w:val="18"/>
      </w:rPr>
      <mc:AlternateContent>
        <mc:Choice Requires="wps">
          <w:drawing>
            <wp:anchor distT="0" distB="0" distL="0" distR="0" simplePos="0" relativeHeight="251659264"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4107"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18"/>
                            </w:rPr>
                          </w:pPr>
                        </w:p>
                      </w:txbxContent>
                    </wps:txbx>
                    <wps:bodyPr wrap="none" lIns="0" tIns="0" rIns="0" bIns="0">
                      <a:spAutoFit/>
                    </wps:bodyPr>
                  </wps:wsp>
                </a:graphicData>
              </a:graphic>
            </wp:anchor>
          </w:drawing>
        </mc:Choice>
        <mc:Fallback>
          <w:pict>
            <v:rect id="文本框 19" o:spid="_x0000_s1026" o:spt="1" style="position:absolute;left:0pt;margin-left:229.35pt;margin-top:0pt;height:144pt;width:144pt;mso-position-horizontal-relative:margin;mso-wrap-style:none;z-index:251659264;mso-width-relative:page;mso-height-relative:page;" filled="f" stroked="f" coordsize="21600,21600" o:gfxdata="UEsDBAoAAAAAAIdO4kAAAAAAAAAAAAAAAAAEAAAAZHJzL1BLAwQUAAAACACHTuJAGTS2btUAAAAI&#10;AQAADwAAAGRycy9kb3ducmV2LnhtbE2Py27CMBRE95X6D9at1F2xiShYaRwWlZDaqhsCH2Dim4fq&#10;R2QbQv++tytYjmY0c6baXp1lF4xpDF7BciGAoW+DGX2v4HjYvUhgKWtvtA0eFfxigm39+FDp0oTZ&#10;7/HS5J5RiU+lVjDkPJWcp3ZAp9MiTOjJ60J0OpOMPTdRz1TuLC+EWHOnR08Lg57wfcD2pzk7BfzQ&#10;7GbZ2CjCV9F928+PfYdBqeenpXgDlvGab2H4xyd0qInpFM7eJGYVrF7lhqIK6BHZm9Wa5ElBIaUA&#10;Xlf8/kD9B1BLAwQUAAAACACHTuJAn1alG70BAAB8AwAADgAAAGRycy9lMm9Eb2MueG1srVNLjhMx&#10;EN0jcQfLe+LuCEFopTNCigYhIRhpmAM4bjttyT+5nHTnAnADVmzYc66cg7K7k0HDZhZsnCpX5dV7&#10;r9zrm9EacpQRtHctrRcVJdIJ32m3b+nD19tXK0ogcddx451s6UkCvdm8fLEeQiOXvvemk5EgiINm&#10;CC3tUwoNYyB6aTksfJAOi8pHyxOmcc+6yAdEt4Ytq+oNG3zsQvRCAuDtdirSGTE+B9ArpYXcenGw&#10;0qUJNUrDE0qCXgegm8JWKSnSF6VAJmJaikpTOXEIxrt8ss2aN/vIQ6/FTIE/h8ITTZZrh0OvUFue&#10;ODlE/Q+U1SJ68CothLdsElIcQRV19cSb+54HWbSg1RCupsP/gxWfj3eR6K6lr+vqLSWOW9z5+cf3&#10;88/f51/fSP0uWzQEaLDzPtzFOQMMs95RRZt/UQkZi62nq61yTETgZb1arlYVOi6wdkkQhz3+PURI&#10;H6S3JActjbi3Yic/foI0tV5a8jTj8un8rTZmquYblmlOxHKUxt04s9357oQyB9xzSx0+a0rMR4c2&#10;5idxCeIl2M1BngHh/SHhnEIio05Q8zBcSpExP6C89b/z0vX40W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k0tm7VAAAACAEAAA8AAAAAAAAAAQAgAAAAIgAAAGRycy9kb3ducmV2LnhtbFBLAQIU&#10;ABQAAAAIAIdO4kCfVqUbvQEAAHwDAAAOAAAAAAAAAAEAIAAAACQBAABkcnMvZTJvRG9jLnhtbFBL&#10;BQYAAAAABgAGAFkBAABTBQAAAAA=&#10;">
              <v:fill on="f" focussize="0,0"/>
              <v:stroke on="f"/>
              <v:imagedata o:title=""/>
              <o:lock v:ext="edit" aspectratio="f"/>
              <v:textbox inset="0mm,0mm,0mm,0mm" style="mso-fit-shape-to-text:t;">
                <w:txbxContent>
                  <w:p>
                    <w:pPr>
                      <w:snapToGrid w:val="0"/>
                      <w:rPr>
                        <w:sz w:val="18"/>
                      </w:rPr>
                    </w:pPr>
                  </w:p>
                </w:txbxContent>
              </v:textbox>
            </v:rect>
          </w:pict>
        </mc:Fallback>
      </mc:AlternateContent>
    </w:r>
    <w:r>
      <w:rPr>
        <w:sz w:val="18"/>
        <w:szCs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8" name="文本框 2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18"/>
                            </w:rPr>
                          </w:pPr>
                        </w:p>
                      </w:txbxContent>
                    </wps:txbx>
                    <wps:bodyPr wrap="none" lIns="0" tIns="0" rIns="0" bIns="0">
                      <a:spAutoFit/>
                    </wps:bodyPr>
                  </wps:wsp>
                </a:graphicData>
              </a:graphic>
            </wp:anchor>
          </w:drawing>
        </mc:Choice>
        <mc:Fallback>
          <w:pict>
            <v:rect id="文本框 2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CTSj27AQAAfAMAAA4AAABkcnMvZTJvRG9jLnhtbK1TS4obMRDdB+YO&#10;Qvux2iYE07g9BMyEwDAZmOQAslpyC/RDJbvbF0hukFU22edcPkdK6rY9TDazyEZ+pSq/qvdKvbob&#10;rCEHGUF719D5rKJEOuFb7XYN/fb1/nZJCSTuWm68kw09SqB365t3qz7UcuE7b1oZCZI4qPvQ0C6l&#10;UDMGopOWw8wH6TCpfLQ8YRh3rI28R3Zr2KKqPrDexzZELyQA3m7GJJ0Y41sIvVJayI0XeytdGlmj&#10;NDyhJOh0ALou0yolRfqiFMhETENRaSonNkG8zSdbr3i9izx0Wkwj8LeM8EqT5dph0wvVhidO9lH/&#10;Q2W1iB68SjPhLRuFFEdQxbx65c1zx4MsWtBqCBfT4f/RisfDUyS6bej7eYWbd9zizk8/f5x+/Tn9&#10;/k4WxaI+QI2Vz+EpomE5AoRZ76Cizb+ohAzF1uPFVjkkIvByvlwslxU6LjB3DpCHXf8eIqRP0luS&#10;QUMj7q3YyQ8PkMbSc0nuZlw+nb/XxozZfMOug2WUhu0wTbv17RFl9rjnhjp81pSYzw5tzE/iDOIZ&#10;bCeQe0D4uE/YpwyRWUeqqRkupciYHlDe+su4VF0/mv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XW5UtAAAAAFAQAADwAAAAAAAAABACAAAAAiAAAAZHJzL2Rvd25yZXYueG1sUEsBAhQAFAAAAAgA&#10;h07iQECTSj27AQAAfAMAAA4AAAAAAAAAAQAgAAAAHwEAAGRycy9lMm9Eb2MueG1sUEsFBgAAAAAG&#10;AAYAWQEAAEwFAAAAAA==&#10;">
              <v:fill on="f" focussize="0,0"/>
              <v:stroke on="f"/>
              <v:imagedata o:title=""/>
              <o:lock v:ext="edit" aspectratio="f"/>
              <v:textbox inset="0mm,0mm,0mm,0mm" style="mso-fit-shape-to-text:t;">
                <w:txbxContent>
                  <w:p>
                    <w:pPr>
                      <w:snapToGrid w:val="0"/>
                      <w:rPr>
                        <w:sz w:val="18"/>
                      </w:rPr>
                    </w:pPr>
                  </w:p>
                </w:txbxContent>
              </v:textbox>
            </v:rect>
          </w:pict>
        </mc:Fallback>
      </mc:AlternateContent>
    </w:r>
    <w:r>
      <w:rPr>
        <w:rFonts w:hint="eastAsia"/>
        <w:sz w:val="18"/>
        <w:szCs w:val="18"/>
        <w:lang w:eastAsia="zh-CN"/>
      </w:rPr>
      <w:t>陕西省西安市经济技术开发区未央路171-1号银池道拉斯财富中心21楼</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pPr>
    <w:r>
      <w:rPr>
        <w:sz w:val="18"/>
        <w:szCs w:val="18"/>
      </w:rPr>
      <mc:AlternateContent>
        <mc:Choice Requires="wps">
          <w:drawing>
            <wp:anchor distT="0" distB="0" distL="0" distR="0" simplePos="0" relativeHeight="251659264"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4110" name="文本框 2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18"/>
                            </w:rPr>
                          </w:pPr>
                        </w:p>
                      </w:txbxContent>
                    </wps:txbx>
                    <wps:bodyPr wrap="none" lIns="0" tIns="0" rIns="0" bIns="0">
                      <a:spAutoFit/>
                    </wps:bodyPr>
                  </wps:wsp>
                </a:graphicData>
              </a:graphic>
            </wp:anchor>
          </w:drawing>
        </mc:Choice>
        <mc:Fallback>
          <w:pict>
            <v:rect id="文本框 21" o:spid="_x0000_s1026" o:spt="1" style="position:absolute;left:0pt;margin-left:229.35pt;margin-top:0pt;height:144pt;width:144pt;mso-position-horizontal-relative:margin;mso-wrap-style:none;z-index:251659264;mso-width-relative:page;mso-height-relative:page;" filled="f" stroked="f" coordsize="21600,21600" o:gfxdata="UEsDBAoAAAAAAIdO4kAAAAAAAAAAAAAAAAAEAAAAZHJzL1BLAwQUAAAACACHTuJAGTS2btUAAAAI&#10;AQAADwAAAGRycy9kb3ducmV2LnhtbE2Py27CMBRE95X6D9at1F2xiShYaRwWlZDaqhsCH2Dim4fq&#10;R2QbQv++tytYjmY0c6baXp1lF4xpDF7BciGAoW+DGX2v4HjYvUhgKWtvtA0eFfxigm39+FDp0oTZ&#10;7/HS5J5RiU+lVjDkPJWcp3ZAp9MiTOjJ60J0OpOMPTdRz1TuLC+EWHOnR08Lg57wfcD2pzk7BfzQ&#10;7GbZ2CjCV9F928+PfYdBqeenpXgDlvGab2H4xyd0qInpFM7eJGYVrF7lhqIK6BHZm9Wa5ElBIaUA&#10;Xlf8/kD9B1BLAwQUAAAACACHTuJAqMLKQLwBAAB8AwAADgAAAGRycy9lMm9Eb2MueG1srVNLihsx&#10;EN0HcgehfaxuE4Jp3B4GzAyBkAxMcgBZLbkF+qGS3e0LJDfIKpvscy6fIyV12zNMNrPIRq5SlV+9&#10;90q9vhmtIUcZQXvX0npRUSKd8J12+5Z++3r3bkUJJO46bryTLT1JoDebt2/WQ2jk0vfedDISBHHQ&#10;DKGlfUqhYQxELy2HhQ/SYVH5aHnCNO5ZF/mA6NawZVV9YIOPXYheSAC83U5FOiPG1wB6pbSQWy8O&#10;Vro0oUZpeEJJ0OsAdFPYKiVF+qIUyERMS1FpKicOwXiXT7ZZ82Yfeei1mCnw11B4ocly7XDoFWrL&#10;EyeHqP+BslpED16lhfCWTUKKI6iirl5489jzIIsWtBrC1XT4f7Di8/EhEt219H1doymOW9z5+eeP&#10;868/59/fybLOFg0BGux8DA9xzgDDrHdU0eZfVELGYuvpaqscExF4Wa+Wq1WF4AJrlwRx2NPfQ4R0&#10;L70lOWhpxL0VO/nxE6Sp9dKSpxmXT+fvtDFTNd+wTHMilqM07saZ7c53J5Q54J5b6vBZU2I+OrQx&#10;P4lLEC/Bbg7yDAi3h4RzComMOkHNw3ApRcb8gPLWn+el6+mj2f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TS2btUAAAAIAQAADwAAAAAAAAABACAAAAAiAAAAZHJzL2Rvd25yZXYueG1sUEsBAhQA&#10;FAAAAAgAh07iQKjCykC8AQAAfAMAAA4AAAAAAAAAAQAgAAAAJAEAAGRycy9lMm9Eb2MueG1sUEsF&#10;BgAAAAAGAAYAWQEAAFIFAAAAAA==&#10;">
              <v:fill on="f" focussize="0,0"/>
              <v:stroke on="f"/>
              <v:imagedata o:title=""/>
              <o:lock v:ext="edit" aspectratio="f"/>
              <v:textbox inset="0mm,0mm,0mm,0mm" style="mso-fit-shape-to-text:t;">
                <w:txbxContent>
                  <w:p>
                    <w:pPr>
                      <w:snapToGrid w:val="0"/>
                      <w:rPr>
                        <w:sz w:val="18"/>
                      </w:rPr>
                    </w:pP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rFonts w:hint="eastAsia" w:eastAsia="宋体"/>
        <w:sz w:val="18"/>
        <w:szCs w:val="18"/>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 w:val="18"/>
        <w:szCs w:val="18"/>
        <w:lang w:eastAsia="zh-CN"/>
      </w:rPr>
      <w:t>陕西至诚项目管理集团有限公司</w:t>
    </w:r>
    <w:r>
      <w:rPr>
        <w:rFonts w:hint="eastAsia"/>
        <w:sz w:val="18"/>
        <w:szCs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sz w:val="18"/>
        <w:szCs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3"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18"/>
                            </w:rPr>
                          </w:pPr>
                        </w:p>
                      </w:txbxContent>
                    </wps:txbx>
                    <wps:bodyPr wrap="none" lIns="0" tIns="0" rIns="0" bIns="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17bSq8AQAAewMAAA4AAABkcnMvZTJvRG9jLnhtbK1TS44TMRDdI3EH&#10;y3vi7oBQaKUzQooGISEYaZgDOG47bck/uZx05wJwA1Zs2HOunIOyu5NBw2YWbJwqV+XVe6/c65vR&#10;GnKUEbR3La0XFSXSCd9pt2/pw9fbVytKIHHXceOdbOlJAr3ZvHyxHkIjl773ppORIIiDZggt7VMK&#10;DWMgemk5LHyQDovKR8sTpnHPusgHRLeGLavqLRt87EL0QgLg7XYq0hkxPgfQK6WF3HpxsNKlCTVK&#10;wxNKgl4HoJvCVikp0helQCZiWopKUzlxCMa7fLLNmjf7yEOvxUyBP4fCE02Wa4dDr1Bbnjg5RP0P&#10;lNUievAqLYS3bBJSHEEVdfXEm/ueB1m0oNUQrqbD/4MVn493keiupW/q+jUljlvc+fnH9/PP3+df&#10;38i77NAQoMHG+3AX5wwwzHJHFW3+RSFkLK6erq7KMRGBl/VquVpVaLjA2iVBHPb49xAhfZDekhy0&#10;NOLaipv8+AnS1HppydOMy6fzt9qYqZpvWKY5EctRGnfjzHbnuxOqHHDNLXX4qikxHx26mF/EJYiX&#10;YDcHeQaE94eEcwqJjDpBzcNwJ0XG/H7y0v/OS9fjN7P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Cde20qvAEAAHsDAAAOAAAAAAAAAAEAIAAAAB8BAABkcnMvZTJvRG9jLnhtbFBLBQYAAAAA&#10;BgAGAFkBAABNBQAAAAA=&#10;">
              <v:fill on="f" focussize="0,0"/>
              <v:stroke on="f"/>
              <v:imagedata o:title=""/>
              <o:lock v:ext="edit" aspectratio="f"/>
              <v:textbox inset="0mm,0mm,0mm,0mm" style="mso-fit-shape-to-text:t;">
                <w:txbxContent>
                  <w:p>
                    <w:pPr>
                      <w:snapToGrid w:val="0"/>
                      <w:rPr>
                        <w:sz w:val="18"/>
                      </w:rPr>
                    </w:pPr>
                  </w:p>
                </w:txbxContent>
              </v:textbox>
            </v:rect>
          </w:pict>
        </mc:Fallback>
      </mc:AlternateContent>
    </w:r>
    <w:r>
      <w:rPr>
        <w:rFonts w:hint="eastAsia"/>
        <w:sz w:val="18"/>
        <w:szCs w:val="18"/>
        <w:lang w:eastAsia="zh-CN"/>
      </w:rPr>
      <w:t>陕西至诚项目管理集团有限公司</w:t>
    </w:r>
    <w:r>
      <w:rPr>
        <w:rFonts w:hint="eastAsia"/>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s>
      <w:jc w:val="left"/>
    </w:pPr>
    <w:r>
      <w:rPr>
        <w:rFonts w:hint="eastAsia" w:hAnsi="宋体"/>
        <w:lang w:eastAsia="zh-CN"/>
      </w:rPr>
      <w:t>商南县城区环卫市场化运营项目</w:t>
    </w:r>
    <w:r>
      <w:rPr>
        <w:rFonts w:hint="eastAsia" w:hAnsi="宋体"/>
      </w:rPr>
      <w:t xml:space="preserve">                                    </w:t>
    </w:r>
    <w:r>
      <w:rPr>
        <w:rFonts w:hint="eastAsia" w:hAnsi="宋体"/>
        <w:lang w:val="en-US" w:eastAsia="zh-CN"/>
      </w:rPr>
      <w:t xml:space="preserve">                  </w:t>
    </w:r>
    <w:r>
      <w:rPr>
        <w:rFonts w:hint="eastAsia" w:hAnsi="宋体"/>
      </w:rPr>
      <w:t xml:space="preserve">             招标文件</w:t>
    </w:r>
    <w:r>
      <w:rPr>
        <w:rFonts w:hint="eastAsia" w:hAnsi="宋体"/>
        <w:sz w:val="11"/>
        <w:szCs w:val="1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tabs>
        <w:tab w:val="left" w:pos="1925"/>
        <w:tab w:val="clear" w:pos="4153"/>
      </w:tabs>
      <w:jc w:val="left"/>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jc w:val="left"/>
    </w:pPr>
    <w:r>
      <w:rPr>
        <w:rFonts w:hint="eastAsia" w:ascii="宋体" w:hAnsi="宋体" w:cs="宋体"/>
        <w:lang w:eastAsia="zh-CN"/>
      </w:rPr>
      <w:t>商南县城区环卫市场化运营项目</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招标文件 </w:t>
    </w:r>
    <w:r>
      <w:rPr>
        <w:rFonts w:hint="eastAsia"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chineseCounting"/>
      <w:suff w:val="space"/>
      <w:lvlText w:val="第%1章"/>
      <w:lvlJc w:val="left"/>
      <w:rPr>
        <w:rFonts w:hint="eastAsia"/>
      </w:rPr>
    </w:lvl>
  </w:abstractNum>
  <w:abstractNum w:abstractNumId="1">
    <w:nsid w:val="00000002"/>
    <w:multiLevelType w:val="singleLevel"/>
    <w:tmpl w:val="00000002"/>
    <w:lvl w:ilvl="0" w:tentative="0">
      <w:start w:val="1"/>
      <w:numFmt w:val="chineseCounting"/>
      <w:suff w:val="nothing"/>
      <w:lvlText w:val="%1、"/>
      <w:lvlJc w:val="left"/>
      <w:rPr>
        <w:rFonts w:hint="eastAsia"/>
      </w:rPr>
    </w:lvl>
  </w:abstractNum>
  <w:abstractNum w:abstractNumId="2">
    <w:nsid w:val="00000005"/>
    <w:multiLevelType w:val="singleLevel"/>
    <w:tmpl w:val="00000005"/>
    <w:lvl w:ilvl="0" w:tentative="0">
      <w:start w:val="1"/>
      <w:numFmt w:val="decimal"/>
      <w:lvlText w:val="（%1）"/>
      <w:lvlJc w:val="left"/>
      <w:pPr>
        <w:tabs>
          <w:tab w:val="left" w:pos="720"/>
        </w:tabs>
        <w:ind w:left="720" w:hanging="720"/>
      </w:pPr>
      <w:rPr>
        <w:rFonts w:hint="eastAsia"/>
      </w:rPr>
    </w:lvl>
  </w:abstractNum>
  <w:abstractNum w:abstractNumId="3">
    <w:nsid w:val="00000006"/>
    <w:multiLevelType w:val="singleLevel"/>
    <w:tmpl w:val="00000006"/>
    <w:lvl w:ilvl="0" w:tentative="0">
      <w:start w:val="2"/>
      <w:numFmt w:val="decimal"/>
      <w:suff w:val="nothing"/>
      <w:lvlText w:val="%1."/>
      <w:lvlJc w:val="left"/>
    </w:lvl>
  </w:abstractNum>
  <w:abstractNum w:abstractNumId="4">
    <w:nsid w:val="00000008"/>
    <w:multiLevelType w:val="singleLevel"/>
    <w:tmpl w:val="00000008"/>
    <w:lvl w:ilvl="0" w:tentative="0">
      <w:start w:val="2"/>
      <w:numFmt w:val="decimal"/>
      <w:suff w:val="nothing"/>
      <w:lvlText w:val="%1."/>
      <w:lvlJc w:val="left"/>
    </w:lvl>
  </w:abstractNum>
  <w:abstractNum w:abstractNumId="5">
    <w:nsid w:val="00000009"/>
    <w:multiLevelType w:val="singleLevel"/>
    <w:tmpl w:val="00000009"/>
    <w:lvl w:ilvl="0" w:tentative="0">
      <w:start w:val="1"/>
      <w:numFmt w:val="decimal"/>
      <w:suff w:val="nothing"/>
      <w:lvlText w:val="（%1）"/>
      <w:lvlJc w:val="left"/>
    </w:lvl>
  </w:abstractNum>
  <w:abstractNum w:abstractNumId="6">
    <w:nsid w:val="0000000C"/>
    <w:multiLevelType w:val="singleLevel"/>
    <w:tmpl w:val="0000000C"/>
    <w:lvl w:ilvl="0" w:tentative="0">
      <w:start w:val="16"/>
      <w:numFmt w:val="decimal"/>
      <w:suff w:val="nothing"/>
      <w:lvlText w:val="%1."/>
      <w:lvlJc w:val="left"/>
    </w:lvl>
  </w:abstractNum>
  <w:abstractNum w:abstractNumId="7">
    <w:nsid w:val="66441084"/>
    <w:multiLevelType w:val="singleLevel"/>
    <w:tmpl w:val="66441084"/>
    <w:lvl w:ilvl="0" w:tentative="0">
      <w:start w:val="1"/>
      <w:numFmt w:val="chineseCounting"/>
      <w:suff w:val="nothing"/>
      <w:lvlText w:val="%1、"/>
      <w:lvlJc w:val="left"/>
      <w:rPr>
        <w:rFonts w:hint="eastAsia"/>
      </w:rPr>
    </w:lvl>
  </w:abstractNum>
  <w:abstractNum w:abstractNumId="8">
    <w:nsid w:val="70D5ABC4"/>
    <w:multiLevelType w:val="singleLevel"/>
    <w:tmpl w:val="70D5ABC4"/>
    <w:lvl w:ilvl="0" w:tentative="0">
      <w:start w:val="1"/>
      <w:numFmt w:val="decimal"/>
      <w:lvlText w:val="%1."/>
      <w:lvlJc w:val="left"/>
      <w:pPr>
        <w:tabs>
          <w:tab w:val="left" w:pos="312"/>
        </w:tabs>
      </w:pPr>
    </w:lvl>
  </w:abstractNum>
  <w:num w:numId="1">
    <w:abstractNumId w:val="4"/>
  </w:num>
  <w:num w:numId="2">
    <w:abstractNumId w:val="6"/>
  </w:num>
  <w:num w:numId="3">
    <w:abstractNumId w:val="5"/>
  </w:num>
  <w:num w:numId="4">
    <w:abstractNumId w:val="0"/>
  </w:num>
  <w:num w:numId="5">
    <w:abstractNumId w:val="7"/>
  </w:num>
  <w:num w:numId="6">
    <w:abstractNumId w:val="8"/>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2MmExZmM3MjhmNDhmZjI1MDBiNWQ3ODkxODIzZGEifQ=="/>
  </w:docVars>
  <w:rsids>
    <w:rsidRoot w:val="00514CB7"/>
    <w:rsid w:val="000933F5"/>
    <w:rsid w:val="00120E2A"/>
    <w:rsid w:val="00147DDE"/>
    <w:rsid w:val="001B3D54"/>
    <w:rsid w:val="00514CB7"/>
    <w:rsid w:val="005307AA"/>
    <w:rsid w:val="006D3956"/>
    <w:rsid w:val="00AB51CA"/>
    <w:rsid w:val="00AF27A6"/>
    <w:rsid w:val="00B60F04"/>
    <w:rsid w:val="00B6427B"/>
    <w:rsid w:val="00E501B3"/>
    <w:rsid w:val="00FB1B0B"/>
    <w:rsid w:val="02E9736A"/>
    <w:rsid w:val="04ED23F9"/>
    <w:rsid w:val="05F70199"/>
    <w:rsid w:val="05F73E49"/>
    <w:rsid w:val="067D2699"/>
    <w:rsid w:val="07170651"/>
    <w:rsid w:val="0A2328AA"/>
    <w:rsid w:val="0B48661D"/>
    <w:rsid w:val="0D224C0A"/>
    <w:rsid w:val="0D3117AC"/>
    <w:rsid w:val="0E1353C8"/>
    <w:rsid w:val="0EE415C6"/>
    <w:rsid w:val="0F1F6A42"/>
    <w:rsid w:val="0F373F0C"/>
    <w:rsid w:val="0FED7751"/>
    <w:rsid w:val="10603DEA"/>
    <w:rsid w:val="10923EB3"/>
    <w:rsid w:val="10993962"/>
    <w:rsid w:val="11287D9D"/>
    <w:rsid w:val="1403287D"/>
    <w:rsid w:val="181537B0"/>
    <w:rsid w:val="182471FE"/>
    <w:rsid w:val="18BE0927"/>
    <w:rsid w:val="191C6AE3"/>
    <w:rsid w:val="193368F3"/>
    <w:rsid w:val="19D76B59"/>
    <w:rsid w:val="1AD64DD1"/>
    <w:rsid w:val="1B360FFA"/>
    <w:rsid w:val="1BE55F60"/>
    <w:rsid w:val="1CD963DC"/>
    <w:rsid w:val="1E407308"/>
    <w:rsid w:val="1FFB3BED"/>
    <w:rsid w:val="20932586"/>
    <w:rsid w:val="217C49B4"/>
    <w:rsid w:val="22115475"/>
    <w:rsid w:val="22F42B93"/>
    <w:rsid w:val="240007C1"/>
    <w:rsid w:val="247C11BF"/>
    <w:rsid w:val="24EA1444"/>
    <w:rsid w:val="258E5573"/>
    <w:rsid w:val="26834513"/>
    <w:rsid w:val="27A05E90"/>
    <w:rsid w:val="27AE3812"/>
    <w:rsid w:val="27C21772"/>
    <w:rsid w:val="28265442"/>
    <w:rsid w:val="291B0A33"/>
    <w:rsid w:val="29671ECA"/>
    <w:rsid w:val="2A1E55C5"/>
    <w:rsid w:val="2CDC5307"/>
    <w:rsid w:val="2CFF7D0D"/>
    <w:rsid w:val="2F7E08BA"/>
    <w:rsid w:val="2FA45453"/>
    <w:rsid w:val="305A18C6"/>
    <w:rsid w:val="30AD70B2"/>
    <w:rsid w:val="30FC442B"/>
    <w:rsid w:val="311A0C2C"/>
    <w:rsid w:val="31D031A1"/>
    <w:rsid w:val="32E77E53"/>
    <w:rsid w:val="34E427BC"/>
    <w:rsid w:val="34F32149"/>
    <w:rsid w:val="36CE16AF"/>
    <w:rsid w:val="392854A4"/>
    <w:rsid w:val="39921DDC"/>
    <w:rsid w:val="3AEA4B62"/>
    <w:rsid w:val="3C6E7B03"/>
    <w:rsid w:val="3EAF36F6"/>
    <w:rsid w:val="414B2D33"/>
    <w:rsid w:val="438C2E1C"/>
    <w:rsid w:val="439F77F0"/>
    <w:rsid w:val="44F02179"/>
    <w:rsid w:val="46875E39"/>
    <w:rsid w:val="46C1059E"/>
    <w:rsid w:val="46C276CE"/>
    <w:rsid w:val="473A348C"/>
    <w:rsid w:val="47A163CE"/>
    <w:rsid w:val="480C3B22"/>
    <w:rsid w:val="48651F1A"/>
    <w:rsid w:val="4AED670E"/>
    <w:rsid w:val="4AF31BAE"/>
    <w:rsid w:val="4BA34B8C"/>
    <w:rsid w:val="4CE306AE"/>
    <w:rsid w:val="4D0758C8"/>
    <w:rsid w:val="4E8E1CAD"/>
    <w:rsid w:val="52400D8B"/>
    <w:rsid w:val="53AF799E"/>
    <w:rsid w:val="545B26D7"/>
    <w:rsid w:val="5495528E"/>
    <w:rsid w:val="55D55DC8"/>
    <w:rsid w:val="55F16797"/>
    <w:rsid w:val="570657EE"/>
    <w:rsid w:val="59C04C97"/>
    <w:rsid w:val="5C7A71BC"/>
    <w:rsid w:val="5E607A0C"/>
    <w:rsid w:val="5EED29C5"/>
    <w:rsid w:val="60F162B1"/>
    <w:rsid w:val="61954B1F"/>
    <w:rsid w:val="627D426A"/>
    <w:rsid w:val="628730A2"/>
    <w:rsid w:val="635E0964"/>
    <w:rsid w:val="643A34C9"/>
    <w:rsid w:val="6687147F"/>
    <w:rsid w:val="668B5007"/>
    <w:rsid w:val="66C51A03"/>
    <w:rsid w:val="691F2EDA"/>
    <w:rsid w:val="6B521B95"/>
    <w:rsid w:val="6D093599"/>
    <w:rsid w:val="6DDA2AEB"/>
    <w:rsid w:val="6EBE1589"/>
    <w:rsid w:val="6F992FE8"/>
    <w:rsid w:val="7197273C"/>
    <w:rsid w:val="71A112D6"/>
    <w:rsid w:val="71F16C8A"/>
    <w:rsid w:val="726E11A1"/>
    <w:rsid w:val="727654EA"/>
    <w:rsid w:val="78C33A14"/>
    <w:rsid w:val="78C37DCE"/>
    <w:rsid w:val="79FB6EB8"/>
    <w:rsid w:val="7AAF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24"/>
      <w:lang w:val="en-US" w:eastAsia="zh-CN" w:bidi="ar-SA"/>
    </w:rPr>
  </w:style>
  <w:style w:type="paragraph" w:styleId="4">
    <w:name w:val="heading 1"/>
    <w:basedOn w:val="1"/>
    <w:next w:val="1"/>
    <w:link w:val="31"/>
    <w:autoRedefine/>
    <w:qFormat/>
    <w:uiPriority w:val="0"/>
    <w:pPr>
      <w:keepNext/>
      <w:outlineLvl w:val="0"/>
    </w:pPr>
    <w:rPr>
      <w:rFonts w:ascii="仿宋_GB2312" w:hAnsi="宋体" w:eastAsia="仿宋_GB2312"/>
      <w:b/>
      <w:kern w:val="2"/>
      <w:sz w:val="32"/>
    </w:rPr>
  </w:style>
  <w:style w:type="paragraph" w:styleId="5">
    <w:name w:val="heading 2"/>
    <w:basedOn w:val="1"/>
    <w:next w:val="1"/>
    <w:autoRedefine/>
    <w:qFormat/>
    <w:uiPriority w:val="9"/>
    <w:pPr>
      <w:keepNext/>
      <w:keepLines/>
      <w:widowControl/>
      <w:spacing w:before="260" w:after="260"/>
      <w:ind w:left="284"/>
      <w:jc w:val="left"/>
      <w:outlineLvl w:val="1"/>
    </w:pPr>
    <w:rPr>
      <w:rFonts w:ascii="Arial" w:hAnsi="Arial"/>
      <w:b/>
      <w:bCs/>
      <w:sz w:val="28"/>
      <w:szCs w:val="32"/>
    </w:rPr>
  </w:style>
  <w:style w:type="paragraph" w:styleId="6">
    <w:name w:val="heading 3"/>
    <w:basedOn w:val="1"/>
    <w:next w:val="1"/>
    <w:link w:val="39"/>
    <w:autoRedefine/>
    <w:qFormat/>
    <w:uiPriority w:val="0"/>
    <w:pPr>
      <w:keepNext/>
      <w:spacing w:before="624" w:beforeLines="200" w:line="400" w:lineRule="exact"/>
      <w:jc w:val="center"/>
      <w:outlineLvl w:val="2"/>
    </w:pPr>
    <w:rPr>
      <w:rFonts w:ascii="Times New Roman"/>
      <w:b/>
      <w:bCs/>
      <w:kern w:val="2"/>
      <w:szCs w:val="24"/>
    </w:rPr>
  </w:style>
  <w:style w:type="paragraph" w:styleId="7">
    <w:name w:val="heading 4"/>
    <w:basedOn w:val="1"/>
    <w:next w:val="1"/>
    <w:autoRedefine/>
    <w:qFormat/>
    <w:uiPriority w:val="0"/>
    <w:pPr>
      <w:keepNext/>
      <w:keepLines/>
      <w:spacing w:line="372" w:lineRule="auto"/>
      <w:outlineLvl w:val="3"/>
    </w:pPr>
    <w:rPr>
      <w:rFonts w:ascii="Arial" w:hAnsi="Arial" w:eastAsia="黑体"/>
      <w:b/>
      <w:sz w:val="28"/>
    </w:rPr>
  </w:style>
  <w:style w:type="paragraph" w:styleId="8">
    <w:name w:val="heading 6"/>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paragraph" w:styleId="9">
    <w:name w:val="heading 8"/>
    <w:basedOn w:val="1"/>
    <w:next w:val="1"/>
    <w:autoRedefine/>
    <w:qFormat/>
    <w:uiPriority w:val="0"/>
    <w:pPr>
      <w:keepNext/>
      <w:tabs>
        <w:tab w:val="left" w:pos="1440"/>
      </w:tabs>
      <w:spacing w:line="360" w:lineRule="auto"/>
      <w:ind w:left="1440" w:hanging="1440"/>
      <w:outlineLvl w:val="7"/>
    </w:pPr>
    <w:rPr>
      <w:rFonts w:ascii="仿宋_GB2312" w:eastAsia="仿宋_GB2312"/>
      <w:b/>
      <w:kern w:val="2"/>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rFonts w:ascii="Times New Roman"/>
      <w:kern w:val="2"/>
      <w:sz w:val="21"/>
    </w:rPr>
  </w:style>
  <w:style w:type="paragraph" w:styleId="3">
    <w:name w:val="index 5"/>
    <w:basedOn w:val="1"/>
    <w:next w:val="1"/>
    <w:autoRedefine/>
    <w:semiHidden/>
    <w:qFormat/>
    <w:uiPriority w:val="99"/>
    <w:pPr>
      <w:widowControl w:val="0"/>
      <w:ind w:left="1680"/>
    </w:pPr>
    <w:rPr>
      <w:rFonts w:ascii="黑体" w:eastAsia="黑体" w:cs="黑体"/>
      <w:kern w:val="2"/>
    </w:rPr>
  </w:style>
  <w:style w:type="paragraph" w:styleId="10">
    <w:name w:val="Normal Indent"/>
    <w:basedOn w:val="1"/>
    <w:autoRedefine/>
    <w:qFormat/>
    <w:uiPriority w:val="0"/>
    <w:pPr>
      <w:spacing w:line="300" w:lineRule="auto"/>
      <w:ind w:firstLine="420" w:firstLineChars="200"/>
    </w:pPr>
    <w:rPr>
      <w:rFonts w:ascii="Times New Roman"/>
      <w:kern w:val="2"/>
      <w:sz w:val="21"/>
      <w:szCs w:val="24"/>
    </w:rPr>
  </w:style>
  <w:style w:type="paragraph" w:styleId="11">
    <w:name w:val="annotation text"/>
    <w:basedOn w:val="1"/>
    <w:autoRedefine/>
    <w:qFormat/>
    <w:uiPriority w:val="0"/>
    <w:pPr>
      <w:jc w:val="left"/>
    </w:pPr>
    <w:rPr>
      <w:rFonts w:ascii="Times New Roman"/>
      <w:kern w:val="2"/>
      <w:sz w:val="21"/>
      <w:szCs w:val="24"/>
    </w:rPr>
  </w:style>
  <w:style w:type="paragraph" w:styleId="12">
    <w:name w:val="Body Text Indent"/>
    <w:basedOn w:val="1"/>
    <w:next w:val="1"/>
    <w:autoRedefine/>
    <w:qFormat/>
    <w:uiPriority w:val="0"/>
    <w:pPr>
      <w:widowControl/>
      <w:ind w:firstLine="652" w:firstLineChars="233"/>
    </w:pPr>
    <w:rPr>
      <w:rFonts w:ascii="Times New Roman"/>
      <w:sz w:val="28"/>
    </w:rPr>
  </w:style>
  <w:style w:type="paragraph" w:styleId="13">
    <w:name w:val="toc 3"/>
    <w:basedOn w:val="1"/>
    <w:next w:val="1"/>
    <w:autoRedefine/>
    <w:qFormat/>
    <w:uiPriority w:val="39"/>
    <w:pPr>
      <w:ind w:left="840" w:leftChars="400"/>
    </w:pPr>
  </w:style>
  <w:style w:type="paragraph" w:styleId="14">
    <w:name w:val="Plain Text"/>
    <w:basedOn w:val="1"/>
    <w:autoRedefine/>
    <w:qFormat/>
    <w:uiPriority w:val="0"/>
    <w:rPr>
      <w:rFonts w:hAnsi="Courier New"/>
      <w:kern w:val="2"/>
      <w:sz w:val="21"/>
    </w:rPr>
  </w:style>
  <w:style w:type="paragraph" w:styleId="15">
    <w:name w:val="Date"/>
    <w:basedOn w:val="1"/>
    <w:next w:val="1"/>
    <w:autoRedefine/>
    <w:qFormat/>
    <w:uiPriority w:val="0"/>
    <w:rPr>
      <w:rFonts w:ascii="Times New Roman"/>
      <w:kern w:val="2"/>
      <w:sz w:val="28"/>
    </w:rPr>
  </w:style>
  <w:style w:type="paragraph" w:styleId="16">
    <w:name w:val="Body Text Indent 2"/>
    <w:basedOn w:val="1"/>
    <w:autoRedefine/>
    <w:qFormat/>
    <w:uiPriority w:val="0"/>
    <w:pPr>
      <w:spacing w:after="120" w:afterLines="0" w:afterAutospacing="0" w:line="480" w:lineRule="auto"/>
      <w:ind w:left="420" w:leftChars="200"/>
    </w:pPr>
  </w:style>
  <w:style w:type="paragraph" w:styleId="17">
    <w:name w:val="footer"/>
    <w:basedOn w:val="1"/>
    <w:autoRedefine/>
    <w:qFormat/>
    <w:uiPriority w:val="99"/>
    <w:pPr>
      <w:tabs>
        <w:tab w:val="center" w:pos="4153"/>
        <w:tab w:val="right" w:pos="8306"/>
      </w:tabs>
      <w:snapToGrid w:val="0"/>
      <w:jc w:val="left"/>
    </w:pPr>
    <w:rPr>
      <w:rFonts w:ascii="Times New Roman"/>
      <w:kern w:val="2"/>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19">
    <w:name w:val="toc 1"/>
    <w:basedOn w:val="1"/>
    <w:next w:val="1"/>
    <w:autoRedefine/>
    <w:qFormat/>
    <w:uiPriority w:val="39"/>
    <w:pPr>
      <w:tabs>
        <w:tab w:val="left" w:pos="1418"/>
        <w:tab w:val="right" w:leader="dot" w:pos="8302"/>
      </w:tabs>
      <w:spacing w:line="960" w:lineRule="auto"/>
    </w:pPr>
  </w:style>
  <w:style w:type="paragraph" w:styleId="20">
    <w:name w:val="toc 2"/>
    <w:basedOn w:val="1"/>
    <w:next w:val="1"/>
    <w:autoRedefine/>
    <w:qFormat/>
    <w:uiPriority w:val="39"/>
    <w:pPr>
      <w:tabs>
        <w:tab w:val="right" w:leader="dot" w:pos="8302"/>
      </w:tabs>
      <w:spacing w:line="960" w:lineRule="auto"/>
      <w:ind w:left="420" w:leftChars="200"/>
    </w:pPr>
  </w:style>
  <w:style w:type="paragraph" w:styleId="21">
    <w:name w:val="Normal (Web)"/>
    <w:basedOn w:val="1"/>
    <w:autoRedefine/>
    <w:qFormat/>
    <w:uiPriority w:val="99"/>
    <w:pPr>
      <w:widowControl/>
      <w:spacing w:before="100" w:beforeAutospacing="1" w:after="100" w:afterAutospacing="1"/>
      <w:jc w:val="left"/>
    </w:pPr>
    <w:rPr>
      <w:rFonts w:hAnsi="宋体"/>
      <w:szCs w:val="24"/>
    </w:rPr>
  </w:style>
  <w:style w:type="paragraph" w:styleId="22">
    <w:name w:val="Body Text First Indent"/>
    <w:basedOn w:val="2"/>
    <w:next w:val="23"/>
    <w:autoRedefine/>
    <w:qFormat/>
    <w:uiPriority w:val="0"/>
    <w:pPr>
      <w:spacing w:line="360" w:lineRule="auto"/>
      <w:ind w:firstLine="420" w:firstLineChars="100"/>
    </w:pPr>
  </w:style>
  <w:style w:type="paragraph" w:styleId="23">
    <w:name w:val="Body Text First Indent 2"/>
    <w:basedOn w:val="12"/>
    <w:next w:val="22"/>
    <w:autoRedefine/>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22"/>
    <w:rPr>
      <w:b/>
      <w:bCs/>
    </w:rPr>
  </w:style>
  <w:style w:type="character" w:styleId="28">
    <w:name w:val="Hyperlink"/>
    <w:autoRedefine/>
    <w:qFormat/>
    <w:uiPriority w:val="99"/>
    <w:rPr>
      <w:rFonts w:hint="eastAsia" w:ascii="宋体" w:hAnsi="宋体" w:eastAsia="宋体" w:cs="宋体"/>
      <w:color w:val="000000"/>
      <w:sz w:val="18"/>
      <w:szCs w:val="18"/>
      <w:u w:val="none"/>
    </w:rPr>
  </w:style>
  <w:style w:type="character" w:styleId="29">
    <w:name w:val="annotation reference"/>
    <w:autoRedefine/>
    <w:qFormat/>
    <w:uiPriority w:val="0"/>
    <w:rPr>
      <w:sz w:val="21"/>
      <w:szCs w:val="21"/>
    </w:rPr>
  </w:style>
  <w:style w:type="paragraph" w:customStyle="1" w:styleId="30">
    <w:name w:val="title1"/>
    <w:basedOn w:val="1"/>
    <w:autoRedefine/>
    <w:qFormat/>
    <w:uiPriority w:val="0"/>
    <w:pPr>
      <w:spacing w:before="120"/>
      <w:jc w:val="left"/>
    </w:pPr>
    <w:rPr>
      <w:b/>
      <w:sz w:val="18"/>
      <w:szCs w:val="18"/>
    </w:rPr>
  </w:style>
  <w:style w:type="character" w:customStyle="1" w:styleId="31">
    <w:name w:val="标题 1 Char"/>
    <w:link w:val="4"/>
    <w:autoRedefine/>
    <w:qFormat/>
    <w:uiPriority w:val="0"/>
    <w:rPr>
      <w:rFonts w:ascii="仿宋_GB2312" w:hAnsi="宋体" w:eastAsia="仿宋_GB2312"/>
      <w:b/>
      <w:kern w:val="2"/>
      <w:sz w:val="32"/>
    </w:rPr>
  </w:style>
  <w:style w:type="paragraph" w:customStyle="1" w:styleId="32">
    <w:name w:val="List Paragraph_2b5ace25-7929-4310-8a1a-2bf2c1be16a7"/>
    <w:basedOn w:val="1"/>
    <w:autoRedefine/>
    <w:qFormat/>
    <w:uiPriority w:val="34"/>
    <w:pPr>
      <w:ind w:firstLine="420" w:firstLineChars="200"/>
    </w:pPr>
  </w:style>
  <w:style w:type="paragraph" w:customStyle="1" w:styleId="33">
    <w:name w:val="Plain Text_5f74d3b4-21c9-4c21-b596-2506567d3c27"/>
    <w:basedOn w:val="1"/>
    <w:autoRedefine/>
    <w:qFormat/>
    <w:uiPriority w:val="0"/>
    <w:pPr>
      <w:spacing w:line="324" w:lineRule="auto"/>
    </w:pPr>
    <w:rPr>
      <w:rFonts w:hAnsi="Courier New" w:cs="Courier New"/>
      <w:szCs w:val="21"/>
    </w:rPr>
  </w:style>
  <w:style w:type="paragraph" w:customStyle="1" w:styleId="34">
    <w:name w:val="表注1"/>
    <w:basedOn w:val="1"/>
    <w:autoRedefine/>
    <w:qFormat/>
    <w:uiPriority w:val="0"/>
    <w:pPr>
      <w:adjustRightInd w:val="0"/>
      <w:snapToGrid w:val="0"/>
      <w:spacing w:beforeLines="50" w:line="300" w:lineRule="auto"/>
      <w:ind w:left="350" w:hanging="350" w:hangingChars="350"/>
    </w:pPr>
    <w:rPr>
      <w:rFonts w:eastAsia="仿宋_GB2312"/>
      <w:bCs/>
      <w:color w:val="000000"/>
      <w:szCs w:val="24"/>
    </w:rPr>
  </w:style>
  <w:style w:type="paragraph" w:customStyle="1" w:styleId="35">
    <w:name w:val="样式 WG标题3 + 行距: 固定值 18 磅"/>
    <w:basedOn w:val="1"/>
    <w:autoRedefine/>
    <w:qFormat/>
    <w:uiPriority w:val="0"/>
    <w:pPr>
      <w:autoSpaceDE w:val="0"/>
      <w:autoSpaceDN w:val="0"/>
      <w:adjustRightInd w:val="0"/>
      <w:spacing w:line="360" w:lineRule="exact"/>
      <w:ind w:firstLine="200" w:firstLineChars="200"/>
      <w:textAlignment w:val="baseline"/>
      <w:outlineLvl w:val="2"/>
    </w:pPr>
    <w:rPr>
      <w:rFonts w:cs="宋体"/>
      <w:b/>
      <w:bCs/>
      <w:color w:val="000000"/>
      <w:kern w:val="20"/>
    </w:rPr>
  </w:style>
  <w:style w:type="paragraph" w:customStyle="1" w:styleId="36">
    <w:name w:val="表格文字中"/>
    <w:basedOn w:val="1"/>
    <w:autoRedefine/>
    <w:qFormat/>
    <w:uiPriority w:val="0"/>
    <w:pPr>
      <w:adjustRightInd w:val="0"/>
      <w:snapToGrid w:val="0"/>
      <w:ind w:left="22" w:leftChars="8"/>
      <w:jc w:val="center"/>
    </w:pPr>
    <w:rPr>
      <w:szCs w:val="24"/>
    </w:rPr>
  </w:style>
  <w:style w:type="paragraph" w:customStyle="1" w:styleId="37">
    <w:name w:val="表格标题"/>
    <w:basedOn w:val="1"/>
    <w:autoRedefine/>
    <w:qFormat/>
    <w:uiPriority w:val="0"/>
    <w:pPr>
      <w:adjustRightInd w:val="0"/>
      <w:snapToGrid w:val="0"/>
      <w:spacing w:before="50" w:beforeLines="50" w:after="50" w:afterLines="50"/>
      <w:ind w:left="22" w:leftChars="8"/>
      <w:jc w:val="center"/>
    </w:pPr>
    <w:rPr>
      <w:b/>
      <w:bCs/>
      <w:color w:val="000000"/>
      <w:sz w:val="32"/>
      <w:szCs w:val="32"/>
    </w:rPr>
  </w:style>
  <w:style w:type="paragraph" w:customStyle="1" w:styleId="38">
    <w:name w:val="Char1"/>
    <w:basedOn w:val="1"/>
    <w:autoRedefine/>
    <w:qFormat/>
    <w:uiPriority w:val="0"/>
    <w:pPr>
      <w:tabs>
        <w:tab w:val="left" w:pos="360"/>
      </w:tabs>
      <w:ind w:left="360" w:hanging="360" w:hangingChars="200"/>
    </w:pPr>
    <w:rPr>
      <w:szCs w:val="24"/>
    </w:rPr>
  </w:style>
  <w:style w:type="character" w:customStyle="1" w:styleId="39">
    <w:name w:val="标题 3 Char"/>
    <w:link w:val="6"/>
    <w:autoRedefine/>
    <w:qFormat/>
    <w:uiPriority w:val="0"/>
    <w:rPr>
      <w:rFonts w:ascii="Times New Roman"/>
      <w:b/>
      <w:bCs/>
      <w:kern w:val="2"/>
      <w:szCs w:val="24"/>
    </w:rPr>
  </w:style>
  <w:style w:type="paragraph" w:customStyle="1" w:styleId="40">
    <w:name w:val="列出段落11"/>
    <w:basedOn w:val="1"/>
    <w:autoRedefine/>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33259</Words>
  <Characters>35436</Characters>
  <Lines>308</Lines>
  <Paragraphs>86</Paragraphs>
  <TotalTime>57</TotalTime>
  <ScaleCrop>false</ScaleCrop>
  <LinksUpToDate>false</LinksUpToDate>
  <CharactersWithSpaces>36995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2019-05-21T08:41:00Z</dcterms:created>
  <dc:creator>Administrator</dc:creator>
  <cp:lastModifiedBy>蠢涌蒂赶猿</cp:lastModifiedBy>
  <cp:lastPrinted>2019-05-22T09:38:00Z</cp:lastPrinted>
  <dcterms:modified xsi:type="dcterms:W3CDTF">2024-01-17T00:45:30Z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3DF4DF82C2B64019A3808574394CBCD8_12</vt:lpwstr>
  </property>
</Properties>
</file>