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62A1C">
      <w:pPr>
        <w:jc w:val="center"/>
        <w:rPr>
          <w:rFonts w:hint="eastAsia" w:asciiTheme="minorEastAsia" w:hAnsiTheme="minorEastAsia" w:eastAsiaTheme="minorEastAsia" w:cstheme="minorEastAsia"/>
          <w:b/>
          <w:bCs/>
          <w:color w:val="auto"/>
          <w:sz w:val="32"/>
          <w:szCs w:val="32"/>
          <w:highlight w:val="none"/>
          <w:lang w:val="en-US" w:eastAsia="zh-CN"/>
        </w:rPr>
      </w:pPr>
      <w:r>
        <w:rPr>
          <w:rFonts w:hint="eastAsia" w:asciiTheme="minorEastAsia" w:hAnsiTheme="minorEastAsia" w:eastAsiaTheme="minorEastAsia" w:cstheme="minorEastAsia"/>
          <w:b/>
          <w:bCs/>
          <w:color w:val="auto"/>
          <w:sz w:val="32"/>
          <w:szCs w:val="32"/>
          <w:highlight w:val="none"/>
          <w:lang w:val="en-US" w:eastAsia="zh-CN"/>
        </w:rPr>
        <w:t>西安理工大学XX项目施工合同</w:t>
      </w:r>
    </w:p>
    <w:p w14:paraId="43795AD9">
      <w:pPr>
        <w:pStyle w:val="2"/>
        <w:jc w:val="center"/>
        <w:rPr>
          <w:rFonts w:hint="eastAsia" w:asciiTheme="minorEastAsia" w:hAnsiTheme="minorEastAsia" w:eastAsiaTheme="minorEastAsia" w:cstheme="minorEastAsia"/>
          <w:color w:val="auto"/>
          <w:highlight w:val="none"/>
        </w:rPr>
      </w:pPr>
    </w:p>
    <w:p w14:paraId="28A0AD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甲方：西安理工大学</w:t>
      </w:r>
    </w:p>
    <w:p w14:paraId="4B502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乙方：</w:t>
      </w:r>
    </w:p>
    <w:p w14:paraId="66F865C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根据《中华人民共和国</w:t>
      </w:r>
      <w:r>
        <w:rPr>
          <w:rFonts w:hint="eastAsia" w:asciiTheme="minorEastAsia" w:hAnsiTheme="minorEastAsia" w:eastAsiaTheme="minorEastAsia" w:cstheme="minorEastAsia"/>
          <w:color w:val="auto"/>
          <w:sz w:val="28"/>
          <w:szCs w:val="28"/>
          <w:highlight w:val="none"/>
          <w:lang w:val="en-US" w:eastAsia="zh-CN"/>
        </w:rPr>
        <w:t>民法典</w:t>
      </w:r>
      <w:r>
        <w:rPr>
          <w:rFonts w:hint="eastAsia" w:asciiTheme="minorEastAsia" w:hAnsiTheme="minorEastAsia" w:eastAsiaTheme="minorEastAsia" w:cstheme="minorEastAsia"/>
          <w:color w:val="auto"/>
          <w:sz w:val="28"/>
          <w:szCs w:val="28"/>
          <w:highlight w:val="none"/>
        </w:rPr>
        <w:t>》、《中华人民共和国建筑法》及</w:t>
      </w:r>
      <w:r>
        <w:rPr>
          <w:rFonts w:hint="eastAsia" w:asciiTheme="minorEastAsia" w:hAnsiTheme="minorEastAsia" w:eastAsiaTheme="minorEastAsia" w:cstheme="minorEastAsia"/>
          <w:color w:val="auto"/>
          <w:sz w:val="28"/>
          <w:szCs w:val="28"/>
          <w:highlight w:val="none"/>
          <w:lang w:val="en-US" w:eastAsia="zh-CN"/>
        </w:rPr>
        <w:t>其他</w:t>
      </w:r>
      <w:r>
        <w:rPr>
          <w:rFonts w:hint="eastAsia" w:asciiTheme="minorEastAsia" w:hAnsiTheme="minorEastAsia" w:eastAsiaTheme="minorEastAsia" w:cstheme="minorEastAsia"/>
          <w:color w:val="auto"/>
          <w:sz w:val="28"/>
          <w:szCs w:val="28"/>
          <w:highlight w:val="none"/>
        </w:rPr>
        <w:t>有关法律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法规</w:t>
      </w:r>
      <w:r>
        <w:rPr>
          <w:rFonts w:hint="eastAsia" w:asciiTheme="minorEastAsia" w:hAnsiTheme="minorEastAsia" w:eastAsiaTheme="minorEastAsia" w:cstheme="minorEastAsia"/>
          <w:color w:val="auto"/>
          <w:sz w:val="28"/>
          <w:szCs w:val="28"/>
          <w:highlight w:val="none"/>
        </w:rPr>
        <w:t>规定，</w:t>
      </w:r>
      <w:r>
        <w:rPr>
          <w:rFonts w:hint="eastAsia" w:asciiTheme="minorEastAsia" w:hAnsiTheme="minorEastAsia" w:eastAsiaTheme="minorEastAsia" w:cstheme="minorEastAsia"/>
          <w:color w:val="auto"/>
          <w:sz w:val="28"/>
          <w:szCs w:val="28"/>
          <w:highlight w:val="none"/>
          <w:lang w:val="en-US" w:eastAsia="zh-CN"/>
        </w:rPr>
        <w:t>甲乙双方</w:t>
      </w:r>
      <w:r>
        <w:rPr>
          <w:rFonts w:hint="eastAsia" w:asciiTheme="minorEastAsia" w:hAnsiTheme="minorEastAsia" w:eastAsiaTheme="minorEastAsia" w:cstheme="minorEastAsia"/>
          <w:color w:val="auto"/>
          <w:sz w:val="28"/>
          <w:szCs w:val="28"/>
          <w:highlight w:val="none"/>
        </w:rPr>
        <w:t>遵循平等、自愿、公平和诚实信用的原则，就西安理工大学</w:t>
      </w:r>
      <w:r>
        <w:rPr>
          <w:rFonts w:hint="eastAsia" w:asciiTheme="minorEastAsia" w:hAnsiTheme="minorEastAsia" w:eastAsiaTheme="minorEastAsia" w:cstheme="minorEastAsia"/>
          <w:b/>
          <w:bCs/>
          <w:color w:val="auto"/>
          <w:sz w:val="28"/>
          <w:szCs w:val="28"/>
          <w:highlight w:val="none"/>
          <w:lang w:val="en-US" w:eastAsia="zh-CN"/>
        </w:rPr>
        <w:t>XX</w:t>
      </w:r>
      <w:r>
        <w:rPr>
          <w:rFonts w:hint="eastAsia" w:asciiTheme="minorEastAsia" w:hAnsiTheme="minorEastAsia" w:eastAsiaTheme="minorEastAsia" w:cstheme="minorEastAsia"/>
          <w:color w:val="auto"/>
          <w:sz w:val="28"/>
          <w:szCs w:val="28"/>
          <w:highlight w:val="none"/>
          <w:u w:val="none"/>
          <w:lang w:val="en-US" w:eastAsia="zh-CN"/>
        </w:rPr>
        <w:t>项目</w:t>
      </w:r>
      <w:r>
        <w:rPr>
          <w:rFonts w:hint="eastAsia" w:asciiTheme="minorEastAsia" w:hAnsiTheme="minorEastAsia" w:eastAsiaTheme="minorEastAsia" w:cstheme="minorEastAsia"/>
          <w:color w:val="auto"/>
          <w:sz w:val="28"/>
          <w:szCs w:val="28"/>
          <w:highlight w:val="none"/>
        </w:rPr>
        <w:t>相关事宜，经协商一致，签订本合同。</w:t>
      </w:r>
    </w:p>
    <w:p w14:paraId="5210200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一、工程概况</w:t>
      </w:r>
    </w:p>
    <w:p w14:paraId="6A5F0EC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1．工程地址：西安理工大学</w:t>
      </w:r>
      <w:r>
        <w:rPr>
          <w:rFonts w:hint="eastAsia" w:asciiTheme="minorEastAsia" w:hAnsiTheme="minorEastAsia" w:eastAsiaTheme="minorEastAsia" w:cstheme="minorEastAsia"/>
          <w:color w:val="auto"/>
          <w:sz w:val="28"/>
          <w:szCs w:val="28"/>
          <w:highlight w:val="none"/>
          <w:lang w:val="en-US" w:eastAsia="zh-CN"/>
        </w:rPr>
        <w:t>XX校区</w:t>
      </w:r>
    </w:p>
    <w:p w14:paraId="377FE78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2．施工内容：（详见附表）</w:t>
      </w:r>
    </w:p>
    <w:p w14:paraId="5F5C44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eastAsia="zh-CN"/>
        </w:rPr>
        <w:t>3．工期：202</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lang w:eastAsia="zh-CN"/>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日</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lang w:eastAsia="zh-CN"/>
        </w:rPr>
        <w:t>202</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lang w:eastAsia="zh-CN"/>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lang w:eastAsia="zh-CN"/>
        </w:rPr>
        <w:t>日，</w:t>
      </w:r>
      <w:r>
        <w:rPr>
          <w:rFonts w:hint="eastAsia" w:asciiTheme="minorEastAsia" w:hAnsiTheme="minorEastAsia" w:eastAsiaTheme="minorEastAsia" w:cstheme="minorEastAsia"/>
          <w:color w:val="auto"/>
          <w:sz w:val="28"/>
          <w:szCs w:val="28"/>
          <w:highlight w:val="none"/>
          <w:lang w:val="en-US" w:eastAsia="zh-CN"/>
        </w:rPr>
        <w:t xml:space="preserve"> 日历天。</w:t>
      </w:r>
    </w:p>
    <w:p w14:paraId="0846D92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（1）若因乙方原因停工或返工，导致工期延误，由乙方承担一切费用，并按照合同价款的5‰按天计算向甲方支付违约金。</w:t>
      </w:r>
    </w:p>
    <w:p w14:paraId="011A33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（2）若因甲方原因或天气、政府政策等不可抗力因素导致延误，乙方作书面说明后，合理顺延工期。</w:t>
      </w:r>
    </w:p>
    <w:p w14:paraId="10BC418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二、工程价款及支付方式</w:t>
      </w:r>
    </w:p>
    <w:p w14:paraId="4646613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1．合同价款</w:t>
      </w:r>
    </w:p>
    <w:p w14:paraId="5C6AE5B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u w:val="none"/>
          <w:lang w:val="en-US" w:eastAsia="zh-CN" w:bidi="ar-SA"/>
        </w:rPr>
        <w:t>大写：</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（人民币）</w:t>
      </w:r>
      <w:r>
        <w:rPr>
          <w:rFonts w:hint="eastAsia" w:asciiTheme="minorEastAsia" w:hAnsiTheme="minorEastAsia" w:eastAsiaTheme="minorEastAsia" w:cstheme="minorEastAsia"/>
          <w:color w:val="auto"/>
          <w:kern w:val="2"/>
          <w:sz w:val="28"/>
          <w:szCs w:val="28"/>
          <w:highlight w:val="none"/>
          <w:u w:val="none"/>
          <w:lang w:val="en-US" w:eastAsia="zh-CN" w:bidi="ar-SA"/>
        </w:rPr>
        <w:t>，小写：</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u w:val="none"/>
          <w:lang w:val="en-US" w:eastAsia="zh-CN" w:bidi="ar-SA"/>
        </w:rPr>
        <w:t>元。</w:t>
      </w:r>
    </w:p>
    <w:p w14:paraId="542AA15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sz w:val="28"/>
          <w:szCs w:val="28"/>
          <w:highlight w:val="none"/>
          <w:lang w:val="en-US" w:eastAsia="zh-CN"/>
        </w:rPr>
        <w:t>备注：综合单价按照最终报价与一次报价同比例下浮进行计算。</w:t>
      </w:r>
    </w:p>
    <w:p w14:paraId="782331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2.</w:t>
      </w:r>
      <w:r>
        <w:rPr>
          <w:rFonts w:hint="eastAsia" w:asciiTheme="minorEastAsia" w:hAnsiTheme="minorEastAsia" w:eastAsiaTheme="minorEastAsia" w:cstheme="minorEastAsia"/>
          <w:color w:val="auto"/>
          <w:kern w:val="2"/>
          <w:sz w:val="28"/>
          <w:szCs w:val="28"/>
          <w:highlight w:val="none"/>
          <w:u w:val="none"/>
          <w:lang w:val="en-US" w:eastAsia="zh-CN" w:bidi="ar-SA"/>
        </w:rPr>
        <w:t>合同价格形式：固定综合单价。综合单价按照最终报价与一次报价优惠率进行计算。</w:t>
      </w:r>
    </w:p>
    <w:p w14:paraId="47B8FE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strike/>
          <w:dstrike w:val="0"/>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3.</w:t>
      </w:r>
      <w:r>
        <w:rPr>
          <w:rFonts w:hint="eastAsia" w:asciiTheme="minorEastAsia" w:hAnsiTheme="minorEastAsia" w:eastAsiaTheme="minorEastAsia" w:cstheme="minorEastAsia"/>
          <w:color w:val="auto"/>
          <w:kern w:val="2"/>
          <w:sz w:val="28"/>
          <w:szCs w:val="28"/>
          <w:highlight w:val="none"/>
          <w:u w:val="none"/>
          <w:lang w:val="en-US" w:eastAsia="zh-CN" w:bidi="ar-SA"/>
        </w:rPr>
        <w:t>乙方向造价编制单位（单位名称、账户由学校提供）交纳造价咨询费（中标价30万元（含）至80万元（不含）的为2000元，中标价80万元（含）至300万元（不含）的，按陕价行发（2014）88号文件中工程量清单及计价编制费率的60 %计取），缴费完成后，签订合同，并由现场负责人组织工程技术交底会。</w:t>
      </w:r>
      <w:bookmarkStart w:id="2" w:name="_GoBack"/>
      <w:bookmarkEnd w:id="2"/>
    </w:p>
    <w:p w14:paraId="3A64208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sz w:val="28"/>
          <w:szCs w:val="28"/>
          <w:highlight w:val="none"/>
          <w:lang w:val="en-US" w:eastAsia="zh-CN"/>
        </w:rPr>
        <w:t>4．</w:t>
      </w:r>
      <w:r>
        <w:rPr>
          <w:rFonts w:hint="eastAsia" w:asciiTheme="minorEastAsia" w:hAnsiTheme="minorEastAsia" w:eastAsiaTheme="minorEastAsia" w:cstheme="minorEastAsia"/>
          <w:color w:val="auto"/>
          <w:sz w:val="28"/>
          <w:szCs w:val="28"/>
          <w:highlight w:val="none"/>
          <w:lang w:eastAsia="zh-CN"/>
        </w:rPr>
        <w:t>合同签订、</w:t>
      </w:r>
      <w:r>
        <w:rPr>
          <w:rFonts w:hint="eastAsia" w:asciiTheme="minorEastAsia" w:hAnsiTheme="minorEastAsia" w:eastAsiaTheme="minorEastAsia" w:cstheme="minorEastAsia"/>
          <w:color w:val="auto"/>
          <w:sz w:val="28"/>
          <w:szCs w:val="28"/>
          <w:highlight w:val="none"/>
          <w:lang w:val="en-US" w:eastAsia="zh-CN"/>
        </w:rPr>
        <w:t>乙方</w:t>
      </w:r>
      <w:r>
        <w:rPr>
          <w:rFonts w:hint="eastAsia" w:asciiTheme="minorEastAsia" w:hAnsiTheme="minorEastAsia" w:eastAsiaTheme="minorEastAsia" w:cstheme="minorEastAsia"/>
          <w:color w:val="auto"/>
          <w:sz w:val="28"/>
          <w:szCs w:val="28"/>
          <w:highlight w:val="none"/>
          <w:lang w:eastAsia="zh-CN"/>
        </w:rPr>
        <w:t>进场后，支付合同价款的40%预付款，工程完工并经甲方管理</w:t>
      </w:r>
      <w:r>
        <w:rPr>
          <w:rFonts w:hint="eastAsia" w:asciiTheme="minorEastAsia" w:hAnsiTheme="minorEastAsia" w:eastAsiaTheme="minorEastAsia" w:cstheme="minorEastAsia"/>
          <w:color w:val="auto"/>
          <w:sz w:val="28"/>
          <w:szCs w:val="28"/>
          <w:highlight w:val="none"/>
          <w:lang w:val="en-US" w:eastAsia="zh-CN"/>
        </w:rPr>
        <w:t>部门</w:t>
      </w:r>
      <w:r>
        <w:rPr>
          <w:rFonts w:hint="eastAsia" w:asciiTheme="minorEastAsia" w:hAnsiTheme="minorEastAsia" w:eastAsiaTheme="minorEastAsia" w:cstheme="minorEastAsia"/>
          <w:color w:val="auto"/>
          <w:sz w:val="28"/>
          <w:szCs w:val="28"/>
          <w:highlight w:val="none"/>
          <w:lang w:eastAsia="zh-CN"/>
        </w:rPr>
        <w:t>初验合格后，支付至合同价款的80%；工程竣工验收合格、结算经甲方审定并完成资料归档后，支付剩余全部工程款。</w:t>
      </w:r>
    </w:p>
    <w:p w14:paraId="1F0C346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三、</w:t>
      </w:r>
      <w:bookmarkStart w:id="0" w:name="_Hlk486005177"/>
      <w:r>
        <w:rPr>
          <w:rFonts w:hint="eastAsia" w:asciiTheme="minorEastAsia" w:hAnsiTheme="minorEastAsia" w:eastAsiaTheme="minorEastAsia" w:cstheme="minorEastAsia"/>
          <w:b/>
          <w:bCs/>
          <w:color w:val="auto"/>
          <w:sz w:val="28"/>
          <w:szCs w:val="28"/>
          <w:highlight w:val="none"/>
        </w:rPr>
        <w:t>工程变更签证</w:t>
      </w:r>
    </w:p>
    <w:p w14:paraId="542C86EA">
      <w:pPr>
        <w:keepNext w:val="0"/>
        <w:keepLines w:val="0"/>
        <w:pageBreakBefore w:val="0"/>
        <w:widowControl w:val="0"/>
        <w:tabs>
          <w:tab w:val="left" w:pos="703"/>
        </w:tabs>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项目踏勘现场，如无异议表示确认招标资料，中标后不予变更签证；如因建设单位要求确需变更签证的，需严格按照建设单位变更签证管理办法相关程序办理申批手续，按照以下方式进行结算：</w:t>
      </w:r>
    </w:p>
    <w:p w14:paraId="7286846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1．如果投标报价中有相应综合单价的，则按原有综合单价计算，</w:t>
      </w:r>
      <w:r>
        <w:rPr>
          <w:rFonts w:hint="eastAsia" w:asciiTheme="minorEastAsia" w:hAnsiTheme="minorEastAsia" w:eastAsiaTheme="minorEastAsia" w:cstheme="minorEastAsia"/>
          <w:color w:val="auto"/>
          <w:sz w:val="28"/>
          <w:szCs w:val="28"/>
          <w:highlight w:val="none"/>
          <w:lang w:eastAsia="zh-CN"/>
        </w:rPr>
        <w:t>根据施工图、签证单、变更单、竣工图等资料确定工程量，计算</w:t>
      </w:r>
      <w:r>
        <w:rPr>
          <w:rFonts w:hint="eastAsia" w:asciiTheme="minorEastAsia" w:hAnsiTheme="minorEastAsia" w:eastAsiaTheme="minorEastAsia" w:cstheme="minorEastAsia"/>
          <w:color w:val="auto"/>
          <w:sz w:val="28"/>
          <w:szCs w:val="28"/>
          <w:highlight w:val="none"/>
          <w:lang w:val="en-US" w:eastAsia="zh-CN"/>
        </w:rPr>
        <w:t>工程</w:t>
      </w:r>
      <w:r>
        <w:rPr>
          <w:rFonts w:hint="eastAsia" w:asciiTheme="minorEastAsia" w:hAnsiTheme="minorEastAsia" w:eastAsiaTheme="minorEastAsia" w:cstheme="minorEastAsia"/>
          <w:color w:val="auto"/>
          <w:sz w:val="28"/>
          <w:szCs w:val="28"/>
          <w:highlight w:val="none"/>
        </w:rPr>
        <w:t>造价</w:t>
      </w:r>
      <w:r>
        <w:rPr>
          <w:rFonts w:hint="eastAsia" w:asciiTheme="minorEastAsia" w:hAnsiTheme="minorEastAsia" w:eastAsiaTheme="minorEastAsia" w:cstheme="minorEastAsia"/>
          <w:color w:val="auto"/>
          <w:sz w:val="28"/>
          <w:szCs w:val="28"/>
          <w:highlight w:val="none"/>
          <w:lang w:eastAsia="zh-CN"/>
        </w:rPr>
        <w:t>。</w:t>
      </w:r>
    </w:p>
    <w:p w14:paraId="4B6E0F3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2．如果投标报价中有相应综合单价，但因甲方要求出现材料变更的</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则原综合单价不变，只调材差</w:t>
      </w:r>
      <w:r>
        <w:rPr>
          <w:rFonts w:hint="eastAsia" w:asciiTheme="minorEastAsia" w:hAnsiTheme="minorEastAsia" w:eastAsiaTheme="minorEastAsia" w:cstheme="minorEastAsia"/>
          <w:color w:val="auto"/>
          <w:sz w:val="28"/>
          <w:szCs w:val="28"/>
          <w:highlight w:val="none"/>
          <w:lang w:eastAsia="zh-CN"/>
        </w:rPr>
        <w:t>。</w:t>
      </w:r>
    </w:p>
    <w:p w14:paraId="0A1F09C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3．如果投标文件报价中没有相应综合单价的，按照陕西省现行</w:t>
      </w:r>
      <w:r>
        <w:rPr>
          <w:rFonts w:hint="eastAsia" w:asciiTheme="minorEastAsia" w:hAnsiTheme="minorEastAsia" w:eastAsiaTheme="minorEastAsia" w:cstheme="minorEastAsia"/>
          <w:color w:val="auto"/>
          <w:sz w:val="28"/>
          <w:szCs w:val="28"/>
          <w:highlight w:val="none"/>
          <w:lang w:eastAsia="zh-CN"/>
        </w:rPr>
        <w:t>规范、</w:t>
      </w:r>
      <w:r>
        <w:rPr>
          <w:rFonts w:hint="eastAsia" w:asciiTheme="minorEastAsia" w:hAnsiTheme="minorEastAsia" w:eastAsiaTheme="minorEastAsia" w:cstheme="minorEastAsia"/>
          <w:color w:val="auto"/>
          <w:sz w:val="28"/>
          <w:szCs w:val="28"/>
          <w:highlight w:val="none"/>
        </w:rPr>
        <w:t>定额</w:t>
      </w:r>
      <w:r>
        <w:rPr>
          <w:rFonts w:hint="eastAsia" w:asciiTheme="minorEastAsia" w:hAnsiTheme="minorEastAsia" w:eastAsiaTheme="minorEastAsia" w:cstheme="minorEastAsia"/>
          <w:color w:val="auto"/>
          <w:sz w:val="28"/>
          <w:szCs w:val="28"/>
          <w:highlight w:val="none"/>
          <w:lang w:eastAsia="zh-CN"/>
        </w:rPr>
        <w:t>、信息价或市场价等</w:t>
      </w:r>
      <w:r>
        <w:rPr>
          <w:rFonts w:hint="eastAsia" w:asciiTheme="minorEastAsia" w:hAnsiTheme="minorEastAsia" w:eastAsiaTheme="minorEastAsia" w:cstheme="minorEastAsia"/>
          <w:color w:val="auto"/>
          <w:sz w:val="28"/>
          <w:szCs w:val="28"/>
          <w:highlight w:val="none"/>
        </w:rPr>
        <w:t>计算变更</w:t>
      </w:r>
      <w:r>
        <w:rPr>
          <w:rFonts w:hint="eastAsia" w:asciiTheme="minorEastAsia" w:hAnsiTheme="minorEastAsia" w:eastAsiaTheme="minorEastAsia" w:cstheme="minorEastAsia"/>
          <w:color w:val="auto"/>
          <w:sz w:val="28"/>
          <w:szCs w:val="28"/>
          <w:highlight w:val="none"/>
          <w:lang w:val="en-US" w:eastAsia="zh-CN"/>
        </w:rPr>
        <w:t>签证部分</w:t>
      </w:r>
      <w:r>
        <w:rPr>
          <w:rFonts w:hint="eastAsia" w:asciiTheme="minorEastAsia" w:hAnsiTheme="minorEastAsia" w:eastAsiaTheme="minorEastAsia" w:cstheme="minorEastAsia"/>
          <w:color w:val="auto"/>
          <w:sz w:val="28"/>
          <w:szCs w:val="28"/>
          <w:highlight w:val="none"/>
        </w:rPr>
        <w:t>价款，新增主材由甲方认质认价，最终价格以甲方竣工结算审定为准</w:t>
      </w:r>
      <w:r>
        <w:rPr>
          <w:rFonts w:hint="eastAsia" w:asciiTheme="minorEastAsia" w:hAnsiTheme="minorEastAsia" w:eastAsiaTheme="minorEastAsia" w:cstheme="minorEastAsia"/>
          <w:color w:val="auto"/>
          <w:sz w:val="28"/>
          <w:szCs w:val="28"/>
          <w:highlight w:val="none"/>
          <w:lang w:eastAsia="zh-CN"/>
        </w:rPr>
        <w:t>。</w:t>
      </w:r>
    </w:p>
    <w:p w14:paraId="58F0C9E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 xml:space="preserve">4. </w:t>
      </w:r>
      <w:r>
        <w:rPr>
          <w:rFonts w:hint="eastAsia" w:asciiTheme="minorEastAsia" w:hAnsiTheme="minorEastAsia" w:eastAsiaTheme="minorEastAsia" w:cstheme="minorEastAsia"/>
          <w:color w:val="auto"/>
          <w:sz w:val="28"/>
          <w:szCs w:val="28"/>
          <w:highlight w:val="none"/>
        </w:rPr>
        <w:t>由乙方原因造成变更签证致使费用增加的，乙方自行承担。</w:t>
      </w:r>
    </w:p>
    <w:p w14:paraId="4AC702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5.（1）如签证变更内容与原清单内容相同，结算时需按中标价/首次投标报价的优惠比例下浮;（2）如签证变更内容与原清单内容不同，结算时需按中标价/招标控制价（预算金额）的优惠比例下浮。</w:t>
      </w:r>
    </w:p>
    <w:p w14:paraId="02B4C64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四、质量要求</w:t>
      </w:r>
    </w:p>
    <w:bookmarkEnd w:id="0"/>
    <w:p w14:paraId="2EF771F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1．本工程质</w:t>
      </w:r>
      <w:r>
        <w:rPr>
          <w:rFonts w:hint="eastAsia" w:asciiTheme="minorEastAsia" w:hAnsiTheme="minorEastAsia" w:eastAsiaTheme="minorEastAsia" w:cstheme="minorEastAsia"/>
          <w:color w:val="auto"/>
          <w:sz w:val="28"/>
          <w:szCs w:val="28"/>
          <w:highlight w:val="none"/>
        </w:rPr>
        <w:t>量符合国家现行有关施工质量验收规范“合格”要求，并一次性验收合格。乙方必须严格按照图纸设</w:t>
      </w:r>
      <w:r>
        <w:rPr>
          <w:rFonts w:hint="eastAsia" w:asciiTheme="minorEastAsia" w:hAnsiTheme="minorEastAsia" w:eastAsiaTheme="minorEastAsia" w:cstheme="minorEastAsia"/>
          <w:color w:val="auto"/>
          <w:sz w:val="28"/>
          <w:szCs w:val="28"/>
          <w:highlight w:val="none"/>
        </w:rPr>
        <w:t>计要求和国家颁发的建筑工程规范、规定和标准进行施工，并接受甲方派驻现场代表的监督</w:t>
      </w:r>
      <w:r>
        <w:rPr>
          <w:rFonts w:hint="eastAsia" w:asciiTheme="minorEastAsia" w:hAnsiTheme="minorEastAsia" w:eastAsiaTheme="minorEastAsia" w:cstheme="minorEastAsia"/>
          <w:color w:val="auto"/>
          <w:sz w:val="28"/>
          <w:szCs w:val="28"/>
          <w:highlight w:val="none"/>
          <w:lang w:eastAsia="zh-CN"/>
        </w:rPr>
        <w:t>。</w:t>
      </w:r>
    </w:p>
    <w:p w14:paraId="343B6B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2．对于在检查检验过程中发现的工程质量达不到约定标准的部分，乙方应根据甲方要求进行返工，直到符合约定标准</w:t>
      </w:r>
      <w:r>
        <w:rPr>
          <w:rFonts w:hint="eastAsia" w:asciiTheme="minorEastAsia" w:hAnsiTheme="minorEastAsia" w:eastAsiaTheme="minorEastAsia" w:cstheme="minorEastAsia"/>
          <w:color w:val="auto"/>
          <w:sz w:val="28"/>
          <w:szCs w:val="28"/>
          <w:highlight w:val="none"/>
          <w:lang w:eastAsia="zh-CN"/>
        </w:rPr>
        <w:t>。</w:t>
      </w:r>
    </w:p>
    <w:p w14:paraId="6FAB313C">
      <w:pPr>
        <w:pStyle w:val="6"/>
        <w:numPr>
          <w:ilvl w:val="0"/>
          <w:numId w:val="0"/>
        </w:numPr>
        <w:spacing w:line="360" w:lineRule="auto"/>
        <w:ind w:leftChars="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color w:val="auto"/>
          <w:sz w:val="28"/>
          <w:szCs w:val="28"/>
          <w:highlight w:val="none"/>
        </w:rPr>
        <w:t>3．</w:t>
      </w:r>
      <w:r>
        <w:rPr>
          <w:rFonts w:hint="eastAsia" w:asciiTheme="minorEastAsia" w:hAnsiTheme="minorEastAsia" w:eastAsiaTheme="minorEastAsia" w:cstheme="minorEastAsia"/>
          <w:color w:val="auto"/>
          <w:sz w:val="28"/>
          <w:szCs w:val="28"/>
          <w:highlight w:val="none"/>
        </w:rPr>
        <w:t>由乙方负责采购的主材应提供材料合格证等有效质量证明材料。如发现主材的规格、数量、质量有任何问题，乙方需无条件更换，并承</w:t>
      </w:r>
      <w:r>
        <w:rPr>
          <w:rFonts w:hint="eastAsia" w:asciiTheme="minorEastAsia" w:hAnsiTheme="minorEastAsia" w:eastAsiaTheme="minorEastAsia" w:cstheme="minorEastAsia"/>
          <w:color w:val="auto"/>
          <w:sz w:val="28"/>
          <w:szCs w:val="28"/>
          <w:highlight w:val="none"/>
          <w:lang w:val="en-US" w:eastAsia="zh-CN"/>
        </w:rPr>
        <w:t>担一切责任。</w:t>
      </w:r>
      <w:r>
        <w:rPr>
          <w:rFonts w:hint="eastAsia" w:asciiTheme="minorEastAsia" w:hAnsiTheme="minorEastAsia" w:eastAsiaTheme="minorEastAsia" w:cstheme="minorEastAsia"/>
          <w:color w:val="auto"/>
          <w:sz w:val="28"/>
          <w:szCs w:val="28"/>
          <w:highlight w:val="none"/>
        </w:rPr>
        <w:t>所有建筑材料采用环保型，</w:t>
      </w:r>
      <w:r>
        <w:rPr>
          <w:rFonts w:hint="eastAsia" w:asciiTheme="minorEastAsia" w:hAnsiTheme="minorEastAsia" w:eastAsiaTheme="minorEastAsia" w:cstheme="minorEastAsia"/>
          <w:color w:val="auto"/>
          <w:sz w:val="28"/>
          <w:szCs w:val="28"/>
          <w:highlight w:val="none"/>
          <w:lang w:val="en-US" w:eastAsia="zh-Hans"/>
        </w:rPr>
        <w:t>乳胶漆</w:t>
      </w:r>
      <w:r>
        <w:rPr>
          <w:rFonts w:hint="eastAsia" w:asciiTheme="minorEastAsia" w:hAnsiTheme="minorEastAsia" w:eastAsiaTheme="minorEastAsia" w:cstheme="minorEastAsia"/>
          <w:color w:val="auto"/>
          <w:sz w:val="28"/>
          <w:szCs w:val="28"/>
          <w:highlight w:val="none"/>
          <w:lang w:val="en-US" w:eastAsia="zh-CN"/>
        </w:rPr>
        <w:t>采用</w:t>
      </w:r>
      <w:r>
        <w:rPr>
          <w:rFonts w:hint="eastAsia" w:asciiTheme="minorEastAsia" w:hAnsiTheme="minorEastAsia" w:eastAsiaTheme="minorEastAsia" w:cstheme="minorEastAsia"/>
          <w:color w:val="auto"/>
          <w:sz w:val="28"/>
          <w:szCs w:val="28"/>
          <w:highlight w:val="none"/>
          <w:lang w:val="en-US" w:eastAsia="zh-Hans"/>
        </w:rPr>
        <w:t>立邦、三棵树、多乐士等同档次级别品牌</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rPr>
        <w:t>洁具</w:t>
      </w:r>
      <w:r>
        <w:rPr>
          <w:rFonts w:hint="eastAsia" w:asciiTheme="minorEastAsia" w:hAnsiTheme="minorEastAsia" w:eastAsiaTheme="minorEastAsia" w:cstheme="minorEastAsia"/>
          <w:color w:val="auto"/>
          <w:sz w:val="28"/>
          <w:szCs w:val="28"/>
          <w:highlight w:val="none"/>
          <w:lang w:eastAsia="zh-CN"/>
        </w:rPr>
        <w:t>采用惠达、</w:t>
      </w:r>
      <w:r>
        <w:rPr>
          <w:rFonts w:hint="eastAsia" w:asciiTheme="minorEastAsia" w:hAnsiTheme="minorEastAsia" w:eastAsiaTheme="minorEastAsia" w:cstheme="minorEastAsia"/>
          <w:color w:val="auto"/>
          <w:sz w:val="28"/>
          <w:szCs w:val="28"/>
          <w:highlight w:val="none"/>
        </w:rPr>
        <w:t>箭牌、恒洁、安华等同档次级别品牌</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灯具</w:t>
      </w:r>
      <w:r>
        <w:rPr>
          <w:rFonts w:hint="eastAsia" w:asciiTheme="minorEastAsia" w:hAnsiTheme="minorEastAsia" w:eastAsiaTheme="minorEastAsia" w:cstheme="minorEastAsia"/>
          <w:color w:val="auto"/>
          <w:sz w:val="28"/>
          <w:szCs w:val="28"/>
          <w:highlight w:val="none"/>
          <w:lang w:eastAsia="zh-CN"/>
        </w:rPr>
        <w:t>采用</w:t>
      </w:r>
      <w:r>
        <w:rPr>
          <w:rFonts w:hint="eastAsia" w:asciiTheme="minorEastAsia" w:hAnsiTheme="minorEastAsia" w:eastAsiaTheme="minorEastAsia" w:cstheme="minorEastAsia"/>
          <w:color w:val="auto"/>
          <w:sz w:val="28"/>
          <w:szCs w:val="28"/>
          <w:highlight w:val="none"/>
          <w:lang w:val="en-US" w:eastAsia="zh-CN"/>
        </w:rPr>
        <w:t>欧普、佛山、雷士、三雄极光</w:t>
      </w:r>
      <w:r>
        <w:rPr>
          <w:rFonts w:hint="eastAsia" w:asciiTheme="minorEastAsia" w:hAnsiTheme="minorEastAsia" w:eastAsiaTheme="minorEastAsia" w:cstheme="minorEastAsia"/>
          <w:color w:val="auto"/>
          <w:sz w:val="28"/>
          <w:szCs w:val="28"/>
          <w:highlight w:val="none"/>
        </w:rPr>
        <w:t>等同档次级别品牌</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给排水管道</w:t>
      </w:r>
      <w:r>
        <w:rPr>
          <w:rFonts w:hint="eastAsia" w:asciiTheme="minorEastAsia" w:hAnsiTheme="minorEastAsia" w:eastAsiaTheme="minorEastAsia" w:cstheme="minorEastAsia"/>
          <w:color w:val="auto"/>
          <w:sz w:val="28"/>
          <w:szCs w:val="28"/>
          <w:highlight w:val="none"/>
          <w:lang w:eastAsia="zh-CN"/>
        </w:rPr>
        <w:t>采用</w:t>
      </w:r>
      <w:r>
        <w:rPr>
          <w:rFonts w:hint="eastAsia" w:asciiTheme="minorEastAsia" w:hAnsiTheme="minorEastAsia" w:eastAsiaTheme="minorEastAsia" w:cstheme="minorEastAsia"/>
          <w:color w:val="auto"/>
          <w:sz w:val="28"/>
          <w:szCs w:val="28"/>
          <w:highlight w:val="none"/>
          <w:lang w:val="en-US" w:eastAsia="zh-CN"/>
        </w:rPr>
        <w:t>日丰、联塑、中财、金德</w:t>
      </w:r>
      <w:r>
        <w:rPr>
          <w:rFonts w:hint="eastAsia" w:asciiTheme="minorEastAsia" w:hAnsiTheme="minorEastAsia" w:eastAsiaTheme="minorEastAsia" w:cstheme="minorEastAsia"/>
          <w:color w:val="auto"/>
          <w:sz w:val="28"/>
          <w:szCs w:val="28"/>
          <w:highlight w:val="none"/>
        </w:rPr>
        <w:t>等同档次级别品牌</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开关插座</w:t>
      </w:r>
      <w:r>
        <w:rPr>
          <w:rFonts w:hint="eastAsia" w:asciiTheme="minorEastAsia" w:hAnsiTheme="minorEastAsia" w:eastAsiaTheme="minorEastAsia" w:cstheme="minorEastAsia"/>
          <w:color w:val="auto"/>
          <w:sz w:val="28"/>
          <w:szCs w:val="28"/>
          <w:highlight w:val="none"/>
          <w:lang w:eastAsia="zh-CN"/>
        </w:rPr>
        <w:t>采用</w:t>
      </w:r>
      <w:r>
        <w:rPr>
          <w:rFonts w:hint="eastAsia" w:asciiTheme="minorEastAsia" w:hAnsiTheme="minorEastAsia" w:eastAsiaTheme="minorEastAsia" w:cstheme="minorEastAsia"/>
          <w:color w:val="auto"/>
          <w:sz w:val="28"/>
          <w:szCs w:val="28"/>
          <w:highlight w:val="none"/>
        </w:rPr>
        <w:t>欧普、正泰、三雄极光等同档次级别品牌</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电线采用上上、正泰、津成等同档次级别品牌，</w:t>
      </w:r>
      <w:r>
        <w:rPr>
          <w:rFonts w:hint="eastAsia" w:asciiTheme="minorEastAsia" w:hAnsiTheme="minorEastAsia" w:eastAsiaTheme="minorEastAsia" w:cstheme="minorEastAsia"/>
          <w:color w:val="auto"/>
          <w:sz w:val="28"/>
          <w:szCs w:val="28"/>
          <w:highlight w:val="none"/>
        </w:rPr>
        <w:t>墙地砖</w:t>
      </w:r>
      <w:r>
        <w:rPr>
          <w:rFonts w:hint="eastAsia" w:asciiTheme="minorEastAsia" w:hAnsiTheme="minorEastAsia" w:eastAsiaTheme="minorEastAsia" w:cstheme="minorEastAsia"/>
          <w:color w:val="auto"/>
          <w:sz w:val="28"/>
          <w:szCs w:val="28"/>
          <w:highlight w:val="none"/>
          <w:lang w:eastAsia="zh-CN"/>
        </w:rPr>
        <w:t>采用</w:t>
      </w:r>
      <w:r>
        <w:rPr>
          <w:rFonts w:hint="eastAsia" w:asciiTheme="minorEastAsia" w:hAnsiTheme="minorEastAsia" w:eastAsiaTheme="minorEastAsia" w:cstheme="minorEastAsia"/>
          <w:color w:val="auto"/>
          <w:sz w:val="28"/>
          <w:szCs w:val="28"/>
          <w:highlight w:val="none"/>
        </w:rPr>
        <w:t>东鹏</w:t>
      </w:r>
      <w:r>
        <w:rPr>
          <w:rFonts w:hint="eastAsia" w:asciiTheme="minorEastAsia" w:hAnsiTheme="minorEastAsia" w:eastAsiaTheme="minorEastAsia" w:cstheme="minorEastAsia"/>
          <w:color w:val="auto"/>
          <w:sz w:val="28"/>
          <w:szCs w:val="28"/>
          <w:highlight w:val="none"/>
          <w:lang w:val="en-US" w:eastAsia="zh-CN"/>
        </w:rPr>
        <w:t>、萨米特、箭牌等同档次级别品牌。暖气采用陇星、新飞、鲁本斯等同档次级别品牌。</w:t>
      </w:r>
      <w:r>
        <w:rPr>
          <w:rFonts w:hint="eastAsia" w:asciiTheme="minorEastAsia" w:hAnsiTheme="minorEastAsia" w:eastAsiaTheme="minorEastAsia" w:cstheme="minorEastAsia"/>
          <w:color w:val="auto"/>
          <w:sz w:val="28"/>
          <w:szCs w:val="28"/>
          <w:highlight w:val="none"/>
        </w:rPr>
        <w:t>因乙方施工不善或材料使用不当发生工程事故及人员伤害的，责任和由此而发生的各种费用由乙方全部承担。</w:t>
      </w:r>
    </w:p>
    <w:p w14:paraId="422F669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五、甲方责任</w:t>
      </w:r>
    </w:p>
    <w:p w14:paraId="274954E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1．甲方提供施工用水用电接口，并装表计量施工产生的水电费。</w:t>
      </w:r>
    </w:p>
    <w:p w14:paraId="17C5595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2．工程竣工验收后，甲方应及时按照合同约定支付工程款。</w:t>
      </w:r>
    </w:p>
    <w:p w14:paraId="3A07F509">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3．开工前甲方应向乙方进行现场情况交底，提供施工场地，协助乙方办理进场施工的相关手续。</w:t>
      </w:r>
    </w:p>
    <w:p w14:paraId="05A9874C">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4．甲方派驻施工现场代表对工程全过程进行监督、验收和施工现场、周边环境的协调。</w:t>
      </w:r>
    </w:p>
    <w:p w14:paraId="602112DF">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5．如因甲方原因、设计及不可抗力导致施工中断，工期应顺延。</w:t>
      </w:r>
    </w:p>
    <w:p w14:paraId="12C857D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六、乙方责任</w:t>
      </w:r>
    </w:p>
    <w:p w14:paraId="1D981270">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 施工期间的所有安全问题以及由此而发生的各种费用由乙方全部负责和承担。</w:t>
      </w:r>
    </w:p>
    <w:p w14:paraId="625EC008">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 乙方须提供主材的合格证等质量证明资料，材料进场时，应经甲方代表验收确认合格后方可施工。如材料质量、规格与招标文件或图纸不符，乙方无条件更换，并承担工期延误责任。</w:t>
      </w:r>
    </w:p>
    <w:p w14:paraId="626CC4F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 乙方每完成一道工序，需经甲方代表在验收记录单签字确认后，方可进行下一道工序。</w:t>
      </w:r>
    </w:p>
    <w:p w14:paraId="7611F720">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4．施工过程中产生的建筑垃圾应放至物业指定地点并及时清理。如因天气等原因不能及时清运，应采取覆盖、装袋等保护措施。</w:t>
      </w:r>
    </w:p>
    <w:p w14:paraId="564072F9">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w:t>
      </w:r>
      <w:bookmarkStart w:id="1" w:name="OLE_LINK5"/>
      <w:r>
        <w:rPr>
          <w:rFonts w:hint="eastAsia" w:asciiTheme="minorEastAsia" w:hAnsiTheme="minorEastAsia" w:eastAsiaTheme="minorEastAsia" w:cstheme="minorEastAsia"/>
          <w:color w:val="auto"/>
          <w:sz w:val="28"/>
          <w:szCs w:val="28"/>
          <w:highlight w:val="none"/>
          <w:lang w:val="en-US" w:eastAsia="zh-CN"/>
        </w:rPr>
        <w:t xml:space="preserve"> 乙方应按照水电表计量数向甲方缴纳水电费，其中水费5.80元/吨，电费0.80元/度</w:t>
      </w:r>
      <w:bookmarkEnd w:id="1"/>
      <w:r>
        <w:rPr>
          <w:rFonts w:hint="eastAsia" w:asciiTheme="minorEastAsia" w:hAnsiTheme="minorEastAsia" w:eastAsiaTheme="minorEastAsia" w:cstheme="minorEastAsia"/>
          <w:color w:val="auto"/>
          <w:sz w:val="28"/>
          <w:szCs w:val="28"/>
          <w:highlight w:val="none"/>
          <w:lang w:val="en-US" w:eastAsia="zh-CN"/>
        </w:rPr>
        <w:t>。</w:t>
      </w:r>
    </w:p>
    <w:p w14:paraId="0F75A49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 安全条款</w:t>
      </w:r>
    </w:p>
    <w:p w14:paraId="001A15A4">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（1）乙方须指定施工现场安全负责人和监督员，并在甲方备案；</w:t>
      </w:r>
    </w:p>
    <w:p w14:paraId="496C861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（2）施工前，乙方安全负责人必须对施工人员进行安全教育；</w:t>
      </w:r>
    </w:p>
    <w:p w14:paraId="6EE8733A">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（3）乙方施工人员进工地必须统一管理，特种作业人员（</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"http://www.baidu.com/s?wd=%E7%94%B5%E5%B7%A5%E4%BD%9C%E4%B8%9A&amp;hl_tag=textlink&amp;tn=SE_hldp01350_v6v6zkg6"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电工作业</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人员、锅炉司炉、操作</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"http://www.baidu.com/s?wd=%E5%8E%8B%E5%8A%9B%E5%AE%B9%E5%99%A8&amp;hl_tag=textlink&amp;tn=SE_hldp01350_v6v6zkg6"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压力容器</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者、起重</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"http://www.baidu.com/s?wd=%E6%9C%BA%E6%A2%B0%E4%BD%9C%E4%B8%9A&amp;hl_tag=textlink&amp;tn=SE_hldp01350_v6v6zkg6"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机械作业</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人员、金属焊接（气割）作业人员、机动车辆驾驶人员、建筑登高架设作业者等）必须持证上岗，便于甲方监管；</w:t>
      </w:r>
    </w:p>
    <w:p w14:paraId="0E90652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 xml:space="preserve">（4）乙方应在施工区域设置明显标志，并对集中性施工项目做封闭管理，严禁施工人员以外的人进入施工场地。施工人员应在施工区域内活动，不得随意进入非施工区域； </w:t>
      </w:r>
    </w:p>
    <w:p w14:paraId="6442FF32">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（5）开工前，乙方须为施工工人购买意外团体等保险，并编制安全措施计划及安全专项方案，乙方在施工中使用的安全防护器材及劳动防护用品、用具的产品质量、配备数量等均应符合安全、职业和卫生要求；</w:t>
      </w:r>
    </w:p>
    <w:p w14:paraId="0B1BCBDA">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（6）施工过程中，甲方有权随时进行检查，有权制止违章作业，有权对违反安全规定的行为进行处罚或责令施工队伍停工整顿；</w:t>
      </w:r>
    </w:p>
    <w:p w14:paraId="3112CB07">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（7）乙方应采取严格的安全防护措施。施工过程中，如对施工人员或第三人造成人身伤害及财产损失，责任和由此而发生的费用，均由乙方承担；</w:t>
      </w:r>
    </w:p>
    <w:p w14:paraId="60EB28B1">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（8）乙方必须对施工现场及其周边的各类设施、设备进行保护，损坏物品照价赔偿。</w:t>
      </w:r>
    </w:p>
    <w:p w14:paraId="37CB882A">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七、工程竣工验收与结算</w:t>
      </w:r>
    </w:p>
    <w:p w14:paraId="375602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1.竣工验收</w:t>
      </w:r>
    </w:p>
    <w:p w14:paraId="2B4720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工程完工后，甲方在竣工当日由现场负责人、使用单位进行初验，并对提出的问题进行整改。整改完毕，经现场负责人核实无误后，乙方提交维修改造工程竣工验收</w:t>
      </w:r>
      <w:r>
        <w:rPr>
          <w:rFonts w:hint="eastAsia" w:asciiTheme="minorEastAsia" w:hAnsiTheme="minorEastAsia" w:eastAsiaTheme="minorEastAsia" w:cstheme="minorEastAsia"/>
          <w:color w:val="auto"/>
          <w:sz w:val="28"/>
          <w:szCs w:val="28"/>
          <w:highlight w:val="none"/>
          <w:lang w:eastAsia="zh-CN"/>
        </w:rPr>
        <w:t>申请、</w:t>
      </w:r>
      <w:r>
        <w:rPr>
          <w:rFonts w:hint="eastAsia" w:asciiTheme="minorEastAsia" w:hAnsiTheme="minorEastAsia" w:eastAsiaTheme="minorEastAsia" w:cstheme="minorEastAsia"/>
          <w:color w:val="auto"/>
          <w:sz w:val="28"/>
          <w:szCs w:val="28"/>
          <w:highlight w:val="none"/>
          <w:lang w:val="en-US" w:eastAsia="zh-CN"/>
        </w:rPr>
        <w:t>竣工图、隐蔽工程影像资料、</w:t>
      </w:r>
      <w:r>
        <w:rPr>
          <w:rFonts w:hint="eastAsia" w:asciiTheme="minorEastAsia" w:hAnsiTheme="minorEastAsia" w:eastAsiaTheme="minorEastAsia" w:cstheme="minorEastAsia"/>
          <w:color w:val="auto"/>
          <w:sz w:val="28"/>
          <w:szCs w:val="28"/>
          <w:highlight w:val="none"/>
        </w:rPr>
        <w:t>《维修项目施工工序验收记录表》、《维修项目主要材料验收记录表》等，甲方</w:t>
      </w:r>
      <w:r>
        <w:rPr>
          <w:rFonts w:hint="eastAsia" w:asciiTheme="minorEastAsia" w:hAnsiTheme="minorEastAsia" w:eastAsiaTheme="minorEastAsia" w:cstheme="minorEastAsia"/>
          <w:color w:val="auto"/>
          <w:sz w:val="28"/>
          <w:szCs w:val="28"/>
          <w:highlight w:val="none"/>
          <w:lang w:val="en-US" w:eastAsia="zh-CN"/>
        </w:rPr>
        <w:t>28天</w:t>
      </w:r>
      <w:r>
        <w:rPr>
          <w:rFonts w:hint="eastAsia" w:asciiTheme="minorEastAsia" w:hAnsiTheme="minorEastAsia" w:eastAsiaTheme="minorEastAsia" w:cstheme="minorEastAsia"/>
          <w:color w:val="auto"/>
          <w:sz w:val="28"/>
          <w:szCs w:val="28"/>
          <w:highlight w:val="none"/>
        </w:rPr>
        <w:t>内组织校内相关部门进行竣工验收</w:t>
      </w:r>
      <w:r>
        <w:rPr>
          <w:rFonts w:hint="eastAsia" w:asciiTheme="minorEastAsia" w:hAnsiTheme="minorEastAsia" w:eastAsiaTheme="minorEastAsia" w:cstheme="minorEastAsia"/>
          <w:color w:val="auto"/>
          <w:sz w:val="28"/>
          <w:szCs w:val="28"/>
          <w:highlight w:val="none"/>
          <w:lang w:eastAsia="zh-CN"/>
        </w:rPr>
        <w:t>，形成《维修改造项目竣工验收报告》。</w:t>
      </w:r>
    </w:p>
    <w:p w14:paraId="7FC26C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2.竣工结算</w:t>
      </w:r>
    </w:p>
    <w:p w14:paraId="46C49F6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乙方应在工程施工期间至竣工验收前向甲方递交施工图、签证单、认价单、竣工图、竣工验收报告等，并于竣工验收通过后28天内向甲方提交工程结算资料，所有工程量按照结算资料及现场情况据实结算，经由甲方审计处出具审计意见书后，后勤处维修管理科及时办理资产建账、归档、支付工程款等。</w:t>
      </w:r>
    </w:p>
    <w:p w14:paraId="189247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八</w:t>
      </w:r>
      <w:r>
        <w:rPr>
          <w:rFonts w:hint="eastAsia" w:asciiTheme="minorEastAsia" w:hAnsiTheme="minorEastAsia" w:eastAsiaTheme="minorEastAsia" w:cstheme="minorEastAsia"/>
          <w:b/>
          <w:bCs/>
          <w:color w:val="auto"/>
          <w:sz w:val="28"/>
          <w:szCs w:val="28"/>
          <w:highlight w:val="none"/>
        </w:rPr>
        <w:t>、保修条款</w:t>
      </w:r>
    </w:p>
    <w:p w14:paraId="4E5FA9CC">
      <w:pPr>
        <w:keepNext w:val="0"/>
        <w:keepLines w:val="0"/>
        <w:pageBreakBefore w:val="0"/>
        <w:widowControl w:val="0"/>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在甲方正常使用的情况下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乙方承担本工程的保修期为二十</w:t>
      </w:r>
      <w:r>
        <w:rPr>
          <w:rFonts w:hint="eastAsia" w:asciiTheme="minorEastAsia" w:hAnsiTheme="minorEastAsia" w:eastAsiaTheme="minorEastAsia" w:cstheme="minorEastAsia"/>
          <w:color w:val="auto"/>
          <w:sz w:val="28"/>
          <w:szCs w:val="28"/>
          <w:highlight w:val="none"/>
          <w:lang w:eastAsia="zh-CN"/>
        </w:rPr>
        <w:t>四</w:t>
      </w:r>
      <w:r>
        <w:rPr>
          <w:rFonts w:hint="eastAsia" w:asciiTheme="minorEastAsia" w:hAnsiTheme="minorEastAsia" w:eastAsiaTheme="minorEastAsia" w:cstheme="minorEastAsia"/>
          <w:color w:val="auto"/>
          <w:sz w:val="28"/>
          <w:szCs w:val="28"/>
          <w:highlight w:val="none"/>
        </w:rPr>
        <w:t>个月</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保修期自</w:t>
      </w:r>
      <w:r>
        <w:rPr>
          <w:rFonts w:hint="eastAsia" w:asciiTheme="minorEastAsia" w:hAnsiTheme="minorEastAsia" w:eastAsiaTheme="minorEastAsia" w:cstheme="minorEastAsia"/>
          <w:color w:val="auto"/>
          <w:sz w:val="28"/>
          <w:szCs w:val="28"/>
          <w:highlight w:val="none"/>
          <w:lang w:eastAsia="zh-CN"/>
        </w:rPr>
        <w:t>竣工</w:t>
      </w:r>
      <w:r>
        <w:rPr>
          <w:rFonts w:hint="eastAsia" w:asciiTheme="minorEastAsia" w:hAnsiTheme="minorEastAsia" w:eastAsiaTheme="minorEastAsia" w:cstheme="minorEastAsia"/>
          <w:color w:val="auto"/>
          <w:sz w:val="28"/>
          <w:szCs w:val="28"/>
          <w:highlight w:val="none"/>
        </w:rPr>
        <w:t>验收合格之日算起。在下列情况下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乙方免除免费保修义务</w:t>
      </w:r>
      <w:r>
        <w:rPr>
          <w:rFonts w:hint="eastAsia" w:asciiTheme="minorEastAsia" w:hAnsiTheme="minorEastAsia" w:eastAsiaTheme="minorEastAsia" w:cstheme="minorEastAsia"/>
          <w:color w:val="auto"/>
          <w:sz w:val="28"/>
          <w:szCs w:val="28"/>
          <w:highlight w:val="none"/>
          <w:lang w:eastAsia="zh-CN"/>
        </w:rPr>
        <w:t>：</w:t>
      </w:r>
    </w:p>
    <w:p w14:paraId="4ECE9E5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由于人为因素造成的故障</w:t>
      </w:r>
      <w:r>
        <w:rPr>
          <w:rFonts w:hint="eastAsia" w:asciiTheme="minorEastAsia" w:hAnsiTheme="minorEastAsia" w:eastAsiaTheme="minorEastAsia" w:cstheme="minorEastAsia"/>
          <w:color w:val="auto"/>
          <w:sz w:val="28"/>
          <w:szCs w:val="28"/>
          <w:highlight w:val="none"/>
          <w:lang w:eastAsia="zh-CN"/>
        </w:rPr>
        <w:t>。</w:t>
      </w:r>
    </w:p>
    <w:p w14:paraId="36895DD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由于违章操作而造成的故障</w:t>
      </w:r>
      <w:r>
        <w:rPr>
          <w:rFonts w:hint="eastAsia" w:asciiTheme="minorEastAsia" w:hAnsiTheme="minorEastAsia" w:eastAsiaTheme="minorEastAsia" w:cstheme="minorEastAsia"/>
          <w:color w:val="auto"/>
          <w:sz w:val="28"/>
          <w:szCs w:val="28"/>
          <w:highlight w:val="none"/>
          <w:lang w:eastAsia="zh-CN"/>
        </w:rPr>
        <w:t>。</w:t>
      </w:r>
    </w:p>
    <w:p w14:paraId="1E9A3F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本工程需维修时</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乙方应在接到通知时起，24小时内到达现场服务。否则甲方可委托其他单位或人员修理。因乙方原因造成的维修费用</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由乙方</w:t>
      </w:r>
      <w:r>
        <w:rPr>
          <w:rFonts w:hint="eastAsia" w:asciiTheme="minorEastAsia" w:hAnsiTheme="minorEastAsia" w:eastAsiaTheme="minorEastAsia" w:cstheme="minorEastAsia"/>
          <w:color w:val="auto"/>
          <w:sz w:val="28"/>
          <w:szCs w:val="28"/>
          <w:highlight w:val="none"/>
          <w:lang w:eastAsia="zh-CN"/>
        </w:rPr>
        <w:t>承担，</w:t>
      </w:r>
      <w:r>
        <w:rPr>
          <w:rFonts w:hint="eastAsia" w:asciiTheme="minorEastAsia" w:hAnsiTheme="minorEastAsia" w:eastAsiaTheme="minorEastAsia" w:cstheme="minorEastAsia"/>
          <w:color w:val="auto"/>
          <w:sz w:val="28"/>
          <w:szCs w:val="28"/>
          <w:highlight w:val="none"/>
        </w:rPr>
        <w:t>非乙方原因造成返修的经济支出，由甲方承担。</w:t>
      </w:r>
    </w:p>
    <w:p w14:paraId="475B844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九</w:t>
      </w:r>
      <w:r>
        <w:rPr>
          <w:rFonts w:hint="eastAsia" w:asciiTheme="minorEastAsia" w:hAnsiTheme="minorEastAsia" w:eastAsiaTheme="minorEastAsia" w:cstheme="minorEastAsia"/>
          <w:b/>
          <w:bCs/>
          <w:color w:val="auto"/>
          <w:sz w:val="28"/>
          <w:szCs w:val="28"/>
          <w:highlight w:val="none"/>
        </w:rPr>
        <w:t>、解决纠纷的方式</w:t>
      </w:r>
    </w:p>
    <w:p w14:paraId="400038B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本合同在履行期间，双方发生争议时，在不影响工程进度的前提下，双方可采取协商解决或请有关部门进行调解。不愿通过协商、调解解决或者协商、调解不成时，双方均可向工程所在地人民法院提起诉讼。</w:t>
      </w:r>
    </w:p>
    <w:p w14:paraId="5423FD1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lang w:eastAsia="zh-CN"/>
        </w:rPr>
      </w:pPr>
      <w:r>
        <w:rPr>
          <w:rFonts w:hint="eastAsia" w:asciiTheme="minorEastAsia" w:hAnsiTheme="minorEastAsia" w:eastAsiaTheme="minorEastAsia" w:cstheme="minorEastAsia"/>
          <w:b/>
          <w:bCs/>
          <w:color w:val="auto"/>
          <w:sz w:val="28"/>
          <w:szCs w:val="28"/>
          <w:highlight w:val="none"/>
          <w:lang w:val="en-US" w:eastAsia="zh-CN"/>
        </w:rPr>
        <w:t>十</w:t>
      </w:r>
      <w:r>
        <w:rPr>
          <w:rFonts w:hint="eastAsia" w:asciiTheme="minorEastAsia" w:hAnsiTheme="minorEastAsia" w:eastAsiaTheme="minorEastAsia" w:cstheme="minorEastAsia"/>
          <w:b/>
          <w:bCs/>
          <w:color w:val="auto"/>
          <w:sz w:val="28"/>
          <w:szCs w:val="28"/>
          <w:highlight w:val="none"/>
        </w:rPr>
        <w:t>、合同生效</w:t>
      </w:r>
    </w:p>
    <w:p w14:paraId="3DAAFFE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本合同自甲乙双方签字、盖章之日起生效。一式陆份，甲方执</w:t>
      </w:r>
      <w:r>
        <w:rPr>
          <w:rFonts w:hint="eastAsia" w:asciiTheme="minorEastAsia" w:hAnsiTheme="minorEastAsia" w:eastAsiaTheme="minorEastAsia" w:cstheme="minorEastAsia"/>
          <w:color w:val="auto"/>
          <w:sz w:val="28"/>
          <w:szCs w:val="28"/>
          <w:highlight w:val="none"/>
          <w:lang w:val="en-US" w:eastAsia="zh-CN"/>
        </w:rPr>
        <w:t>肆</w:t>
      </w:r>
      <w:r>
        <w:rPr>
          <w:rFonts w:hint="eastAsia" w:asciiTheme="minorEastAsia" w:hAnsiTheme="minorEastAsia" w:eastAsiaTheme="minorEastAsia" w:cstheme="minorEastAsia"/>
          <w:color w:val="auto"/>
          <w:sz w:val="28"/>
          <w:szCs w:val="28"/>
          <w:highlight w:val="none"/>
        </w:rPr>
        <w:t>份，乙方执</w:t>
      </w:r>
      <w:r>
        <w:rPr>
          <w:rFonts w:hint="eastAsia" w:asciiTheme="minorEastAsia" w:hAnsiTheme="minorEastAsia" w:eastAsiaTheme="minorEastAsia" w:cstheme="minorEastAsia"/>
          <w:color w:val="auto"/>
          <w:sz w:val="28"/>
          <w:szCs w:val="28"/>
          <w:highlight w:val="none"/>
          <w:lang w:val="en-US" w:eastAsia="zh-CN"/>
        </w:rPr>
        <w:t>贰</w:t>
      </w:r>
      <w:r>
        <w:rPr>
          <w:rFonts w:hint="eastAsia" w:asciiTheme="minorEastAsia" w:hAnsiTheme="minorEastAsia" w:eastAsiaTheme="minorEastAsia" w:cstheme="minorEastAsia"/>
          <w:color w:val="auto"/>
          <w:sz w:val="28"/>
          <w:szCs w:val="28"/>
          <w:highlight w:val="none"/>
        </w:rPr>
        <w:t>份，具有同等法律效力。</w:t>
      </w:r>
    </w:p>
    <w:p w14:paraId="1E5986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highlight w:val="none"/>
        </w:rPr>
      </w:pPr>
    </w:p>
    <w:p w14:paraId="3F6D77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甲方：</w:t>
      </w:r>
      <w:r>
        <w:rPr>
          <w:rFonts w:hint="eastAsia" w:asciiTheme="minorEastAsia" w:hAnsiTheme="minorEastAsia" w:eastAsiaTheme="minorEastAsia" w:cstheme="minorEastAsia"/>
          <w:color w:val="auto"/>
          <w:sz w:val="28"/>
          <w:szCs w:val="28"/>
          <w:highlight w:val="none"/>
          <w:lang w:eastAsia="zh-CN"/>
        </w:rPr>
        <w:t>西安理工大学</w:t>
      </w:r>
      <w:r>
        <w:rPr>
          <w:rFonts w:hint="eastAsia" w:asciiTheme="minorEastAsia" w:hAnsiTheme="minorEastAsia" w:eastAsiaTheme="minorEastAsia" w:cstheme="minorEastAsia"/>
          <w:color w:val="auto"/>
          <w:sz w:val="28"/>
          <w:szCs w:val="28"/>
          <w:highlight w:val="none"/>
        </w:rPr>
        <w:t xml:space="preserve">            乙方：</w:t>
      </w:r>
    </w:p>
    <w:p w14:paraId="195ECB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法定代表人：                  法定代表人：</w:t>
      </w:r>
    </w:p>
    <w:p w14:paraId="37643A8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委托代理人：                  委托代理人：</w:t>
      </w:r>
    </w:p>
    <w:p w14:paraId="1F20A13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地址：西安市金花南路5号</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地址：</w:t>
      </w:r>
    </w:p>
    <w:p w14:paraId="2FD7E4E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 xml:space="preserve">电话：029-82312257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电话：</w:t>
      </w:r>
    </w:p>
    <w:p w14:paraId="2BCA41B8">
      <w:pPr>
        <w:keepNext w:val="0"/>
        <w:keepLines w:val="0"/>
        <w:pageBreakBefore w:val="0"/>
        <w:widowControl w:val="0"/>
        <w:kinsoku/>
        <w:wordWrap/>
        <w:overflowPunct/>
        <w:topLinePunct w:val="0"/>
        <w:autoSpaceDE/>
        <w:autoSpaceDN/>
        <w:bidi w:val="0"/>
        <w:adjustRightInd/>
        <w:snapToGrid/>
        <w:spacing w:line="360" w:lineRule="auto"/>
        <w:ind w:left="31680" w:hanging="6440" w:hangingChars="23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开户银行</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w w:val="80"/>
          <w:sz w:val="28"/>
          <w:szCs w:val="28"/>
          <w:highlight w:val="none"/>
        </w:rPr>
        <w:t>中国银行西安金花南路支行</w:t>
      </w:r>
      <w:r>
        <w:rPr>
          <w:rFonts w:hint="eastAsia" w:asciiTheme="minorEastAsia" w:hAnsiTheme="minorEastAsia" w:eastAsiaTheme="minorEastAsia" w:cstheme="minorEastAsia"/>
          <w:color w:val="auto"/>
          <w:sz w:val="28"/>
          <w:szCs w:val="28"/>
          <w:highlight w:val="none"/>
        </w:rPr>
        <w:t xml:space="preserve"> 开户银行：</w:t>
      </w:r>
    </w:p>
    <w:p w14:paraId="050D266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 xml:space="preserve">银行账号：102891574567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银行账号：</w:t>
      </w:r>
    </w:p>
    <w:p w14:paraId="49272E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统一社会信用代码(税号）：</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统一社会信用代码(税号）：</w:t>
      </w:r>
    </w:p>
    <w:p w14:paraId="6BBD0D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rPr>
        <w:t>1261000043523042XN</w:t>
      </w:r>
      <w:r>
        <w:rPr>
          <w:rFonts w:hint="eastAsia" w:asciiTheme="minorEastAsia" w:hAnsiTheme="minorEastAsia" w:eastAsiaTheme="minorEastAsia" w:cstheme="minorEastAsia"/>
          <w:color w:val="auto"/>
          <w:sz w:val="28"/>
          <w:szCs w:val="28"/>
          <w:highlight w:val="none"/>
          <w:lang w:val="en-US" w:eastAsia="zh-CN"/>
        </w:rPr>
        <w:t xml:space="preserve">             </w:t>
      </w:r>
    </w:p>
    <w:p w14:paraId="20B76E1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2026</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日           </w:t>
      </w:r>
      <w:r>
        <w:rPr>
          <w:rFonts w:hint="eastAsia" w:asciiTheme="minorEastAsia" w:hAnsiTheme="minorEastAsia" w:eastAsiaTheme="minorEastAsia" w:cstheme="minorEastAsia"/>
          <w:color w:val="auto"/>
          <w:sz w:val="28"/>
          <w:szCs w:val="28"/>
          <w:highlight w:val="none"/>
          <w:lang w:val="en-US" w:eastAsia="zh-CN"/>
        </w:rPr>
        <w:t xml:space="preserve">  2026</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日</w:t>
      </w:r>
    </w:p>
    <w:p w14:paraId="00425A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4"/>
          <w:szCs w:val="24"/>
          <w:highlight w:val="none"/>
        </w:rPr>
      </w:pPr>
    </w:p>
    <w:p w14:paraId="6DD7E3F2">
      <w:pPr>
        <w:pStyle w:val="3"/>
        <w:ind w:left="0" w:leftChars="0" w:firstLine="0" w:firstLineChars="0"/>
        <w:rPr>
          <w:rFonts w:hint="eastAsia" w:asciiTheme="minorEastAsia" w:hAnsiTheme="minorEastAsia" w:eastAsiaTheme="minorEastAsia" w:cstheme="minorEastAsia"/>
          <w:b/>
          <w:bCs/>
          <w:color w:val="auto"/>
          <w:kern w:val="2"/>
          <w:sz w:val="28"/>
          <w:szCs w:val="28"/>
          <w:highlight w:val="none"/>
          <w:lang w:val="en-US" w:eastAsia="zh-CN" w:bidi="ar-SA"/>
        </w:rPr>
      </w:pPr>
      <w:r>
        <w:rPr>
          <w:rFonts w:hint="eastAsia" w:asciiTheme="minorEastAsia" w:hAnsiTheme="minorEastAsia" w:eastAsiaTheme="minorEastAsia" w:cstheme="minorEastAsia"/>
          <w:b/>
          <w:bCs/>
          <w:color w:val="auto"/>
          <w:sz w:val="28"/>
          <w:szCs w:val="28"/>
          <w:highlight w:val="none"/>
        </w:rPr>
        <w:t>附表：</w:t>
      </w:r>
      <w:r>
        <w:rPr>
          <w:rFonts w:hint="eastAsia" w:asciiTheme="minorEastAsia" w:hAnsiTheme="minorEastAsia" w:eastAsiaTheme="minorEastAsia" w:cstheme="minorEastAsia"/>
          <w:b/>
          <w:bCs/>
          <w:color w:val="auto"/>
          <w:sz w:val="28"/>
          <w:szCs w:val="28"/>
          <w:highlight w:val="none"/>
          <w:lang w:val="en-US" w:eastAsia="zh-CN"/>
        </w:rPr>
        <w:t>工程量清单</w:t>
      </w:r>
    </w:p>
    <w:p w14:paraId="2E5C93EB">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14DD5"/>
    <w:multiLevelType w:val="singleLevel"/>
    <w:tmpl w:val="C8414D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502D1"/>
    <w:rsid w:val="14997EA7"/>
    <w:rsid w:val="5BA8309B"/>
    <w:rsid w:val="5F8E44D1"/>
    <w:rsid w:val="76D35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unhideWhenUsed/>
    <w:qFormat/>
    <w:uiPriority w:val="99"/>
    <w:pPr>
      <w:spacing w:line="240" w:lineRule="auto"/>
      <w:ind w:firstLine="420" w:firstLineChars="100"/>
      <w:jc w:val="both"/>
    </w:pPr>
    <w:rPr>
      <w:rFonts w:ascii="Times New Roman" w:eastAsia="宋体"/>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3222</Words>
  <Characters>3314</Characters>
  <Lines>0</Lines>
  <Paragraphs>0</Paragraphs>
  <TotalTime>1</TotalTime>
  <ScaleCrop>false</ScaleCrop>
  <LinksUpToDate>false</LinksUpToDate>
  <CharactersWithSpaces>3454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2026-06-12T07:58:00Z</dcterms:created>
  <dc:creator>Administrator</dc:creator>
  <cp:lastModifiedBy>俞博洋</cp:lastModifiedBy>
  <dcterms:modified xsi:type="dcterms:W3CDTF">2026-06-16T07:51:34Z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eyJoZGlkIjoiMjRlYmRlY2E4NTdlZDZhZTU2NGUwOTY4NDFlMGEwMTkiLCJ1c2VySWQiOiIxNDg1MjU5ODQzIn0=</vt:lpwstr>
  </property>
  <property fmtid="{D5CDD505-2E9C-101B-9397-08002B2CF9AE}" pid="4" name="ICV">
    <vt:lpwstr>4616EA2DACB94F8EB3BBB88C68358FE4_12</vt:lpwstr>
  </property>
</Properties>
</file>