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auto" w:sz="4" w:space="1"/>
        </w:pBdr>
        <w:spacing w:before="312" w:beforeLines="100"/>
        <w:ind w:left="420" w:hanging="420"/>
        <w:jc w:val="center"/>
        <w:rPr>
          <w:rFonts w:hint="eastAsia" w:ascii="微软雅黑" w:hAnsi="微软雅黑" w:eastAsia="微软雅黑" w:cs="微软雅黑"/>
          <w:b/>
          <w:sz w:val="36"/>
          <w:szCs w:val="36"/>
          <w:lang w:eastAsia="zh-CN"/>
        </w:rPr>
      </w:pPr>
      <w:bookmarkStart w:id="0" w:name="_GoBack"/>
      <w:r>
        <w:rPr>
          <w:rFonts w:hint="eastAsia" w:ascii="微软雅黑" w:hAnsi="微软雅黑" w:eastAsia="微软雅黑" w:cs="微软雅黑"/>
          <w:b/>
          <w:sz w:val="36"/>
          <w:szCs w:val="36"/>
          <w:lang w:eastAsia="zh-CN"/>
        </w:rPr>
        <w:t>采购需求</w:t>
      </w:r>
    </w:p>
    <w:p>
      <w:pPr>
        <w:pBdr>
          <w:bottom w:val="single" w:color="auto" w:sz="4" w:space="1"/>
        </w:pBdr>
        <w:spacing w:before="312" w:beforeLines="100"/>
        <w:ind w:left="420" w:hanging="420"/>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一、项目</w:t>
      </w:r>
      <w:r>
        <w:rPr>
          <w:rFonts w:hint="eastAsia" w:ascii="微软雅黑" w:hAnsi="微软雅黑" w:eastAsia="微软雅黑" w:cs="微软雅黑"/>
          <w:b/>
          <w:sz w:val="28"/>
          <w:szCs w:val="28"/>
        </w:rPr>
        <w:t>概况</w:t>
      </w:r>
    </w:p>
    <w:p>
      <w:pPr>
        <w:rPr>
          <w:rFonts w:hint="eastAsia" w:ascii="微软雅黑" w:hAnsi="微软雅黑" w:eastAsia="微软雅黑" w:cs="微软雅黑"/>
        </w:rPr>
      </w:pPr>
    </w:p>
    <w:p>
      <w:pPr>
        <w:ind w:firstLine="560" w:firstLineChars="200"/>
        <w:rPr>
          <w:rFonts w:hint="eastAsia" w:ascii="微软雅黑" w:hAnsi="微软雅黑" w:eastAsia="微软雅黑" w:cs="微软雅黑"/>
          <w:kern w:val="2"/>
          <w:sz w:val="28"/>
          <w:szCs w:val="28"/>
          <w:lang w:eastAsia="zh-CN"/>
        </w:rPr>
      </w:pPr>
      <w:r>
        <w:rPr>
          <w:rFonts w:hint="eastAsia" w:ascii="微软雅黑" w:hAnsi="微软雅黑" w:eastAsia="微软雅黑" w:cs="微软雅黑"/>
          <w:kern w:val="2"/>
          <w:sz w:val="28"/>
          <w:szCs w:val="28"/>
        </w:rPr>
        <w:t>为深入推进司法体制改革，落实司法辅助事务集约化、社会化管理要求，减轻法院核心办案压力，提升诉讼服务质效与群众满意度，</w:t>
      </w:r>
      <w:r>
        <w:rPr>
          <w:rFonts w:hint="eastAsia" w:ascii="微软雅黑" w:hAnsi="微软雅黑" w:eastAsia="微软雅黑" w:cs="微软雅黑"/>
          <w:kern w:val="2"/>
          <w:sz w:val="28"/>
          <w:szCs w:val="28"/>
          <w:lang w:eastAsia="zh-CN"/>
        </w:rPr>
        <w:t>我院</w:t>
      </w:r>
      <w:r>
        <w:rPr>
          <w:rFonts w:hint="eastAsia" w:ascii="微软雅黑" w:hAnsi="微软雅黑" w:eastAsia="微软雅黑" w:cs="微软雅黑"/>
          <w:kern w:val="2"/>
          <w:sz w:val="28"/>
          <w:szCs w:val="28"/>
        </w:rPr>
        <w:t>启动诉讼服务中心服务外包项目，通过引入专业服务机构，承接诉讼服务中心非核心司法辅助事务，构建“专业高效、规范便民、安全保密”的一站式诉讼服务体系</w:t>
      </w:r>
      <w:r>
        <w:rPr>
          <w:rFonts w:hint="eastAsia" w:ascii="微软雅黑" w:hAnsi="微软雅黑" w:eastAsia="微软雅黑" w:cs="微软雅黑"/>
          <w:kern w:val="2"/>
          <w:sz w:val="28"/>
          <w:szCs w:val="28"/>
          <w:lang w:eastAsia="zh-CN"/>
        </w:rPr>
        <w:t>。</w:t>
      </w:r>
    </w:p>
    <w:p>
      <w:pPr>
        <w:numPr>
          <w:ilvl w:val="0"/>
          <w:numId w:val="0"/>
        </w:numPr>
        <w:rPr>
          <w:rFonts w:hint="eastAsia" w:ascii="微软雅黑" w:hAnsi="微软雅黑" w:eastAsia="微软雅黑" w:cs="微软雅黑"/>
        </w:rPr>
      </w:pPr>
      <w:r>
        <w:rPr>
          <w:rFonts w:hint="eastAsia" w:ascii="微软雅黑" w:hAnsi="微软雅黑" w:eastAsia="微软雅黑" w:cs="微软雅黑"/>
          <w:b/>
          <w:sz w:val="28"/>
          <w:szCs w:val="28"/>
          <w:lang w:eastAsia="zh-CN"/>
        </w:rPr>
        <w:t>二</w:t>
      </w:r>
      <w:r>
        <w:rPr>
          <w:rFonts w:hint="eastAsia" w:ascii="微软雅黑" w:hAnsi="微软雅黑" w:eastAsia="微软雅黑" w:cs="微软雅黑"/>
          <w:b/>
          <w:sz w:val="28"/>
          <w:szCs w:val="28"/>
        </w:rPr>
        <w:t>、</w:t>
      </w:r>
      <w:r>
        <w:rPr>
          <w:rFonts w:hint="eastAsia" w:ascii="微软雅黑" w:hAnsi="微软雅黑" w:eastAsia="微软雅黑" w:cs="微软雅黑"/>
          <w:b/>
          <w:sz w:val="28"/>
          <w:szCs w:val="28"/>
        </w:rPr>
        <w:t>服务内容</w:t>
      </w:r>
    </w:p>
    <w:p>
      <w:pPr>
        <w:rPr>
          <w:rFonts w:hint="eastAsia" w:ascii="微软雅黑" w:hAnsi="微软雅黑" w:eastAsia="微软雅黑" w:cs="微软雅黑"/>
          <w:color w:val="auto"/>
          <w:sz w:val="28"/>
          <w:szCs w:val="28"/>
          <w:highlight w:val="none"/>
          <w:lang w:val="en-US" w:eastAsia="zh-CN"/>
        </w:rPr>
      </w:pPr>
      <w:r>
        <w:rPr>
          <w:rFonts w:hint="eastAsia" w:ascii="微软雅黑" w:hAnsi="微软雅黑" w:eastAsia="微软雅黑" w:cs="微软雅黑"/>
          <w:color w:val="auto"/>
          <w:sz w:val="28"/>
          <w:szCs w:val="28"/>
          <w:highlight w:val="none"/>
        </w:rPr>
        <w:t xml:space="preserve">工作区域： </w:t>
      </w:r>
      <w:r>
        <w:rPr>
          <w:rFonts w:hint="eastAsia" w:ascii="微软雅黑" w:hAnsi="微软雅黑" w:eastAsia="微软雅黑" w:cs="微软雅黑"/>
          <w:color w:val="auto"/>
          <w:sz w:val="28"/>
          <w:szCs w:val="28"/>
          <w:highlight w:val="none"/>
          <w:lang w:val="en-US" w:eastAsia="zh-CN"/>
        </w:rPr>
        <w:t>法院指定地点。</w:t>
      </w:r>
    </w:p>
    <w:p>
      <w:pPr>
        <w:rPr>
          <w:rFonts w:hint="eastAsia" w:ascii="微软雅黑" w:hAnsi="微软雅黑" w:eastAsia="微软雅黑" w:cs="微软雅黑"/>
        </w:rPr>
      </w:pPr>
      <w:r>
        <w:rPr>
          <w:rFonts w:hint="eastAsia" w:ascii="微软雅黑" w:hAnsi="微软雅黑" w:eastAsia="微软雅黑" w:cs="微软雅黑"/>
          <w:b w:val="0"/>
          <w:bCs w:val="0"/>
          <w:color w:val="auto"/>
          <w:sz w:val="28"/>
          <w:szCs w:val="28"/>
          <w:highlight w:val="none"/>
        </w:rPr>
        <w:t>工作内容： 服务方需根据采购人要求，配置人员</w:t>
      </w:r>
      <w:r>
        <w:rPr>
          <w:rFonts w:hint="eastAsia" w:ascii="微软雅黑" w:hAnsi="微软雅黑" w:eastAsia="微软雅黑" w:cs="微软雅黑"/>
          <w:b w:val="0"/>
          <w:bCs w:val="0"/>
          <w:color w:val="auto"/>
          <w:sz w:val="28"/>
          <w:szCs w:val="28"/>
          <w:highlight w:val="none"/>
          <w:lang w:eastAsia="zh-CN"/>
        </w:rPr>
        <w:t>不少于</w:t>
      </w:r>
      <w:r>
        <w:rPr>
          <w:rFonts w:hint="eastAsia" w:ascii="微软雅黑" w:hAnsi="微软雅黑" w:eastAsia="微软雅黑" w:cs="微软雅黑"/>
          <w:b w:val="0"/>
          <w:bCs w:val="0"/>
          <w:color w:val="auto"/>
          <w:sz w:val="28"/>
          <w:szCs w:val="28"/>
          <w:highlight w:val="none"/>
          <w:u w:val="single"/>
          <w:lang w:val="en-US" w:eastAsia="zh-CN"/>
        </w:rPr>
        <w:t>8</w:t>
      </w:r>
      <w:r>
        <w:rPr>
          <w:rFonts w:hint="eastAsia" w:ascii="微软雅黑" w:hAnsi="微软雅黑" w:eastAsia="微软雅黑" w:cs="微软雅黑"/>
          <w:b w:val="0"/>
          <w:bCs w:val="0"/>
          <w:color w:val="auto"/>
          <w:sz w:val="28"/>
          <w:szCs w:val="28"/>
          <w:highlight w:val="none"/>
          <w:lang w:val="en-US" w:eastAsia="zh-CN"/>
        </w:rPr>
        <w:t>位</w:t>
      </w:r>
      <w:r>
        <w:rPr>
          <w:rFonts w:hint="eastAsia" w:ascii="微软雅黑" w:hAnsi="微软雅黑" w:eastAsia="微软雅黑" w:cs="微软雅黑"/>
          <w:b w:val="0"/>
          <w:bCs w:val="0"/>
          <w:color w:val="auto"/>
          <w:sz w:val="28"/>
          <w:szCs w:val="28"/>
          <w:highlight w:val="none"/>
        </w:rPr>
        <w:t>，实行专人专责、分岗协作</w:t>
      </w:r>
      <w:r>
        <w:rPr>
          <w:rFonts w:hint="eastAsia" w:ascii="微软雅黑" w:hAnsi="微软雅黑" w:eastAsia="微软雅黑" w:cs="微软雅黑"/>
          <w:b w:val="0"/>
          <w:bCs w:val="0"/>
          <w:color w:val="auto"/>
          <w:sz w:val="28"/>
          <w:szCs w:val="28"/>
          <w:highlight w:val="none"/>
          <w:lang w:eastAsia="zh-CN"/>
        </w:rPr>
        <w:t>。</w:t>
      </w:r>
      <w:r>
        <w:rPr>
          <w:rFonts w:hint="eastAsia" w:ascii="微软雅黑" w:hAnsi="微软雅黑" w:eastAsia="微软雅黑" w:cs="微软雅黑"/>
          <w:b w:val="0"/>
          <w:bCs w:val="0"/>
          <w:color w:val="000000"/>
          <w:sz w:val="28"/>
          <w:szCs w:val="28"/>
        </w:rPr>
        <w:t>包括但不限于：</w:t>
      </w:r>
      <w:r>
        <w:rPr>
          <w:rFonts w:hint="eastAsia" w:ascii="微软雅黑" w:hAnsi="微软雅黑" w:eastAsia="微软雅黑" w:cs="微软雅黑"/>
          <w:b w:val="0"/>
          <w:bCs w:val="0"/>
          <w:color w:val="000000"/>
          <w:sz w:val="28"/>
          <w:szCs w:val="28"/>
          <w:lang w:eastAsia="zh-CN"/>
        </w:rPr>
        <w:t>诉讼中心服务</w:t>
      </w:r>
      <w:r>
        <w:rPr>
          <w:rFonts w:hint="eastAsia" w:ascii="微软雅黑" w:hAnsi="微软雅黑" w:eastAsia="微软雅黑" w:cs="微软雅黑"/>
          <w:b w:val="0"/>
          <w:bCs w:val="0"/>
          <w:color w:val="000000"/>
          <w:sz w:val="28"/>
          <w:szCs w:val="28"/>
        </w:rPr>
        <w:t>事务外包服务人员招聘、工资支付、人员培训、</w:t>
      </w:r>
      <w:r>
        <w:rPr>
          <w:rFonts w:hint="eastAsia" w:ascii="微软雅黑" w:hAnsi="微软雅黑" w:eastAsia="微软雅黑" w:cs="微软雅黑"/>
          <w:b w:val="0"/>
          <w:bCs w:val="0"/>
          <w:sz w:val="28"/>
          <w:szCs w:val="28"/>
        </w:rPr>
        <w:t>涵盖大厅导诉接待、群众咨询引导、线上线下立案辅助、案件材料整理流转、电子卷宗扫描编目、信访登记对接、日常数据统计及档案辅助管理等综合性事务工作。</w:t>
      </w:r>
      <w:r>
        <w:rPr>
          <w:rFonts w:hint="eastAsia" w:ascii="微软雅黑" w:hAnsi="微软雅黑" w:eastAsia="微软雅黑" w:cs="微软雅黑"/>
          <w:b w:val="0"/>
          <w:bCs w:val="0"/>
          <w:color w:val="000000"/>
          <w:sz w:val="28"/>
          <w:szCs w:val="28"/>
        </w:rPr>
        <w:t>具体工作内容以</w:t>
      </w:r>
      <w:r>
        <w:rPr>
          <w:rFonts w:hint="eastAsia" w:ascii="微软雅黑" w:hAnsi="微软雅黑" w:eastAsia="微软雅黑" w:cs="微软雅黑"/>
          <w:b w:val="0"/>
          <w:bCs w:val="0"/>
          <w:color w:val="000000"/>
          <w:sz w:val="28"/>
          <w:szCs w:val="28"/>
          <w:lang w:eastAsia="zh-CN"/>
        </w:rPr>
        <w:t>采购人</w:t>
      </w:r>
      <w:r>
        <w:rPr>
          <w:rFonts w:hint="eastAsia" w:ascii="微软雅黑" w:hAnsi="微软雅黑" w:eastAsia="微软雅黑" w:cs="微软雅黑"/>
          <w:b w:val="0"/>
          <w:bCs w:val="0"/>
          <w:color w:val="000000"/>
          <w:sz w:val="28"/>
          <w:szCs w:val="28"/>
        </w:rPr>
        <w:t>实际需求为准</w:t>
      </w:r>
      <w:r>
        <w:rPr>
          <w:rFonts w:hint="eastAsia" w:ascii="微软雅黑" w:hAnsi="微软雅黑" w:eastAsia="微软雅黑" w:cs="微软雅黑"/>
          <w:b w:val="0"/>
          <w:bCs w:val="0"/>
          <w:sz w:val="28"/>
          <w:szCs w:val="28"/>
        </w:rPr>
        <w:t>。</w:t>
      </w:r>
    </w:p>
    <w:p>
      <w:pPr>
        <w:numPr>
          <w:ilvl w:val="0"/>
          <w:numId w:val="0"/>
        </w:numPr>
        <w:pBdr>
          <w:bottom w:val="single" w:color="auto" w:sz="4" w:space="1"/>
        </w:pBdr>
        <w:spacing w:before="312" w:beforeLines="100"/>
        <w:rPr>
          <w:rFonts w:hint="eastAsia" w:ascii="微软雅黑" w:hAnsi="微软雅黑" w:eastAsia="微软雅黑" w:cs="微软雅黑"/>
        </w:rPr>
      </w:pPr>
    </w:p>
    <w:p>
      <w:pPr>
        <w:numPr>
          <w:ilvl w:val="0"/>
          <w:numId w:val="2"/>
        </w:numPr>
        <w:pBdr>
          <w:bottom w:val="single" w:color="auto" w:sz="4" w:space="1"/>
        </w:pBdr>
        <w:spacing w:before="312" w:beforeLines="100"/>
        <w:ind w:leftChars="0"/>
        <w:rPr>
          <w:rFonts w:hint="eastAsia" w:ascii="微软雅黑" w:hAnsi="微软雅黑" w:eastAsia="微软雅黑" w:cs="微软雅黑"/>
        </w:rPr>
      </w:pPr>
      <w:r>
        <w:rPr>
          <w:rFonts w:hint="eastAsia" w:ascii="微软雅黑" w:hAnsi="微软雅黑" w:eastAsia="微软雅黑" w:cs="微软雅黑"/>
          <w:b/>
          <w:sz w:val="28"/>
          <w:szCs w:val="28"/>
        </w:rPr>
        <w:t>技术要求</w:t>
      </w:r>
    </w:p>
    <w:p>
      <w:pPr>
        <w:pStyle w:val="5"/>
        <w:ind w:firstLine="512"/>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1、人员培训：所有应聘人员应进行必要的公司制度、岗前及在岗培训。</w:t>
      </w:r>
    </w:p>
    <w:p>
      <w:pPr>
        <w:pStyle w:val="5"/>
        <w:ind w:firstLine="508"/>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2、人员工资组成：</w:t>
      </w:r>
    </w:p>
    <w:p>
      <w:pPr>
        <w:pStyle w:val="5"/>
        <w:ind w:firstLine="516"/>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人员工资由基础底薪、绩效工资、社保（五险）、福利工资（节日慰问）组成；</w:t>
      </w:r>
    </w:p>
    <w:p>
      <w:pPr>
        <w:pStyle w:val="5"/>
        <w:ind w:firstLine="516"/>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人员服装费、培训费、管理费、商业保险、保障金、材料费等不含在内。</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其他政策性费用（社会保险、基本医疗保险、失业,工伤保险,生育保险,残疾人保障金等）标准均应不低于西安市现行政策要求。</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应按照《劳动法》、《劳动合同法》等法律法规规定，及时与劳务外包人员签订劳动合同，按时足额发放工资，办理缴纳社会保险等。</w:t>
      </w:r>
    </w:p>
    <w:p>
      <w:pPr>
        <w:pStyle w:val="5"/>
        <w:ind w:firstLine="508"/>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3、人员服装</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夏装二套、春秋装一套，服装总费用人均不低于</w:t>
      </w:r>
      <w:r>
        <w:rPr>
          <w:rFonts w:hint="eastAsia" w:ascii="微软雅黑" w:hAnsi="微软雅黑" w:eastAsia="微软雅黑" w:cs="微软雅黑"/>
          <w:sz w:val="28"/>
          <w:szCs w:val="28"/>
          <w:highlight w:val="none"/>
          <w:u w:val="single"/>
        </w:rPr>
        <w:t xml:space="preserve"> 1000</w:t>
      </w:r>
      <w:r>
        <w:rPr>
          <w:rFonts w:hint="eastAsia" w:ascii="微软雅黑" w:hAnsi="微软雅黑" w:eastAsia="微软雅黑" w:cs="微软雅黑"/>
          <w:sz w:val="28"/>
          <w:szCs w:val="28"/>
          <w:highlight w:val="none"/>
          <w:u w:val="single"/>
          <w:lang w:val="en-US" w:eastAsia="zh-CN"/>
        </w:rPr>
        <w:t>.00</w:t>
      </w:r>
      <w:r>
        <w:rPr>
          <w:rFonts w:hint="eastAsia" w:ascii="微软雅黑" w:hAnsi="微软雅黑" w:eastAsia="微软雅黑" w:cs="微软雅黑"/>
          <w:sz w:val="28"/>
          <w:szCs w:val="28"/>
          <w:highlight w:val="none"/>
        </w:rPr>
        <w:t>元。</w:t>
      </w:r>
    </w:p>
    <w:p>
      <w:pPr>
        <w:pStyle w:val="5"/>
        <w:ind w:firstLine="508"/>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4、管理要求</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供应商应负责管理所有服务人员，按时足额向服务人员发放薪资报酬等，处理服务期内劳动过程中产生的劳动争议、人身安全等所有纠纷，因服务人员的劳动争议等纠纷产生的赔偿费用及后果，由供应商自行承担，与采购人无关。</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为确保服务人员能够完成采购人约定交办的各项业务和工作任务，供应商应主动接受采购人对服务人员进行业务管理，听取采购人对服务人员绩效评定意见。供应商应及时考虑采购人对服务人员的调整、辞退意见。工作时间按照采购人规定的工时制，工作日正常上下班，法定节假日及重要节假日期间需要安排值班的，由供应商按照值班人员名单及值班天数,给值班人员发放加班费和误餐补贴。</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供应商服务过程中须接受采购人监督及考核，若服务过程中因人员自身问题考核不合格，采购人有权要求更换服务人员，若因供应商管理问题，采购人有权进行处罚并要求供应商进行整改，若整改后无法满足采购人服务要求，采购人有权更换服务单位。</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5、人员要求</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5.1、按项目工作要求，合理配置相关服务人员。具体人员要求如下:</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(1)具有中华人民共和国国籍，拥护党的理论和路线方针政策，遵纪守法，具有较强的政治素质、良好的职业道德，无违法违纪受处分记录，热爱法院工作；具有一定法律意识；</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(2)项目服务人员:</w:t>
      </w:r>
      <w:r>
        <w:rPr>
          <w:rFonts w:hint="eastAsia" w:ascii="微软雅黑" w:hAnsi="微软雅黑" w:eastAsia="微软雅黑" w:cs="微软雅黑"/>
          <w:sz w:val="28"/>
          <w:szCs w:val="28"/>
          <w:highlight w:val="none"/>
        </w:rPr>
        <w:t>大专及以上学历</w:t>
      </w:r>
      <w:r>
        <w:rPr>
          <w:rFonts w:hint="eastAsia" w:ascii="微软雅黑" w:hAnsi="微软雅黑" w:eastAsia="微软雅黑" w:cs="微软雅黑"/>
          <w:sz w:val="28"/>
          <w:szCs w:val="28"/>
          <w:highlight w:val="none"/>
          <w:lang w:val="en-US" w:eastAsia="zh-CN"/>
        </w:rPr>
        <w:t>或计算机及相关管理类学历，</w:t>
      </w:r>
      <w:r>
        <w:rPr>
          <w:rFonts w:hint="eastAsia" w:ascii="微软雅黑" w:hAnsi="微软雅黑" w:eastAsia="微软雅黑" w:cs="微软雅黑"/>
          <w:sz w:val="28"/>
          <w:szCs w:val="28"/>
          <w:highlight w:val="none"/>
        </w:rPr>
        <w:t>具有法院诉讼服务、司法辅助事务等相关工作经验</w:t>
      </w:r>
      <w:r>
        <w:rPr>
          <w:rFonts w:hint="eastAsia" w:ascii="微软雅黑" w:hAnsi="微软雅黑" w:eastAsia="微软雅黑" w:cs="微软雅黑"/>
          <w:sz w:val="28"/>
          <w:szCs w:val="28"/>
          <w:highlight w:val="none"/>
          <w:lang w:eastAsia="zh-CN"/>
        </w:rPr>
        <w:t>优先</w:t>
      </w:r>
      <w:r>
        <w:rPr>
          <w:rFonts w:hint="eastAsia" w:ascii="微软雅黑" w:hAnsi="微软雅黑" w:eastAsia="微软雅黑" w:cs="微软雅黑"/>
          <w:sz w:val="28"/>
          <w:szCs w:val="28"/>
          <w:highlight w:val="none"/>
          <w:lang w:val="en-US" w:eastAsia="zh-CN"/>
        </w:rPr>
        <w:t>；</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(3)身体健康，五官端正，无传染病；具有正常履行职责的身体条件和工作能力，能胜任相关岗位的工作；</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(4)具有较强的语言表达能力及组织协调能力；工作积极主动、执行能力强；具有良好的团队合作精神、高度的责任感和进取心，严格的组织纪律性和保密意识；</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(5)严格遵守法院日常规章管理制度和工作规范。</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5.2、下列工作人员之一不得担任本项目的工作人员：</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(1)因犯罪受过刑事处罚的；</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(2)曾被开除公职或辞退的；</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(3)涉嫌违法违纪正在接受审查的，尚未作出结论的；</w:t>
      </w:r>
    </w:p>
    <w:p>
      <w:pPr>
        <w:rPr>
          <w:rFonts w:hint="eastAsia" w:ascii="微软雅黑" w:hAnsi="微软雅黑" w:eastAsia="微软雅黑" w:cs="微软雅黑"/>
          <w:sz w:val="28"/>
          <w:szCs w:val="28"/>
          <w:highlight w:val="none"/>
          <w:lang w:val="en-US" w:eastAsia="zh-CN"/>
        </w:rPr>
      </w:pPr>
      <w:r>
        <w:rPr>
          <w:rFonts w:hint="eastAsia" w:ascii="微软雅黑" w:hAnsi="微软雅黑" w:eastAsia="微软雅黑" w:cs="微软雅黑"/>
          <w:sz w:val="28"/>
          <w:szCs w:val="28"/>
          <w:highlight w:val="none"/>
          <w:lang w:val="en-US" w:eastAsia="zh-CN"/>
        </w:rPr>
        <w:t>(4)有较为严重的个人不良信用记录的，被法院列入失信人员名单的；</w:t>
      </w:r>
    </w:p>
    <w:p>
      <w:pPr>
        <w:pStyle w:val="5"/>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highlight w:val="none"/>
          <w:lang w:val="en-US" w:eastAsia="zh-CN"/>
        </w:rPr>
        <w:t>(5)项目工作人员的近亲属中存在担任审判人员或提供其他有偿法律</w:t>
      </w:r>
    </w:p>
    <w:p>
      <w:pPr>
        <w:pStyle w:val="5"/>
        <w:jc w:val="left"/>
        <w:rPr>
          <w:rFonts w:hint="eastAsia" w:ascii="微软雅黑" w:hAnsi="微软雅黑" w:eastAsia="微软雅黑" w:cs="微软雅黑"/>
          <w:sz w:val="28"/>
          <w:szCs w:val="28"/>
          <w:highlight w:val="none"/>
        </w:rPr>
      </w:pPr>
      <w:r>
        <w:rPr>
          <w:rFonts w:hint="eastAsia" w:ascii="微软雅黑" w:hAnsi="微软雅黑" w:eastAsia="微软雅黑" w:cs="微软雅黑"/>
          <w:sz w:val="28"/>
          <w:szCs w:val="28"/>
          <w:highlight w:val="none"/>
          <w:lang w:val="en-US" w:eastAsia="zh-CN"/>
        </w:rPr>
        <w:t>5.3</w:t>
      </w:r>
      <w:r>
        <w:rPr>
          <w:rFonts w:hint="eastAsia" w:ascii="微软雅黑" w:hAnsi="微软雅黑" w:eastAsia="微软雅黑" w:cs="微软雅黑"/>
          <w:sz w:val="28"/>
          <w:szCs w:val="28"/>
          <w:highlight w:val="none"/>
          <w:lang w:val="en-US" w:eastAsia="zh-CN"/>
        </w:rPr>
        <w:t>、</w:t>
      </w:r>
      <w:r>
        <w:rPr>
          <w:rFonts w:hint="eastAsia" w:ascii="微软雅黑" w:hAnsi="微软雅黑" w:eastAsia="微软雅黑" w:cs="微软雅黑"/>
          <w:sz w:val="28"/>
          <w:szCs w:val="28"/>
          <w:highlight w:val="none"/>
        </w:rPr>
        <w:t>服务人员</w:t>
      </w:r>
      <w:r>
        <w:rPr>
          <w:rFonts w:hint="eastAsia" w:ascii="微软雅黑" w:hAnsi="微软雅黑" w:eastAsia="微软雅黑" w:cs="微软雅黑"/>
          <w:sz w:val="28"/>
          <w:szCs w:val="28"/>
          <w:highlight w:val="none"/>
          <w:lang w:eastAsia="zh-CN"/>
        </w:rPr>
        <w:t>需</w:t>
      </w:r>
      <w:r>
        <w:rPr>
          <w:rFonts w:hint="eastAsia" w:ascii="微软雅黑" w:hAnsi="微软雅黑" w:eastAsia="微软雅黑" w:cs="微软雅黑"/>
          <w:sz w:val="28"/>
          <w:szCs w:val="28"/>
          <w:highlight w:val="none"/>
        </w:rPr>
        <w:t>提供无犯罪记录证明,并且签订保密承诺书.</w:t>
      </w:r>
    </w:p>
    <w:p>
      <w:pPr>
        <w:pStyle w:val="5"/>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5.4</w:t>
      </w:r>
      <w:r>
        <w:rPr>
          <w:rFonts w:hint="eastAsia" w:ascii="微软雅黑" w:hAnsi="微软雅黑" w:eastAsia="微软雅黑" w:cs="微软雅黑"/>
          <w:sz w:val="28"/>
          <w:szCs w:val="28"/>
          <w:highlight w:val="none"/>
          <w:lang w:val="en-US" w:eastAsia="zh-CN"/>
        </w:rPr>
        <w:t>、</w:t>
      </w:r>
      <w:r>
        <w:rPr>
          <w:rFonts w:hint="eastAsia" w:ascii="微软雅黑" w:hAnsi="微软雅黑" w:eastAsia="微软雅黑" w:cs="微软雅黑"/>
          <w:sz w:val="28"/>
          <w:szCs w:val="28"/>
        </w:rPr>
        <w:t>岗位人员年龄要求20岁到45岁之间,具体相关专业知识及相关工作经验.</w:t>
      </w:r>
    </w:p>
    <w:p>
      <w:pPr>
        <w:pStyle w:val="5"/>
        <w:ind w:firstLine="504"/>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6、费用说明</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投标报价应包含人员工资、社保费用（五险）、医疗费用、管理费用、材料费、一切税费（包括增值税发票）、保险费、培训费、资料、招标代理服务费、政策性费用等以及项目实施全过程中产生的所有费用。</w:t>
      </w:r>
    </w:p>
    <w:p>
      <w:pPr>
        <w:pStyle w:val="5"/>
        <w:ind w:firstLine="508"/>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7、服务质量要求</w:t>
      </w:r>
    </w:p>
    <w:p>
      <w:pPr>
        <w:pStyle w:val="5"/>
        <w:ind w:firstLine="480"/>
        <w:jc w:val="left"/>
        <w:rPr>
          <w:rFonts w:hint="eastAsia" w:ascii="微软雅黑" w:hAnsi="微软雅黑" w:eastAsia="微软雅黑" w:cs="微软雅黑"/>
          <w:sz w:val="28"/>
          <w:szCs w:val="28"/>
        </w:rPr>
      </w:pPr>
      <w:r>
        <w:rPr>
          <w:rFonts w:hint="eastAsia" w:ascii="微软雅黑" w:hAnsi="微软雅黑" w:eastAsia="微软雅黑" w:cs="微软雅黑"/>
          <w:sz w:val="28"/>
          <w:szCs w:val="28"/>
        </w:rPr>
        <w:t>对我院案件信息录入及时率达到100%，录入正确率达到100%，立案阶段随案生成率达到85%，12368电话接通率达到90%以上，群众满意度达到98%；法官满意度达到98%。</w:t>
      </w:r>
    </w:p>
    <w:p>
      <w:pPr>
        <w:pStyle w:val="5"/>
        <w:ind w:firstLine="480"/>
        <w:jc w:val="left"/>
        <w:rPr>
          <w:rFonts w:hint="eastAsia" w:ascii="微软雅黑" w:hAnsi="微软雅黑" w:eastAsia="微软雅黑" w:cs="微软雅黑"/>
          <w:sz w:val="28"/>
          <w:szCs w:val="28"/>
        </w:rPr>
      </w:pPr>
    </w:p>
    <w:p>
      <w:pPr>
        <w:numPr>
          <w:ilvl w:val="0"/>
          <w:numId w:val="0"/>
        </w:numPr>
        <w:pBdr>
          <w:bottom w:val="single" w:color="auto" w:sz="4" w:space="1"/>
        </w:pBdr>
        <w:spacing w:before="312" w:beforeLines="100"/>
        <w:rPr>
          <w:rFonts w:hint="eastAsia" w:ascii="微软雅黑" w:hAnsi="微软雅黑" w:eastAsia="微软雅黑" w:cs="微软雅黑"/>
        </w:rPr>
      </w:pPr>
    </w:p>
    <w:p>
      <w:pPr>
        <w:pBdr>
          <w:bottom w:val="single" w:color="auto" w:sz="4" w:space="1"/>
        </w:pBdr>
        <w:spacing w:before="312" w:beforeLines="100"/>
        <w:ind w:left="420" w:hanging="420"/>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四、服务要求</w:t>
      </w:r>
    </w:p>
    <w:p>
      <w:pPr>
        <w:pStyle w:val="5"/>
        <w:ind w:firstLine="600"/>
        <w:jc w:val="both"/>
        <w:rPr>
          <w:rFonts w:hint="eastAsia" w:ascii="微软雅黑" w:hAnsi="微软雅黑" w:eastAsia="微软雅黑" w:cs="微软雅黑"/>
          <w:sz w:val="24"/>
          <w:lang w:val="en-US" w:eastAsia="zh-CN"/>
        </w:rPr>
      </w:pPr>
    </w:p>
    <w:p>
      <w:pPr>
        <w:pStyle w:val="5"/>
        <w:spacing w:before="31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二、窗口服务要求</w:t>
      </w:r>
    </w:p>
    <w:p>
      <w:pPr>
        <w:pStyle w:val="5"/>
        <w:spacing w:before="240"/>
        <w:ind w:left="45"/>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1、引导分流</w:t>
      </w:r>
    </w:p>
    <w:p>
      <w:pPr>
        <w:pStyle w:val="5"/>
        <w:ind w:firstLine="48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结合临潼区人民法院诉服中心设置情况，该岗位主要负责对当事人的材料进行初步审查，并根据材料标准要求指引当事人进行材料补充，如当事人需办理具体窗口业务，应根据业务需求将当事人分流到各接待窗口。同时引导并协助当事人使用现场自助设备，使当事人能够通过自助设备办理所需业务。</w:t>
      </w:r>
    </w:p>
    <w:p>
      <w:pPr>
        <w:pStyle w:val="5"/>
        <w:spacing w:before="10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2、 网上立案材料审核</w:t>
      </w:r>
    </w:p>
    <w:p>
      <w:pPr>
        <w:pStyle w:val="5"/>
        <w:ind w:firstLine="48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结合网上立案的业务流程，该岗位主要负责立案材料审核辅助，由网上立案审查组的法官或法官助理完成网上立案信息的审查工作后，由辅助人员负责接收网上材料、现场网上立案和非现场网上立案材料的审查校对工作。</w:t>
      </w:r>
    </w:p>
    <w:p>
      <w:pPr>
        <w:pStyle w:val="5"/>
        <w:spacing w:before="10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3、诉调对接</w:t>
      </w:r>
    </w:p>
    <w:p>
      <w:pPr>
        <w:pStyle w:val="5"/>
        <w:ind w:firstLine="48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该岗位主要负责接收分流到诉讼服务组的诉前调解案件，根据诉前调解服务组的分案原则把所收案件分配至各个调解员，同时将调解成功和调解失败的案件进行整理，移送给立案庭。</w:t>
      </w:r>
    </w:p>
    <w:p>
      <w:pPr>
        <w:pStyle w:val="5"/>
        <w:spacing w:before="105"/>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4、材料收转及移送</w:t>
      </w:r>
    </w:p>
    <w:p>
      <w:pPr>
        <w:pStyle w:val="5"/>
        <w:ind w:firstLine="560" w:firstLineChars="20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该岗位主要负责为了更好完成当事人提交材料的收转和退回工作，结合临潼区人民法院情况，材料收转岗位（兼案件查询岗和上诉登记岗）。材料收转岗指引当事人填写《材料收转清单》，并核对确认收转材料的真实性和份数，再由材料收转岗每天移送给各法官团队。法官团队认为需要退回给当事人的材料，将材料移交给该岗位，并说明退回情况。由该岗位联系当事人，并告知当事人退回原因。</w:t>
      </w:r>
    </w:p>
    <w:p>
      <w:pPr>
        <w:pStyle w:val="5"/>
        <w:spacing w:before="13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5、上诉案件接收、登记及移送</w:t>
      </w:r>
    </w:p>
    <w:p>
      <w:pPr>
        <w:pStyle w:val="5"/>
        <w:spacing w:before="225"/>
        <w:ind w:left="30" w:right="180" w:firstLine="489"/>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该岗位主要负责审查上诉材料是否符合接收条件，接收符合接收条件的上诉材料，并出具收取单；拒收不符合接收条件的上诉材料，并说明原因，同时将上诉状移送法官团队。上诉状扫描至系统进行登记</w:t>
      </w:r>
    </w:p>
    <w:p>
      <w:pPr>
        <w:pStyle w:val="5"/>
        <w:spacing w:before="13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6、 案件信息查询</w:t>
      </w:r>
    </w:p>
    <w:p>
      <w:pPr>
        <w:pStyle w:val="5"/>
        <w:spacing w:before="225"/>
        <w:ind w:firstLine="48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该岗位主要负责接收当事人提出的案件查询申请，登记并核实当事人及查询案件的相关信息，协助当事人办理案件查询事宜。</w:t>
      </w:r>
    </w:p>
    <w:p>
      <w:pPr>
        <w:pStyle w:val="5"/>
        <w:spacing w:before="10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7、案卷信息录入及扫描上传</w:t>
      </w:r>
    </w:p>
    <w:p>
      <w:pPr>
        <w:pStyle w:val="5"/>
        <w:spacing w:before="225"/>
        <w:ind w:firstLine="464"/>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根据临潼法院现行业务现状，结合法院上年新收案件的工作量，该岗位主要负责由立案庭的法官或法官助理完成案件的立案审查工作后，外包团队负责接收院方人员已审核分案的现场立案材料，核对材料内容及份数，确认无误后，在系统上录入案件信息，将材料扫描上传形成电子卷宗。将卷宗按照承办庭室分类，通知承办庭室内勤领取卷宗。</w:t>
      </w:r>
    </w:p>
    <w:p>
      <w:pPr>
        <w:pStyle w:val="5"/>
        <w:spacing w:before="105"/>
        <w:ind w:left="30"/>
        <w:jc w:val="both"/>
        <w:rPr>
          <w:rFonts w:hint="eastAsia" w:ascii="微软雅黑" w:hAnsi="微软雅黑" w:eastAsia="微软雅黑" w:cs="微软雅黑"/>
          <w:sz w:val="28"/>
          <w:szCs w:val="28"/>
        </w:rPr>
      </w:pPr>
    </w:p>
    <w:p>
      <w:pPr>
        <w:pStyle w:val="5"/>
        <w:spacing w:before="105"/>
        <w:ind w:left="3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8、咨询电话接听</w:t>
      </w:r>
    </w:p>
    <w:p>
      <w:pPr>
        <w:pStyle w:val="5"/>
        <w:spacing w:before="225"/>
        <w:ind w:left="30" w:firstLine="482"/>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该岗位主要负责为了更好减轻法官团队负担，解决当事人咨询问题快速响应问题，当事人可通过拨打服务热线，咨询诉讼审判及执行相关业务流程、 查找案件相关业务流程信息，并可以预约法官。服务热线在确认当事人的需求后，根据需求进行当场回复或者转办相关法官团队，法官团队可以根据情况，选择自行回复或者将答复转交服务热线进行回复。如有重要事项需转办，外包团队应登记转办事项，并跟踪事项完成进度，必要时需促请承办人及时办理。</w:t>
      </w:r>
    </w:p>
    <w:p>
      <w:pPr>
        <w:pStyle w:val="5"/>
        <w:spacing w:before="135"/>
        <w:ind w:left="45"/>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9、诉服信息平台管理</w:t>
      </w:r>
    </w:p>
    <w:p>
      <w:pPr>
        <w:pStyle w:val="5"/>
        <w:jc w:val="both"/>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在服务期内，对最高人民法院和省法院开发的与诉讼服务质效平台考核相关的系统进行管理、督促、联络、维护，保证上级法院质效考核系统能够及时抽取 甲方的诉讼服务数据，实时监控质效评估分数及排名情况，提取并分析指标数据，提供可行性方案。</w:t>
      </w:r>
    </w:p>
    <w:p>
      <w:pPr>
        <w:pStyle w:val="5"/>
        <w:jc w:val="both"/>
        <w:rPr>
          <w:rFonts w:hint="eastAsia" w:ascii="微软雅黑" w:hAnsi="微软雅黑" w:eastAsia="微软雅黑" w:cs="微软雅黑"/>
          <w:sz w:val="28"/>
          <w:szCs w:val="28"/>
          <w:lang w:val="en-US" w:eastAsia="zh-CN"/>
        </w:rPr>
      </w:pPr>
    </w:p>
    <w:p>
      <w:pPr>
        <w:pStyle w:val="5"/>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lang w:eastAsia="zh-CN"/>
        </w:rPr>
        <w:t>注：</w:t>
      </w:r>
      <w:r>
        <w:rPr>
          <w:rFonts w:hint="eastAsia" w:ascii="微软雅黑" w:hAnsi="微软雅黑" w:eastAsia="微软雅黑" w:cs="微软雅黑"/>
          <w:sz w:val="28"/>
          <w:szCs w:val="28"/>
        </w:rPr>
        <w:t>在服务期内发生人员离职的情况，供应商应在</w:t>
      </w:r>
      <w:r>
        <w:rPr>
          <w:rFonts w:hint="eastAsia" w:ascii="微软雅黑" w:hAnsi="微软雅黑" w:eastAsia="微软雅黑" w:cs="微软雅黑"/>
          <w:sz w:val="28"/>
          <w:szCs w:val="28"/>
          <w:u w:val="single"/>
        </w:rPr>
        <w:t>7</w:t>
      </w:r>
      <w:r>
        <w:rPr>
          <w:rFonts w:hint="eastAsia" w:ascii="微软雅黑" w:hAnsi="微软雅黑" w:eastAsia="微软雅黑" w:cs="微软雅黑"/>
          <w:sz w:val="28"/>
          <w:szCs w:val="28"/>
        </w:rPr>
        <w:t>天内补齐项目人员。</w:t>
      </w:r>
    </w:p>
    <w:p>
      <w:pPr>
        <w:rPr>
          <w:rFonts w:hint="eastAsia" w:ascii="微软雅黑" w:hAnsi="微软雅黑" w:eastAsia="微软雅黑" w:cs="微软雅黑"/>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3B0D12A3"/>
    <w:multiLevelType w:val="singleLevel"/>
    <w:tmpl w:val="3B0D12A3"/>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B6CE7"/>
    <w:rsid w:val="283B6CE7"/>
    <w:rsid w:val="42783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2">
    <w:name w:val="标题 41"/>
    <w:basedOn w:val="1"/>
    <w:next w:val="1"/>
    <w:qFormat/>
    <w:uiPriority w:val="0"/>
    <w:pPr>
      <w:keepNext/>
      <w:keepLines/>
      <w:numPr>
        <w:ilvl w:val="4"/>
        <w:numId w:val="1"/>
      </w:numPr>
      <w:spacing w:before="280" w:after="290" w:line="376" w:lineRule="auto"/>
      <w:outlineLvl w:val="3"/>
    </w:pPr>
    <w:rPr>
      <w:rFonts w:ascii="Arial" w:hAnsi="Arial" w:eastAsia="黑体" w:cs="Times New Roman"/>
      <w:b/>
      <w:bCs/>
      <w:sz w:val="28"/>
      <w:szCs w:val="28"/>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2026-06-12T09:17:00Z</dcterms:created>
  <dc:creator>Administrator</dc:creator>
  <cp:lastModifiedBy>Administrator</cp:lastModifiedBy>
  <dcterms:modified xsi:type="dcterms:W3CDTF">2026-06-12T09:18:49Z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